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A0867" w14:textId="3121C0D5" w:rsidR="00DD6B5E" w:rsidRPr="00520480" w:rsidRDefault="003129E8" w:rsidP="00DD6B5E">
      <w:pPr>
        <w:jc w:val="right"/>
        <w:rPr>
          <w:rFonts w:cs="Arial"/>
          <w:b/>
          <w:sz w:val="48"/>
          <w:szCs w:val="48"/>
        </w:rPr>
      </w:pPr>
      <w:bookmarkStart w:id="0" w:name="_Toc153189646"/>
      <w:bookmarkStart w:id="1" w:name="_GoBack"/>
      <w:bookmarkEnd w:id="1"/>
      <w:r w:rsidRPr="00520480">
        <w:rPr>
          <w:rFonts w:cs="Arial"/>
          <w:b/>
          <w:sz w:val="48"/>
          <w:szCs w:val="48"/>
        </w:rPr>
        <w:t>Work Paper</w:t>
      </w:r>
      <w:bookmarkEnd w:id="0"/>
      <w:r w:rsidR="00560E6F" w:rsidRPr="00520480">
        <w:rPr>
          <w:rFonts w:cs="Arial"/>
          <w:b/>
          <w:color w:val="FF0000"/>
          <w:sz w:val="48"/>
          <w:szCs w:val="48"/>
        </w:rPr>
        <w:t xml:space="preserve"> </w:t>
      </w:r>
      <w:r w:rsidR="00E73C76">
        <w:rPr>
          <w:rFonts w:cs="Arial"/>
          <w:b/>
          <w:sz w:val="48"/>
          <w:szCs w:val="48"/>
        </w:rPr>
        <w:t>SCE13CS007</w:t>
      </w:r>
    </w:p>
    <w:p w14:paraId="393A0868" w14:textId="60BF8866" w:rsidR="00A167EC" w:rsidRPr="00520480" w:rsidRDefault="00E73C76" w:rsidP="00A167EC">
      <w:pPr>
        <w:jc w:val="right"/>
        <w:rPr>
          <w:rFonts w:cs="Arial"/>
          <w:b/>
          <w:color w:val="FF0000"/>
          <w:sz w:val="48"/>
          <w:szCs w:val="48"/>
        </w:rPr>
      </w:pPr>
      <w:r>
        <w:rPr>
          <w:rFonts w:cs="Arial"/>
          <w:b/>
          <w:sz w:val="48"/>
          <w:szCs w:val="48"/>
        </w:rPr>
        <w:t>Plug Load</w:t>
      </w:r>
    </w:p>
    <w:p w14:paraId="393A0869" w14:textId="79FD852D" w:rsidR="003129E8" w:rsidRPr="00520480" w:rsidRDefault="003129E8" w:rsidP="002E0043">
      <w:pPr>
        <w:jc w:val="right"/>
        <w:rPr>
          <w:rFonts w:cs="Arial"/>
          <w:b/>
          <w:sz w:val="48"/>
          <w:szCs w:val="48"/>
        </w:rPr>
      </w:pPr>
      <w:bookmarkStart w:id="2" w:name="_Toc153189647"/>
      <w:r w:rsidRPr="00520480">
        <w:rPr>
          <w:rFonts w:cs="Arial"/>
          <w:b/>
          <w:sz w:val="48"/>
          <w:szCs w:val="48"/>
        </w:rPr>
        <w:t>Revision #</w:t>
      </w:r>
      <w:bookmarkEnd w:id="2"/>
      <w:r w:rsidR="00D7047A" w:rsidRPr="00520480">
        <w:rPr>
          <w:rFonts w:cs="Arial"/>
          <w:b/>
          <w:sz w:val="48"/>
          <w:szCs w:val="48"/>
        </w:rPr>
        <w:t xml:space="preserve"> </w:t>
      </w:r>
      <w:r w:rsidR="00E73C76">
        <w:rPr>
          <w:rFonts w:cs="Arial"/>
          <w:b/>
          <w:sz w:val="48"/>
          <w:szCs w:val="48"/>
        </w:rPr>
        <w:t>0</w:t>
      </w:r>
    </w:p>
    <w:p w14:paraId="393A086A" w14:textId="77777777" w:rsidR="003129E8" w:rsidRPr="00520480" w:rsidRDefault="003129E8" w:rsidP="003129E8"/>
    <w:p w14:paraId="393A086B" w14:textId="01FBB3F9" w:rsidR="00D7047A" w:rsidRPr="00520480" w:rsidRDefault="00FB641F" w:rsidP="00D7047A">
      <w:pPr>
        <w:pBdr>
          <w:bottom w:val="single" w:sz="4" w:space="1" w:color="auto"/>
        </w:pBdr>
        <w:rPr>
          <w:rFonts w:cs="Arial"/>
          <w:b/>
          <w:sz w:val="36"/>
          <w:szCs w:val="36"/>
        </w:rPr>
      </w:pPr>
      <w:r w:rsidRPr="00520480">
        <w:rPr>
          <w:rFonts w:cs="Arial"/>
          <w:b/>
          <w:sz w:val="36"/>
          <w:szCs w:val="36"/>
        </w:rPr>
        <w:t>Primary PA Owner</w:t>
      </w:r>
    </w:p>
    <w:p w14:paraId="393A086D" w14:textId="303415A6" w:rsidR="00E34E73" w:rsidRPr="00520480" w:rsidRDefault="00FB641F" w:rsidP="00324D0F">
      <w:pPr>
        <w:rPr>
          <w:rFonts w:cs="Arial"/>
          <w:b/>
        </w:rPr>
      </w:pPr>
      <w:r w:rsidRPr="00520480">
        <w:rPr>
          <w:rFonts w:cs="Arial"/>
          <w:b/>
        </w:rPr>
        <w:t>PA subtitle</w:t>
      </w:r>
    </w:p>
    <w:p w14:paraId="393A086E" w14:textId="77777777" w:rsidR="00C274E0" w:rsidRPr="00520480" w:rsidRDefault="00C274E0" w:rsidP="00324D0F">
      <w:pPr>
        <w:rPr>
          <w:rFonts w:cs="Arial"/>
          <w:b/>
        </w:rPr>
      </w:pPr>
    </w:p>
    <w:p w14:paraId="393A086F" w14:textId="77777777" w:rsidR="00C274E0" w:rsidRPr="00520480" w:rsidRDefault="00C274E0" w:rsidP="00324D0F">
      <w:pPr>
        <w:rPr>
          <w:rFonts w:cs="Arial"/>
          <w:b/>
        </w:rPr>
      </w:pPr>
    </w:p>
    <w:p w14:paraId="393A0873" w14:textId="1C137C0E" w:rsidR="00324D0F" w:rsidRPr="00520480" w:rsidRDefault="00324D0F" w:rsidP="00324D0F">
      <w:pPr>
        <w:rPr>
          <w:rFonts w:cs="Arial"/>
          <w:b/>
          <w:bCs/>
          <w:i/>
        </w:rPr>
      </w:pPr>
    </w:p>
    <w:p w14:paraId="393A0874" w14:textId="5C9BB3CC" w:rsidR="00324D0F" w:rsidRPr="00E76876" w:rsidRDefault="00E73C76" w:rsidP="00A167EC">
      <w:pPr>
        <w:ind w:right="-720"/>
        <w:rPr>
          <w:rFonts w:cs="Arial"/>
          <w:b/>
          <w:sz w:val="72"/>
          <w:szCs w:val="72"/>
        </w:rPr>
      </w:pPr>
      <w:r>
        <w:rPr>
          <w:rFonts w:cs="Arial"/>
          <w:b/>
          <w:sz w:val="72"/>
          <w:szCs w:val="72"/>
        </w:rPr>
        <w:t>Set Top Boxes</w:t>
      </w:r>
    </w:p>
    <w:p w14:paraId="393A0877" w14:textId="3CB4B916" w:rsidR="00CB3583" w:rsidRPr="0085508A" w:rsidRDefault="0085508A" w:rsidP="002E0043">
      <w:pPr>
        <w:rPr>
          <w:rFonts w:cs="Arial"/>
          <w:b/>
        </w:rPr>
      </w:pPr>
      <w:r w:rsidRPr="0085508A">
        <w:rPr>
          <w:rFonts w:cs="Arial"/>
          <w:b/>
        </w:rPr>
        <w:t>Product sub-categories</w:t>
      </w:r>
      <w:r>
        <w:rPr>
          <w:rFonts w:cs="Arial"/>
          <w:b/>
        </w:rPr>
        <w:t xml:space="preserve"> if applicable</w:t>
      </w:r>
    </w:p>
    <w:p w14:paraId="393A0878" w14:textId="77777777" w:rsidR="003D3F36" w:rsidRPr="00C274E0" w:rsidRDefault="003D3F36" w:rsidP="00844B27">
      <w:pPr>
        <w:rPr>
          <w:rFonts w:cs="Arial"/>
          <w:b/>
          <w:i/>
          <w:highlight w:val="cyan"/>
        </w:rPr>
      </w:pPr>
    </w:p>
    <w:p w14:paraId="393A0879" w14:textId="77777777" w:rsidR="00E84DBD" w:rsidRDefault="00E84DBD" w:rsidP="00844B27">
      <w:pPr>
        <w:rPr>
          <w:rFonts w:cs="Arial"/>
          <w:b/>
          <w:i/>
        </w:rPr>
      </w:pPr>
    </w:p>
    <w:p w14:paraId="393A087A" w14:textId="77777777" w:rsidR="00C274E0" w:rsidRDefault="00C274E0" w:rsidP="00844B27">
      <w:pPr>
        <w:rPr>
          <w:rFonts w:cs="Arial"/>
          <w:b/>
          <w:i/>
        </w:rPr>
      </w:pPr>
    </w:p>
    <w:p w14:paraId="393A087B" w14:textId="77777777" w:rsidR="00C274E0" w:rsidRDefault="00C274E0" w:rsidP="00844B27">
      <w:pPr>
        <w:rPr>
          <w:rFonts w:cs="Arial"/>
          <w:b/>
          <w:i/>
        </w:rPr>
      </w:pPr>
    </w:p>
    <w:p w14:paraId="393A087C" w14:textId="77777777" w:rsidR="00C274E0" w:rsidRDefault="00C274E0" w:rsidP="00844B27">
      <w:pPr>
        <w:rPr>
          <w:rFonts w:cs="Arial"/>
          <w:b/>
          <w:i/>
        </w:rPr>
      </w:pPr>
    </w:p>
    <w:p w14:paraId="393A087D" w14:textId="77777777" w:rsidR="00C274E0" w:rsidRDefault="00C274E0" w:rsidP="00844B27">
      <w:pPr>
        <w:rPr>
          <w:rFonts w:cs="Arial"/>
          <w:b/>
          <w:i/>
        </w:rPr>
      </w:pPr>
    </w:p>
    <w:p w14:paraId="393A087E" w14:textId="77777777" w:rsidR="00C274E0" w:rsidRDefault="00C274E0" w:rsidP="00844B27">
      <w:pPr>
        <w:rPr>
          <w:rFonts w:cs="Arial"/>
          <w:b/>
          <w:i/>
        </w:rPr>
      </w:pPr>
    </w:p>
    <w:p w14:paraId="393A087F" w14:textId="77777777" w:rsidR="00C274E0" w:rsidRDefault="00C274E0" w:rsidP="00844B27">
      <w:pPr>
        <w:rPr>
          <w:rFonts w:cs="Arial"/>
          <w:b/>
          <w:i/>
        </w:rPr>
      </w:pPr>
    </w:p>
    <w:p w14:paraId="393A0880" w14:textId="77777777" w:rsidR="00C274E0" w:rsidRDefault="00C274E0" w:rsidP="00844B27">
      <w:pPr>
        <w:rPr>
          <w:rFonts w:cs="Arial"/>
          <w:b/>
          <w:i/>
        </w:rPr>
      </w:pPr>
    </w:p>
    <w:p w14:paraId="393A0881" w14:textId="77777777" w:rsidR="00C274E0" w:rsidRDefault="00C274E0" w:rsidP="00844B27">
      <w:pPr>
        <w:rPr>
          <w:rFonts w:cs="Arial"/>
          <w:b/>
          <w:i/>
        </w:rPr>
      </w:pPr>
    </w:p>
    <w:p w14:paraId="393A0882" w14:textId="65E81755" w:rsidR="000D5482" w:rsidRDefault="000D5482">
      <w:pPr>
        <w:rPr>
          <w:rFonts w:cs="Arial"/>
          <w:b/>
          <w:i/>
        </w:rPr>
      </w:pPr>
      <w:r>
        <w:rPr>
          <w:rFonts w:cs="Arial"/>
          <w:b/>
          <w:i/>
        </w:rPr>
        <w:br w:type="page"/>
      </w:r>
    </w:p>
    <w:p w14:paraId="393A0886" w14:textId="77777777" w:rsidR="00534386" w:rsidRPr="00C274E0" w:rsidRDefault="00534386" w:rsidP="00844B27">
      <w:pPr>
        <w:rPr>
          <w:rFonts w:cs="Arial"/>
          <w:b/>
          <w:i/>
        </w:rPr>
        <w:sectPr w:rsidR="00534386" w:rsidRPr="00C274E0" w:rsidSect="00FB641F">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800" w:bottom="1440" w:left="1800" w:header="720" w:footer="720" w:gutter="0"/>
          <w:pgNumType w:fmt="lowerRoman" w:start="1"/>
          <w:cols w:space="720"/>
          <w:titlePg/>
          <w:docGrid w:linePitch="360"/>
        </w:sectPr>
      </w:pPr>
    </w:p>
    <w:p w14:paraId="393A0887" w14:textId="77777777" w:rsidR="00E71EF1" w:rsidRDefault="00E731C6" w:rsidP="006D318D">
      <w:pPr>
        <w:pStyle w:val="Heading1-NoSectionNo"/>
      </w:pPr>
      <w:bookmarkStart w:id="3" w:name="_Toc304800192"/>
      <w:bookmarkStart w:id="4" w:name="_Toc324318330"/>
      <w:bookmarkStart w:id="5" w:name="_Toc324340474"/>
      <w:bookmarkStart w:id="6" w:name="_Toc385592977"/>
      <w:r>
        <w:lastRenderedPageBreak/>
        <w:t>At-</w:t>
      </w:r>
      <w:r w:rsidR="00E71EF1">
        <w:t>a</w:t>
      </w:r>
      <w:r>
        <w:t>-</w:t>
      </w:r>
      <w:r w:rsidR="00E71EF1">
        <w:t>Glance Summary</w:t>
      </w:r>
      <w:bookmarkEnd w:id="3"/>
      <w:bookmarkEnd w:id="4"/>
      <w:bookmarkEnd w:id="5"/>
      <w:bookmarkEnd w:id="6"/>
    </w:p>
    <w:p w14:paraId="0F894076" w14:textId="77777777" w:rsidR="00520480" w:rsidRPr="00520480" w:rsidRDefault="00520480" w:rsidP="00520480"/>
    <w:tbl>
      <w:tblPr>
        <w:tblW w:w="9230" w:type="dxa"/>
        <w:tblInd w:w="10" w:type="dxa"/>
        <w:tblBorders>
          <w:bottom w:val="single" w:sz="8" w:space="0" w:color="000000" w:themeColor="text1"/>
          <w:right w:val="single" w:sz="8" w:space="0" w:color="000000" w:themeColor="text1"/>
          <w:insideH w:val="single" w:sz="8" w:space="0" w:color="000000" w:themeColor="text1"/>
          <w:insideV w:val="single" w:sz="8" w:space="0" w:color="000000" w:themeColor="text1"/>
        </w:tblBorders>
        <w:tblLook w:val="01E0" w:firstRow="1" w:lastRow="1" w:firstColumn="1" w:lastColumn="1" w:noHBand="0" w:noVBand="0"/>
      </w:tblPr>
      <w:tblGrid>
        <w:gridCol w:w="2389"/>
        <w:gridCol w:w="3635"/>
        <w:gridCol w:w="3206"/>
      </w:tblGrid>
      <w:tr w:rsidR="00C0265C" w:rsidRPr="00A55DD1" w14:paraId="681C4023" w14:textId="77777777" w:rsidTr="0085508A">
        <w:trPr>
          <w:cantSplit/>
          <w:trHeight w:val="565"/>
        </w:trPr>
        <w:tc>
          <w:tcPr>
            <w:tcW w:w="2389" w:type="dxa"/>
            <w:tcBorders>
              <w:top w:val="nil"/>
              <w:left w:val="nil"/>
              <w:bottom w:val="single" w:sz="4" w:space="0" w:color="000000" w:themeColor="text1"/>
              <w:right w:val="single" w:sz="8" w:space="0" w:color="000000" w:themeColor="text1"/>
            </w:tcBorders>
            <w:shd w:val="clear" w:color="auto" w:fill="auto"/>
            <w:vAlign w:val="center"/>
          </w:tcPr>
          <w:p w14:paraId="28BF51FB" w14:textId="25F2D99E" w:rsidR="00C0265C" w:rsidRPr="00C0265C" w:rsidRDefault="00C0265C" w:rsidP="00FB641F">
            <w:pPr>
              <w:spacing w:before="100" w:after="100"/>
              <w:jc w:val="right"/>
              <w:rPr>
                <w:rStyle w:val="Strong"/>
                <w:sz w:val="20"/>
                <w:szCs w:val="20"/>
              </w:rPr>
            </w:pPr>
          </w:p>
        </w:tc>
        <w:tc>
          <w:tcPr>
            <w:tcW w:w="3635" w:type="dxa"/>
            <w:tcBorders>
              <w:top w:val="single" w:sz="8" w:space="0" w:color="000000" w:themeColor="text1"/>
              <w:left w:val="single" w:sz="8" w:space="0" w:color="000000" w:themeColor="text1"/>
              <w:bottom w:val="single" w:sz="4" w:space="0" w:color="000000" w:themeColor="text1"/>
            </w:tcBorders>
            <w:shd w:val="clear" w:color="auto" w:fill="D9D9D9" w:themeFill="background1" w:themeFillShade="D9"/>
            <w:vAlign w:val="center"/>
          </w:tcPr>
          <w:p w14:paraId="4EB8D5EF" w14:textId="2393798D" w:rsidR="00C0265C" w:rsidRPr="00607339" w:rsidRDefault="00C0265C" w:rsidP="00FB641F">
            <w:pPr>
              <w:spacing w:before="100" w:after="100"/>
              <w:jc w:val="center"/>
              <w:rPr>
                <w:rFonts w:cs="Arial"/>
                <w:sz w:val="20"/>
                <w:szCs w:val="20"/>
              </w:rPr>
            </w:pPr>
            <w:r w:rsidRPr="00607339">
              <w:rPr>
                <w:rFonts w:cs="Arial"/>
                <w:sz w:val="20"/>
                <w:szCs w:val="20"/>
              </w:rPr>
              <w:t>Measure 1</w:t>
            </w:r>
          </w:p>
        </w:tc>
        <w:tc>
          <w:tcPr>
            <w:tcW w:w="3206" w:type="dxa"/>
            <w:tcBorders>
              <w:top w:val="single" w:sz="8" w:space="0" w:color="000000" w:themeColor="text1"/>
              <w:bottom w:val="single" w:sz="4" w:space="0" w:color="000000" w:themeColor="text1"/>
            </w:tcBorders>
            <w:shd w:val="clear" w:color="auto" w:fill="D9D9D9" w:themeFill="background1" w:themeFillShade="D9"/>
            <w:vAlign w:val="center"/>
          </w:tcPr>
          <w:p w14:paraId="23F4242B" w14:textId="076FE381" w:rsidR="00C0265C" w:rsidRPr="00607339" w:rsidRDefault="00C0265C" w:rsidP="00FB641F">
            <w:pPr>
              <w:spacing w:before="100" w:after="100"/>
              <w:jc w:val="center"/>
              <w:rPr>
                <w:rFonts w:cs="Arial"/>
                <w:sz w:val="20"/>
                <w:szCs w:val="20"/>
              </w:rPr>
            </w:pPr>
            <w:r w:rsidRPr="00607339">
              <w:rPr>
                <w:rFonts w:cs="Arial"/>
                <w:sz w:val="20"/>
                <w:szCs w:val="20"/>
              </w:rPr>
              <w:t>Measure 2</w:t>
            </w:r>
          </w:p>
        </w:tc>
      </w:tr>
      <w:tr w:rsidR="00C0265C" w:rsidRPr="00A55DD1" w14:paraId="36272FA3" w14:textId="77777777" w:rsidTr="0085508A">
        <w:trPr>
          <w:trHeight w:val="465"/>
        </w:trPr>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79E54FC" w14:textId="5BC2D5D2" w:rsidR="00C0265C" w:rsidRPr="00607339" w:rsidRDefault="00C0265C" w:rsidP="00C0265C">
            <w:pPr>
              <w:spacing w:before="100" w:after="100"/>
              <w:jc w:val="right"/>
              <w:rPr>
                <w:rStyle w:val="Strong"/>
                <w:b w:val="0"/>
                <w:sz w:val="20"/>
                <w:szCs w:val="20"/>
              </w:rPr>
            </w:pPr>
            <w:r w:rsidRPr="00607339">
              <w:rPr>
                <w:rStyle w:val="Strong"/>
                <w:b w:val="0"/>
                <w:sz w:val="20"/>
                <w:szCs w:val="20"/>
              </w:rPr>
              <w:t xml:space="preserve">Measure description </w:t>
            </w:r>
          </w:p>
        </w:tc>
        <w:tc>
          <w:tcPr>
            <w:tcW w:w="3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2F06A3" w14:textId="0F3FA55A" w:rsidR="00C0265C" w:rsidRPr="00C0265C" w:rsidRDefault="00E73C76" w:rsidP="00C0265C">
            <w:pPr>
              <w:spacing w:before="100" w:after="100"/>
              <w:rPr>
                <w:rFonts w:cs="Arial"/>
                <w:sz w:val="20"/>
                <w:szCs w:val="20"/>
              </w:rPr>
            </w:pPr>
            <w:r w:rsidRPr="00E73C76">
              <w:rPr>
                <w:rFonts w:cs="Arial"/>
                <w:sz w:val="20"/>
                <w:szCs w:val="20"/>
              </w:rPr>
              <w:t>Satellite Non Estar STD Def STB Upgrade To Satellite Thin Client ES 3.0</w:t>
            </w:r>
          </w:p>
        </w:tc>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1E72CF" w14:textId="3757EA10" w:rsidR="00C0265C" w:rsidRPr="00C0265C" w:rsidRDefault="00E73C76" w:rsidP="00C0265C">
            <w:pPr>
              <w:spacing w:before="100" w:after="100"/>
              <w:rPr>
                <w:rFonts w:cs="Arial"/>
                <w:sz w:val="20"/>
                <w:szCs w:val="20"/>
              </w:rPr>
            </w:pPr>
            <w:r w:rsidRPr="00E73C76">
              <w:rPr>
                <w:rFonts w:cs="Arial"/>
                <w:sz w:val="20"/>
                <w:szCs w:val="20"/>
              </w:rPr>
              <w:t>Satellite Non Estar HD STB Upgrade To Satellite HD ES 3.0</w:t>
            </w:r>
          </w:p>
        </w:tc>
      </w:tr>
      <w:tr w:rsidR="00FF2F9E" w:rsidRPr="00A55DD1" w14:paraId="6711F1CE" w14:textId="77777777" w:rsidTr="0085508A">
        <w:trPr>
          <w:cantSplit/>
          <w:trHeight w:val="1134"/>
        </w:trPr>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AE106A8" w14:textId="21E059FD" w:rsidR="00FF2F9E" w:rsidRPr="00607339" w:rsidRDefault="00FF2F9E" w:rsidP="00B87109">
            <w:pPr>
              <w:spacing w:before="100" w:after="100"/>
              <w:jc w:val="right"/>
              <w:rPr>
                <w:rStyle w:val="Strong"/>
                <w:b w:val="0"/>
                <w:sz w:val="20"/>
                <w:szCs w:val="20"/>
              </w:rPr>
            </w:pPr>
            <w:r w:rsidRPr="00607339">
              <w:rPr>
                <w:rStyle w:val="Strong"/>
                <w:b w:val="0"/>
                <w:sz w:val="20"/>
                <w:szCs w:val="20"/>
              </w:rPr>
              <w:t>Program delivery method</w:t>
            </w:r>
          </w:p>
        </w:tc>
        <w:tc>
          <w:tcPr>
            <w:tcW w:w="3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C932EC" w14:textId="71420C47" w:rsidR="00FF2F9E" w:rsidRPr="00C0265C" w:rsidRDefault="00E73C76" w:rsidP="0085508A">
            <w:pPr>
              <w:spacing w:before="100" w:after="100"/>
              <w:rPr>
                <w:rFonts w:cs="Arial"/>
                <w:sz w:val="20"/>
                <w:szCs w:val="20"/>
              </w:rPr>
            </w:pPr>
            <w:r>
              <w:rPr>
                <w:rFonts w:cs="Arial"/>
                <w:sz w:val="20"/>
                <w:szCs w:val="20"/>
              </w:rPr>
              <w:t>Midstream</w:t>
            </w:r>
          </w:p>
        </w:tc>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B3640B" w14:textId="42BB4998" w:rsidR="00FF2F9E" w:rsidRPr="00C0265C" w:rsidRDefault="00E73C76" w:rsidP="0085508A">
            <w:pPr>
              <w:spacing w:before="100" w:after="100"/>
              <w:rPr>
                <w:rFonts w:cs="Arial"/>
                <w:sz w:val="20"/>
                <w:szCs w:val="20"/>
              </w:rPr>
            </w:pPr>
            <w:r>
              <w:rPr>
                <w:rFonts w:cs="Arial"/>
                <w:sz w:val="20"/>
                <w:szCs w:val="20"/>
              </w:rPr>
              <w:t>Midstream</w:t>
            </w:r>
          </w:p>
        </w:tc>
      </w:tr>
      <w:tr w:rsidR="00FF2F9E" w:rsidRPr="00A55DD1" w14:paraId="5A022821" w14:textId="77777777" w:rsidTr="0085508A">
        <w:trPr>
          <w:cantSplit/>
          <w:trHeight w:val="1134"/>
        </w:trPr>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0E9E7EB" w14:textId="36E90F0C" w:rsidR="00FF2F9E" w:rsidRPr="00607339" w:rsidRDefault="00FF2F9E" w:rsidP="00B87109">
            <w:pPr>
              <w:spacing w:before="100" w:after="100"/>
              <w:jc w:val="right"/>
              <w:rPr>
                <w:rStyle w:val="Strong"/>
                <w:b w:val="0"/>
                <w:sz w:val="20"/>
                <w:szCs w:val="20"/>
              </w:rPr>
            </w:pPr>
            <w:r w:rsidRPr="00607339">
              <w:rPr>
                <w:rStyle w:val="Strong"/>
                <w:b w:val="0"/>
                <w:sz w:val="20"/>
                <w:szCs w:val="20"/>
              </w:rPr>
              <w:t>Measure application type</w:t>
            </w:r>
          </w:p>
        </w:tc>
        <w:tc>
          <w:tcPr>
            <w:tcW w:w="3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72E042" w14:textId="3D5E315B" w:rsidR="00FF2F9E" w:rsidRPr="00C0265C" w:rsidRDefault="00E73C76" w:rsidP="0085508A">
            <w:pPr>
              <w:spacing w:before="100" w:after="100"/>
              <w:rPr>
                <w:rFonts w:cs="Arial"/>
                <w:sz w:val="20"/>
                <w:szCs w:val="20"/>
              </w:rPr>
            </w:pPr>
            <w:r>
              <w:rPr>
                <w:rFonts w:cs="Arial"/>
                <w:sz w:val="20"/>
                <w:szCs w:val="20"/>
              </w:rPr>
              <w:t>ER, ROB</w:t>
            </w:r>
          </w:p>
        </w:tc>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124586" w14:textId="7BCEB1EC" w:rsidR="00FF2F9E" w:rsidRPr="00C0265C" w:rsidRDefault="00E73C76" w:rsidP="0085508A">
            <w:pPr>
              <w:spacing w:before="100" w:after="100"/>
              <w:rPr>
                <w:rFonts w:cs="Arial"/>
                <w:sz w:val="20"/>
                <w:szCs w:val="20"/>
              </w:rPr>
            </w:pPr>
            <w:r>
              <w:rPr>
                <w:rFonts w:cs="Arial"/>
                <w:sz w:val="20"/>
                <w:szCs w:val="20"/>
              </w:rPr>
              <w:t>ER, ROB</w:t>
            </w:r>
          </w:p>
        </w:tc>
      </w:tr>
      <w:tr w:rsidR="00C0265C" w:rsidRPr="00A55DD1" w14:paraId="393A0895" w14:textId="5FF69D6C" w:rsidTr="0085508A">
        <w:trPr>
          <w:trHeight w:val="465"/>
        </w:trPr>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93A0893" w14:textId="4B661516" w:rsidR="00C0265C" w:rsidRPr="00607339" w:rsidRDefault="00C0265C" w:rsidP="00C0265C">
            <w:pPr>
              <w:spacing w:before="100" w:after="100"/>
              <w:jc w:val="right"/>
              <w:rPr>
                <w:rStyle w:val="Strong"/>
                <w:b w:val="0"/>
                <w:sz w:val="20"/>
                <w:szCs w:val="20"/>
              </w:rPr>
            </w:pPr>
            <w:r w:rsidRPr="00607339">
              <w:rPr>
                <w:rStyle w:val="Strong"/>
                <w:b w:val="0"/>
                <w:sz w:val="20"/>
                <w:szCs w:val="20"/>
              </w:rPr>
              <w:t>Base case description</w:t>
            </w:r>
          </w:p>
        </w:tc>
        <w:tc>
          <w:tcPr>
            <w:tcW w:w="3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3A0894" w14:textId="30A486F3" w:rsidR="00C0265C" w:rsidRPr="00C0265C" w:rsidRDefault="00E73C76" w:rsidP="00C0265C">
            <w:pPr>
              <w:spacing w:before="100" w:after="100"/>
              <w:rPr>
                <w:rFonts w:cs="Arial"/>
                <w:sz w:val="20"/>
                <w:szCs w:val="20"/>
              </w:rPr>
            </w:pPr>
            <w:r w:rsidRPr="00E73C76">
              <w:rPr>
                <w:rFonts w:cs="Arial"/>
                <w:sz w:val="20"/>
                <w:szCs w:val="20"/>
              </w:rPr>
              <w:t>Energy Star 2.0 or non-Energy Star set top boxes</w:t>
            </w:r>
          </w:p>
        </w:tc>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298E0E" w14:textId="7441B332" w:rsidR="00C0265C" w:rsidRPr="00C0265C" w:rsidRDefault="00E73C76" w:rsidP="00C0265C">
            <w:pPr>
              <w:spacing w:before="100" w:after="100"/>
              <w:rPr>
                <w:rFonts w:cs="Arial"/>
                <w:sz w:val="20"/>
                <w:szCs w:val="20"/>
              </w:rPr>
            </w:pPr>
            <w:r w:rsidRPr="00E73C76">
              <w:rPr>
                <w:rFonts w:cs="Arial"/>
                <w:sz w:val="20"/>
                <w:szCs w:val="20"/>
              </w:rPr>
              <w:t>Energy Star 2.0 or non-Energy Star set top boxes</w:t>
            </w:r>
          </w:p>
        </w:tc>
      </w:tr>
      <w:tr w:rsidR="00FF2F9E" w:rsidRPr="00A55DD1" w14:paraId="7E41D1A8" w14:textId="77777777" w:rsidTr="0085508A">
        <w:trPr>
          <w:cantSplit/>
          <w:trHeight w:val="1134"/>
        </w:trPr>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7ABBFD1" w14:textId="548B9CAB" w:rsidR="00FF2F9E" w:rsidRPr="00607339" w:rsidRDefault="00FF2F9E" w:rsidP="0085508A">
            <w:pPr>
              <w:spacing w:before="100" w:after="100"/>
              <w:jc w:val="right"/>
              <w:rPr>
                <w:rStyle w:val="Strong"/>
                <w:b w:val="0"/>
                <w:sz w:val="20"/>
                <w:szCs w:val="20"/>
              </w:rPr>
            </w:pPr>
            <w:r w:rsidRPr="00607339">
              <w:rPr>
                <w:rStyle w:val="Strong"/>
                <w:b w:val="0"/>
                <w:sz w:val="20"/>
                <w:szCs w:val="20"/>
              </w:rPr>
              <w:t>Energy</w:t>
            </w:r>
            <w:r w:rsidR="00583F3E">
              <w:rPr>
                <w:rStyle w:val="Strong"/>
                <w:b w:val="0"/>
                <w:sz w:val="20"/>
                <w:szCs w:val="20"/>
              </w:rPr>
              <w:t xml:space="preserve"> and demand</w:t>
            </w:r>
            <w:r w:rsidRPr="00607339">
              <w:rPr>
                <w:rStyle w:val="Strong"/>
                <w:b w:val="0"/>
                <w:sz w:val="20"/>
                <w:szCs w:val="20"/>
              </w:rPr>
              <w:t xml:space="preserve"> impact common units </w:t>
            </w:r>
          </w:p>
        </w:tc>
        <w:tc>
          <w:tcPr>
            <w:tcW w:w="3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EAB487" w14:textId="6F352E24" w:rsidR="00FF2F9E" w:rsidRPr="00C0265C" w:rsidRDefault="00E73C76" w:rsidP="0085508A">
            <w:pPr>
              <w:spacing w:before="100" w:after="100"/>
              <w:rPr>
                <w:rFonts w:cs="Arial"/>
                <w:b/>
                <w:sz w:val="20"/>
                <w:szCs w:val="20"/>
              </w:rPr>
            </w:pPr>
            <w:r>
              <w:rPr>
                <w:rFonts w:cs="Arial"/>
                <w:sz w:val="20"/>
                <w:szCs w:val="20"/>
              </w:rPr>
              <w:t>Per Unit</w:t>
            </w:r>
          </w:p>
        </w:tc>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1C85B2" w14:textId="6638113D" w:rsidR="00FF2F9E" w:rsidRPr="00E73C76" w:rsidRDefault="00E73C76" w:rsidP="0085508A">
            <w:pPr>
              <w:spacing w:before="100" w:after="100"/>
              <w:jc w:val="center"/>
              <w:rPr>
                <w:rFonts w:cs="Arial"/>
                <w:sz w:val="20"/>
                <w:szCs w:val="20"/>
              </w:rPr>
            </w:pPr>
            <w:r w:rsidRPr="00E73C76">
              <w:rPr>
                <w:rFonts w:cs="Arial"/>
                <w:sz w:val="20"/>
                <w:szCs w:val="20"/>
              </w:rPr>
              <w:t>Per Unit</w:t>
            </w:r>
          </w:p>
        </w:tc>
      </w:tr>
      <w:tr w:rsidR="00583F3E" w:rsidRPr="00A55DD1" w14:paraId="6772022F" w14:textId="77777777" w:rsidTr="0085508A">
        <w:trPr>
          <w:cantSplit/>
          <w:trHeight w:val="1134"/>
        </w:trPr>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5317734" w14:textId="77777777" w:rsidR="00583F3E" w:rsidRDefault="00583F3E" w:rsidP="00C0265C">
            <w:pPr>
              <w:spacing w:before="100" w:after="100"/>
              <w:jc w:val="right"/>
              <w:rPr>
                <w:rStyle w:val="Strong"/>
                <w:b w:val="0"/>
                <w:sz w:val="20"/>
                <w:szCs w:val="20"/>
              </w:rPr>
            </w:pPr>
            <w:r>
              <w:rPr>
                <w:rStyle w:val="Strong"/>
                <w:b w:val="0"/>
                <w:sz w:val="20"/>
                <w:szCs w:val="20"/>
              </w:rPr>
              <w:t>Peak Demand Reduction</w:t>
            </w:r>
          </w:p>
          <w:p w14:paraId="40F509DE" w14:textId="45B6DCBC" w:rsidR="00583F3E" w:rsidRPr="00607339" w:rsidRDefault="00583F3E" w:rsidP="00C0265C">
            <w:pPr>
              <w:spacing w:before="100" w:after="100"/>
              <w:jc w:val="right"/>
              <w:rPr>
                <w:rStyle w:val="Strong"/>
                <w:b w:val="0"/>
                <w:sz w:val="20"/>
                <w:szCs w:val="20"/>
              </w:rPr>
            </w:pPr>
            <w:r>
              <w:rPr>
                <w:rStyle w:val="Strong"/>
                <w:b w:val="0"/>
                <w:sz w:val="20"/>
                <w:szCs w:val="20"/>
              </w:rPr>
              <w:t>(kW/unit)</w:t>
            </w:r>
          </w:p>
        </w:tc>
        <w:tc>
          <w:tcPr>
            <w:tcW w:w="3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8857BA" w14:textId="26F97346" w:rsidR="00583F3E" w:rsidRPr="00C0265C" w:rsidRDefault="00E73C76" w:rsidP="00CD58AE">
            <w:pPr>
              <w:spacing w:before="100" w:after="100"/>
              <w:rPr>
                <w:rFonts w:cs="Arial"/>
                <w:sz w:val="20"/>
                <w:szCs w:val="20"/>
              </w:rPr>
            </w:pPr>
            <w:r w:rsidRPr="00E73C76">
              <w:rPr>
                <w:rFonts w:cs="Arial"/>
                <w:sz w:val="20"/>
                <w:szCs w:val="20"/>
              </w:rPr>
              <w:t>0.0</w:t>
            </w:r>
            <w:r w:rsidR="00CD58AE">
              <w:rPr>
                <w:rFonts w:cs="Arial"/>
                <w:sz w:val="20"/>
                <w:szCs w:val="20"/>
              </w:rPr>
              <w:t>0379</w:t>
            </w:r>
            <w:r>
              <w:rPr>
                <w:rFonts w:cs="Arial"/>
                <w:sz w:val="20"/>
                <w:szCs w:val="20"/>
              </w:rPr>
              <w:t xml:space="preserve"> kW/unit</w:t>
            </w:r>
          </w:p>
        </w:tc>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9A3862" w14:textId="750707E3" w:rsidR="00583F3E" w:rsidRPr="00C0265C" w:rsidRDefault="00E73C76" w:rsidP="00CD58AE">
            <w:pPr>
              <w:spacing w:before="100" w:after="100"/>
              <w:rPr>
                <w:rFonts w:cs="Arial"/>
                <w:sz w:val="20"/>
                <w:szCs w:val="20"/>
              </w:rPr>
            </w:pPr>
            <w:r w:rsidRPr="00E73C76">
              <w:rPr>
                <w:rFonts w:cs="Arial"/>
                <w:sz w:val="20"/>
                <w:szCs w:val="20"/>
              </w:rPr>
              <w:t>0.0</w:t>
            </w:r>
            <w:r w:rsidR="00CD58AE">
              <w:rPr>
                <w:rFonts w:cs="Arial"/>
                <w:sz w:val="20"/>
                <w:szCs w:val="20"/>
              </w:rPr>
              <w:t>0322</w:t>
            </w:r>
            <w:r>
              <w:rPr>
                <w:rFonts w:cs="Arial"/>
                <w:sz w:val="20"/>
                <w:szCs w:val="20"/>
              </w:rPr>
              <w:t xml:space="preserve"> kW/unit</w:t>
            </w:r>
          </w:p>
        </w:tc>
      </w:tr>
      <w:tr w:rsidR="00C0265C" w:rsidRPr="00A55DD1" w14:paraId="393A08A0" w14:textId="769F3B4B" w:rsidTr="0085508A">
        <w:trPr>
          <w:cantSplit/>
          <w:trHeight w:val="1134"/>
        </w:trPr>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E1BBA12" w14:textId="77777777" w:rsidR="00583F3E" w:rsidRDefault="00C0265C" w:rsidP="00C0265C">
            <w:pPr>
              <w:spacing w:before="100" w:after="100"/>
              <w:jc w:val="right"/>
              <w:rPr>
                <w:rStyle w:val="Strong"/>
                <w:b w:val="0"/>
                <w:sz w:val="20"/>
                <w:szCs w:val="20"/>
              </w:rPr>
            </w:pPr>
            <w:r w:rsidRPr="00607339">
              <w:rPr>
                <w:rStyle w:val="Strong"/>
                <w:b w:val="0"/>
                <w:sz w:val="20"/>
                <w:szCs w:val="20"/>
              </w:rPr>
              <w:t>Energy savings</w:t>
            </w:r>
          </w:p>
          <w:p w14:paraId="4830BDD1" w14:textId="38BE2A25" w:rsidR="00C0265C" w:rsidRDefault="00C0265C" w:rsidP="00C0265C">
            <w:pPr>
              <w:spacing w:before="100" w:after="100"/>
              <w:jc w:val="right"/>
              <w:rPr>
                <w:rStyle w:val="Strong"/>
                <w:b w:val="0"/>
                <w:sz w:val="20"/>
                <w:szCs w:val="20"/>
              </w:rPr>
            </w:pPr>
            <w:r w:rsidRPr="00607339">
              <w:rPr>
                <w:rStyle w:val="Strong"/>
                <w:b w:val="0"/>
                <w:sz w:val="20"/>
                <w:szCs w:val="20"/>
              </w:rPr>
              <w:t>(Base case – Measure)</w:t>
            </w:r>
          </w:p>
          <w:p w14:paraId="393A089E" w14:textId="10EED36B" w:rsidR="00583F3E" w:rsidRPr="00607339" w:rsidRDefault="00583F3E" w:rsidP="00C0265C">
            <w:pPr>
              <w:spacing w:before="100" w:after="100"/>
              <w:jc w:val="right"/>
              <w:rPr>
                <w:rStyle w:val="Strong1"/>
                <w:b w:val="0"/>
                <w:sz w:val="20"/>
                <w:szCs w:val="20"/>
              </w:rPr>
            </w:pPr>
            <w:r>
              <w:rPr>
                <w:rStyle w:val="Strong"/>
                <w:b w:val="0"/>
                <w:sz w:val="20"/>
                <w:szCs w:val="20"/>
              </w:rPr>
              <w:t>(kWh/unit)</w:t>
            </w:r>
          </w:p>
        </w:tc>
        <w:tc>
          <w:tcPr>
            <w:tcW w:w="3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3A089F" w14:textId="3BA0813B" w:rsidR="00C0265C" w:rsidRPr="00C0265C" w:rsidRDefault="00E73C76" w:rsidP="00CD58AE">
            <w:pPr>
              <w:spacing w:before="100" w:after="100"/>
              <w:rPr>
                <w:rFonts w:cs="Arial"/>
                <w:sz w:val="20"/>
                <w:szCs w:val="20"/>
              </w:rPr>
            </w:pPr>
            <w:r>
              <w:rPr>
                <w:rFonts w:cs="Arial"/>
                <w:sz w:val="20"/>
                <w:szCs w:val="20"/>
              </w:rPr>
              <w:t>1</w:t>
            </w:r>
            <w:r w:rsidR="00CD58AE">
              <w:rPr>
                <w:rFonts w:cs="Arial"/>
                <w:sz w:val="20"/>
                <w:szCs w:val="20"/>
              </w:rPr>
              <w:t>19.47</w:t>
            </w:r>
            <w:r>
              <w:rPr>
                <w:rFonts w:cs="Arial"/>
                <w:sz w:val="20"/>
                <w:szCs w:val="20"/>
              </w:rPr>
              <w:t xml:space="preserve"> kWh/unit</w:t>
            </w:r>
          </w:p>
        </w:tc>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E756DD" w14:textId="02E7BD04" w:rsidR="00C0265C" w:rsidRPr="00C0265C" w:rsidRDefault="00E73C76" w:rsidP="00CD58AE">
            <w:pPr>
              <w:spacing w:before="100" w:after="100"/>
              <w:rPr>
                <w:rFonts w:cs="Arial"/>
                <w:sz w:val="20"/>
                <w:szCs w:val="20"/>
              </w:rPr>
            </w:pPr>
            <w:r>
              <w:rPr>
                <w:rFonts w:cs="Arial"/>
                <w:sz w:val="20"/>
                <w:szCs w:val="20"/>
              </w:rPr>
              <w:t>1</w:t>
            </w:r>
            <w:r w:rsidR="008F6765">
              <w:rPr>
                <w:rFonts w:cs="Arial"/>
                <w:sz w:val="20"/>
                <w:szCs w:val="20"/>
              </w:rPr>
              <w:t>0</w:t>
            </w:r>
            <w:r w:rsidR="00CD58AE">
              <w:rPr>
                <w:rFonts w:cs="Arial"/>
                <w:sz w:val="20"/>
                <w:szCs w:val="20"/>
              </w:rPr>
              <w:t>1.53</w:t>
            </w:r>
            <w:r>
              <w:rPr>
                <w:rFonts w:cs="Arial"/>
                <w:sz w:val="20"/>
                <w:szCs w:val="20"/>
              </w:rPr>
              <w:t xml:space="preserve"> kWh/unit</w:t>
            </w:r>
          </w:p>
        </w:tc>
      </w:tr>
      <w:tr w:rsidR="0085508A" w:rsidRPr="00A55DD1" w14:paraId="17B8DEDA" w14:textId="77777777" w:rsidTr="0085508A">
        <w:trPr>
          <w:cantSplit/>
          <w:trHeight w:val="1134"/>
        </w:trPr>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AA54183" w14:textId="20AA0132" w:rsidR="0085508A" w:rsidRDefault="0085508A" w:rsidP="0085508A">
            <w:pPr>
              <w:spacing w:before="100" w:after="100"/>
              <w:jc w:val="right"/>
              <w:rPr>
                <w:rStyle w:val="Strong"/>
                <w:b w:val="0"/>
                <w:sz w:val="20"/>
                <w:szCs w:val="20"/>
              </w:rPr>
            </w:pPr>
            <w:r>
              <w:rPr>
                <w:rStyle w:val="Strong"/>
                <w:b w:val="0"/>
                <w:sz w:val="20"/>
                <w:szCs w:val="20"/>
              </w:rPr>
              <w:t>Gas</w:t>
            </w:r>
            <w:r w:rsidRPr="00607339">
              <w:rPr>
                <w:rStyle w:val="Strong"/>
                <w:b w:val="0"/>
                <w:sz w:val="20"/>
                <w:szCs w:val="20"/>
              </w:rPr>
              <w:t xml:space="preserve"> savings</w:t>
            </w:r>
          </w:p>
          <w:p w14:paraId="50CEF92F" w14:textId="77777777" w:rsidR="0085508A" w:rsidRDefault="0085508A" w:rsidP="0085508A">
            <w:pPr>
              <w:spacing w:before="100" w:after="100"/>
              <w:jc w:val="right"/>
              <w:rPr>
                <w:rStyle w:val="Strong"/>
                <w:b w:val="0"/>
                <w:sz w:val="20"/>
                <w:szCs w:val="20"/>
              </w:rPr>
            </w:pPr>
            <w:r w:rsidRPr="00607339">
              <w:rPr>
                <w:rStyle w:val="Strong"/>
                <w:b w:val="0"/>
                <w:sz w:val="20"/>
                <w:szCs w:val="20"/>
              </w:rPr>
              <w:t>(Base case – Measure)</w:t>
            </w:r>
          </w:p>
          <w:p w14:paraId="0EE499E9" w14:textId="5D3A3EB9" w:rsidR="0085508A" w:rsidRPr="00607339" w:rsidRDefault="0085508A" w:rsidP="0085508A">
            <w:pPr>
              <w:spacing w:before="100" w:after="100"/>
              <w:jc w:val="right"/>
              <w:rPr>
                <w:rStyle w:val="Strong"/>
                <w:b w:val="0"/>
                <w:sz w:val="20"/>
                <w:szCs w:val="20"/>
              </w:rPr>
            </w:pPr>
            <w:r>
              <w:rPr>
                <w:rStyle w:val="Strong"/>
                <w:b w:val="0"/>
                <w:sz w:val="20"/>
                <w:szCs w:val="20"/>
              </w:rPr>
              <w:t>(therms/unit)</w:t>
            </w:r>
          </w:p>
        </w:tc>
        <w:tc>
          <w:tcPr>
            <w:tcW w:w="3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F14AB8" w14:textId="4EA0BCEB" w:rsidR="0085508A" w:rsidRPr="00C0265C" w:rsidRDefault="00CD58AE" w:rsidP="00C0265C">
            <w:pPr>
              <w:spacing w:before="100" w:after="100"/>
              <w:rPr>
                <w:rFonts w:cs="Arial"/>
                <w:sz w:val="20"/>
                <w:szCs w:val="20"/>
              </w:rPr>
            </w:pPr>
            <w:r>
              <w:rPr>
                <w:rFonts w:cs="Arial"/>
                <w:sz w:val="20"/>
                <w:szCs w:val="20"/>
              </w:rPr>
              <w:t>-2.363</w:t>
            </w:r>
            <w:r w:rsidR="008F6765">
              <w:rPr>
                <w:rFonts w:cs="Arial"/>
                <w:sz w:val="20"/>
                <w:szCs w:val="20"/>
              </w:rPr>
              <w:t xml:space="preserve"> therms/unit</w:t>
            </w:r>
          </w:p>
        </w:tc>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CC7533" w14:textId="35FCDB67" w:rsidR="0085508A" w:rsidRPr="00C0265C" w:rsidRDefault="00CD58AE" w:rsidP="00C0265C">
            <w:pPr>
              <w:spacing w:before="100" w:after="100"/>
              <w:rPr>
                <w:rFonts w:cs="Arial"/>
                <w:sz w:val="20"/>
                <w:szCs w:val="20"/>
              </w:rPr>
            </w:pPr>
            <w:r>
              <w:rPr>
                <w:rFonts w:cs="Arial"/>
                <w:sz w:val="20"/>
                <w:szCs w:val="20"/>
              </w:rPr>
              <w:t>-2.008</w:t>
            </w:r>
            <w:r w:rsidR="008F6765">
              <w:rPr>
                <w:rFonts w:cs="Arial"/>
                <w:sz w:val="20"/>
                <w:szCs w:val="20"/>
              </w:rPr>
              <w:t xml:space="preserve"> therms/unit</w:t>
            </w:r>
          </w:p>
        </w:tc>
      </w:tr>
      <w:tr w:rsidR="0085508A" w:rsidRPr="00A55DD1" w14:paraId="2D38AEC4" w14:textId="77777777" w:rsidTr="0085508A">
        <w:trPr>
          <w:cantSplit/>
          <w:trHeight w:val="1134"/>
        </w:trPr>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18A87E7" w14:textId="3A3FC7F3" w:rsidR="0085508A" w:rsidRDefault="0085508A" w:rsidP="00C0265C">
            <w:pPr>
              <w:spacing w:before="100" w:after="100"/>
              <w:jc w:val="right"/>
              <w:rPr>
                <w:rStyle w:val="Strong"/>
                <w:b w:val="0"/>
                <w:sz w:val="20"/>
                <w:szCs w:val="20"/>
              </w:rPr>
            </w:pPr>
            <w:r>
              <w:rPr>
                <w:rStyle w:val="Strong"/>
                <w:b w:val="0"/>
                <w:sz w:val="20"/>
                <w:szCs w:val="20"/>
              </w:rPr>
              <w:t>Full measure cost</w:t>
            </w:r>
            <w:r w:rsidR="004B4058">
              <w:rPr>
                <w:rStyle w:val="FootnoteReference"/>
                <w:bCs/>
                <w:sz w:val="20"/>
                <w:szCs w:val="20"/>
              </w:rPr>
              <w:footnoteReference w:id="1"/>
            </w:r>
          </w:p>
          <w:p w14:paraId="30B323D9" w14:textId="6A8CA7D8" w:rsidR="0085508A" w:rsidRDefault="0085508A" w:rsidP="00C0265C">
            <w:pPr>
              <w:spacing w:before="100" w:after="100"/>
              <w:jc w:val="right"/>
              <w:rPr>
                <w:rStyle w:val="Strong"/>
                <w:b w:val="0"/>
                <w:sz w:val="20"/>
                <w:szCs w:val="20"/>
              </w:rPr>
            </w:pPr>
            <w:r w:rsidRPr="00607339">
              <w:rPr>
                <w:rStyle w:val="Strong"/>
                <w:b w:val="0"/>
                <w:sz w:val="20"/>
                <w:szCs w:val="20"/>
              </w:rPr>
              <w:t>($/unit)</w:t>
            </w:r>
          </w:p>
        </w:tc>
        <w:tc>
          <w:tcPr>
            <w:tcW w:w="3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72F79F" w14:textId="7FF71B93" w:rsidR="0085508A" w:rsidRPr="00C0265C" w:rsidRDefault="008F6765" w:rsidP="0085508A">
            <w:pPr>
              <w:spacing w:before="100" w:after="100"/>
              <w:rPr>
                <w:rFonts w:cs="Arial"/>
                <w:sz w:val="20"/>
                <w:szCs w:val="20"/>
              </w:rPr>
            </w:pPr>
            <w:r w:rsidRPr="008F6765">
              <w:rPr>
                <w:rFonts w:cs="Arial"/>
                <w:color w:val="FF0000"/>
                <w:sz w:val="20"/>
                <w:szCs w:val="20"/>
              </w:rPr>
              <w:t>Need Source</w:t>
            </w:r>
          </w:p>
        </w:tc>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928D04" w14:textId="2E4FC690" w:rsidR="0085508A" w:rsidRPr="00C0265C" w:rsidRDefault="008F6765" w:rsidP="00C0265C">
            <w:pPr>
              <w:spacing w:before="100" w:after="100"/>
              <w:rPr>
                <w:rFonts w:cs="Arial"/>
                <w:sz w:val="20"/>
                <w:szCs w:val="20"/>
              </w:rPr>
            </w:pPr>
            <w:r w:rsidRPr="008F6765">
              <w:rPr>
                <w:rFonts w:cs="Arial"/>
                <w:color w:val="FF0000"/>
                <w:sz w:val="20"/>
                <w:szCs w:val="20"/>
              </w:rPr>
              <w:t>Need Source</w:t>
            </w:r>
          </w:p>
        </w:tc>
      </w:tr>
      <w:tr w:rsidR="00C0265C" w:rsidRPr="00A55DD1" w14:paraId="393A08B2" w14:textId="09D16056" w:rsidTr="0085508A">
        <w:trPr>
          <w:cantSplit/>
          <w:trHeight w:val="1134"/>
        </w:trPr>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CFAAF47" w14:textId="04773242" w:rsidR="00C0265C" w:rsidRPr="00607339" w:rsidRDefault="00FF2F9E" w:rsidP="00C0265C">
            <w:pPr>
              <w:spacing w:before="100" w:after="100"/>
              <w:jc w:val="right"/>
              <w:rPr>
                <w:rStyle w:val="Strong"/>
                <w:b w:val="0"/>
                <w:sz w:val="20"/>
                <w:szCs w:val="20"/>
              </w:rPr>
            </w:pPr>
            <w:r>
              <w:rPr>
                <w:rStyle w:val="Strong"/>
                <w:b w:val="0"/>
                <w:sz w:val="20"/>
                <w:szCs w:val="20"/>
              </w:rPr>
              <w:lastRenderedPageBreak/>
              <w:t>Incremental measure</w:t>
            </w:r>
            <w:r w:rsidR="00C0265C" w:rsidRPr="00607339">
              <w:rPr>
                <w:rStyle w:val="Strong"/>
                <w:b w:val="0"/>
                <w:sz w:val="20"/>
                <w:szCs w:val="20"/>
              </w:rPr>
              <w:t xml:space="preserve"> cost</w:t>
            </w:r>
            <w:r w:rsidR="00C0265C" w:rsidRPr="00607339">
              <w:rPr>
                <w:rStyle w:val="FootnoteReference"/>
                <w:b/>
                <w:bCs/>
                <w:sz w:val="20"/>
                <w:szCs w:val="20"/>
              </w:rPr>
              <w:footnoteReference w:id="2"/>
            </w:r>
            <w:r w:rsidR="00C0265C" w:rsidRPr="00607339">
              <w:rPr>
                <w:rStyle w:val="Strong"/>
                <w:b w:val="0"/>
                <w:sz w:val="20"/>
                <w:szCs w:val="20"/>
              </w:rPr>
              <w:t xml:space="preserve"> </w:t>
            </w:r>
          </w:p>
          <w:p w14:paraId="393A08AE" w14:textId="58230AC9" w:rsidR="00C0265C" w:rsidRPr="00607339" w:rsidRDefault="00C0265C" w:rsidP="00C0265C">
            <w:pPr>
              <w:spacing w:before="100" w:after="100"/>
              <w:jc w:val="right"/>
              <w:rPr>
                <w:rStyle w:val="Strong"/>
                <w:b w:val="0"/>
                <w:sz w:val="20"/>
                <w:szCs w:val="20"/>
              </w:rPr>
            </w:pPr>
            <w:r w:rsidRPr="00607339">
              <w:rPr>
                <w:rStyle w:val="Strong"/>
                <w:b w:val="0"/>
                <w:sz w:val="20"/>
                <w:szCs w:val="20"/>
              </w:rPr>
              <w:t>($/unit)</w:t>
            </w:r>
          </w:p>
        </w:tc>
        <w:tc>
          <w:tcPr>
            <w:tcW w:w="3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3A08B1" w14:textId="09F08CF0" w:rsidR="001D5D40" w:rsidRPr="00C0265C" w:rsidRDefault="008F6765" w:rsidP="00C0265C">
            <w:pPr>
              <w:spacing w:before="100" w:after="100"/>
              <w:rPr>
                <w:rFonts w:cs="Arial"/>
                <w:sz w:val="20"/>
                <w:szCs w:val="20"/>
              </w:rPr>
            </w:pPr>
            <w:r w:rsidRPr="008F6765">
              <w:rPr>
                <w:rFonts w:cs="Arial"/>
                <w:color w:val="FF0000"/>
                <w:sz w:val="20"/>
                <w:szCs w:val="20"/>
              </w:rPr>
              <w:t>Need Source</w:t>
            </w:r>
          </w:p>
        </w:tc>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E3954C" w14:textId="6C5B7D12" w:rsidR="00C0265C" w:rsidRPr="00C0265C" w:rsidRDefault="008F6765" w:rsidP="00C0265C">
            <w:pPr>
              <w:spacing w:before="100" w:after="100"/>
              <w:rPr>
                <w:rFonts w:cs="Arial"/>
                <w:sz w:val="20"/>
                <w:szCs w:val="20"/>
              </w:rPr>
            </w:pPr>
            <w:r w:rsidRPr="008F6765">
              <w:rPr>
                <w:rFonts w:cs="Arial"/>
                <w:color w:val="FF0000"/>
                <w:sz w:val="20"/>
                <w:szCs w:val="20"/>
              </w:rPr>
              <w:t>Need Source</w:t>
            </w:r>
          </w:p>
        </w:tc>
      </w:tr>
      <w:tr w:rsidR="00C0265C" w:rsidRPr="00A55DD1" w14:paraId="393A08B5" w14:textId="27E865ED" w:rsidTr="0085508A">
        <w:trPr>
          <w:cantSplit/>
          <w:trHeight w:val="1134"/>
        </w:trPr>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7931536" w14:textId="1A168AA9" w:rsidR="00C0265C" w:rsidRPr="00607339" w:rsidRDefault="00C0265C" w:rsidP="00C0265C">
            <w:pPr>
              <w:spacing w:before="100" w:after="100"/>
              <w:jc w:val="right"/>
              <w:rPr>
                <w:rStyle w:val="Strong"/>
                <w:b w:val="0"/>
                <w:sz w:val="20"/>
                <w:szCs w:val="20"/>
              </w:rPr>
            </w:pPr>
            <w:r w:rsidRPr="00607339">
              <w:rPr>
                <w:rStyle w:val="Strong"/>
                <w:b w:val="0"/>
                <w:sz w:val="20"/>
                <w:szCs w:val="20"/>
              </w:rPr>
              <w:t xml:space="preserve">Effective useful life </w:t>
            </w:r>
          </w:p>
          <w:p w14:paraId="393A08B3" w14:textId="33371056" w:rsidR="00C0265C" w:rsidRPr="00607339" w:rsidRDefault="00C0265C" w:rsidP="00C0265C">
            <w:pPr>
              <w:spacing w:before="100" w:after="100"/>
              <w:jc w:val="right"/>
              <w:rPr>
                <w:rStyle w:val="Strong"/>
                <w:b w:val="0"/>
                <w:sz w:val="20"/>
                <w:szCs w:val="20"/>
              </w:rPr>
            </w:pPr>
            <w:r w:rsidRPr="00607339">
              <w:rPr>
                <w:rStyle w:val="Strong"/>
                <w:b w:val="0"/>
                <w:sz w:val="20"/>
                <w:szCs w:val="20"/>
              </w:rPr>
              <w:t>(years)</w:t>
            </w:r>
          </w:p>
        </w:tc>
        <w:tc>
          <w:tcPr>
            <w:tcW w:w="3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3BA4DD" w14:textId="452752B5" w:rsidR="00C0265C" w:rsidRPr="00C0265C" w:rsidRDefault="008F6765" w:rsidP="00C0265C">
            <w:pPr>
              <w:spacing w:before="100" w:after="100"/>
              <w:rPr>
                <w:rFonts w:cs="Arial"/>
                <w:sz w:val="20"/>
                <w:szCs w:val="20"/>
              </w:rPr>
            </w:pPr>
            <w:r>
              <w:rPr>
                <w:rFonts w:cs="Arial"/>
                <w:sz w:val="20"/>
                <w:szCs w:val="20"/>
              </w:rPr>
              <w:t>6 years per ECOVA Study</w:t>
            </w:r>
          </w:p>
          <w:p w14:paraId="393A08B4" w14:textId="195C2024" w:rsidR="00C0265C" w:rsidRPr="00C0265C" w:rsidRDefault="00C0265C" w:rsidP="00C0265C">
            <w:pPr>
              <w:spacing w:before="100" w:after="100"/>
              <w:rPr>
                <w:rFonts w:cs="Arial"/>
                <w:sz w:val="20"/>
                <w:szCs w:val="20"/>
              </w:rPr>
            </w:pPr>
          </w:p>
        </w:tc>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128349" w14:textId="4471503B" w:rsidR="00C0265C" w:rsidRPr="00C0265C" w:rsidRDefault="008F6765" w:rsidP="00C0265C">
            <w:pPr>
              <w:spacing w:before="100" w:after="100"/>
              <w:rPr>
                <w:rFonts w:cs="Arial"/>
                <w:sz w:val="20"/>
                <w:szCs w:val="20"/>
              </w:rPr>
            </w:pPr>
            <w:r w:rsidRPr="008F6765">
              <w:rPr>
                <w:rFonts w:cs="Arial"/>
                <w:sz w:val="20"/>
                <w:szCs w:val="20"/>
              </w:rPr>
              <w:t>6 years per ECOVA Study</w:t>
            </w:r>
          </w:p>
        </w:tc>
      </w:tr>
      <w:tr w:rsidR="00C0265C" w:rsidRPr="00A55DD1" w14:paraId="393A08BB" w14:textId="55B6739D" w:rsidTr="0085508A">
        <w:trPr>
          <w:cantSplit/>
          <w:trHeight w:val="1134"/>
        </w:trPr>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93A08B9" w14:textId="2422B579" w:rsidR="00C0265C" w:rsidRPr="00607339" w:rsidRDefault="00C0265C" w:rsidP="00C0265C">
            <w:pPr>
              <w:spacing w:before="100" w:after="100"/>
              <w:jc w:val="right"/>
              <w:rPr>
                <w:rStyle w:val="Strong"/>
                <w:b w:val="0"/>
                <w:sz w:val="20"/>
                <w:szCs w:val="20"/>
              </w:rPr>
            </w:pPr>
            <w:r w:rsidRPr="00607339">
              <w:rPr>
                <w:rStyle w:val="Strong"/>
                <w:b w:val="0"/>
                <w:sz w:val="20"/>
                <w:szCs w:val="20"/>
              </w:rPr>
              <w:t xml:space="preserve">Net-to-gross ratio(s) </w:t>
            </w:r>
          </w:p>
        </w:tc>
        <w:tc>
          <w:tcPr>
            <w:tcW w:w="3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3A08BA" w14:textId="0539473A" w:rsidR="00C0265C" w:rsidRPr="00C0265C" w:rsidRDefault="00B92153" w:rsidP="00C0265C">
            <w:pPr>
              <w:spacing w:before="100" w:after="100"/>
              <w:rPr>
                <w:rFonts w:cs="Arial"/>
                <w:sz w:val="20"/>
                <w:szCs w:val="20"/>
              </w:rPr>
            </w:pPr>
            <w:r>
              <w:rPr>
                <w:rFonts w:cs="Arial"/>
                <w:sz w:val="20"/>
                <w:szCs w:val="20"/>
              </w:rPr>
              <w:t>0.70</w:t>
            </w:r>
            <w:r w:rsidR="008F6765">
              <w:rPr>
                <w:rFonts w:cs="Arial"/>
                <w:sz w:val="20"/>
                <w:szCs w:val="20"/>
              </w:rPr>
              <w:t xml:space="preserve"> (DEER 2015)</w:t>
            </w:r>
          </w:p>
        </w:tc>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4F84C7" w14:textId="07D32309" w:rsidR="00C0265C" w:rsidRPr="00C0265C" w:rsidRDefault="008F6765" w:rsidP="00B92153">
            <w:pPr>
              <w:spacing w:before="100" w:after="100"/>
              <w:rPr>
                <w:rFonts w:cs="Arial"/>
                <w:sz w:val="20"/>
                <w:szCs w:val="20"/>
              </w:rPr>
            </w:pPr>
            <w:r>
              <w:rPr>
                <w:rFonts w:cs="Arial"/>
                <w:sz w:val="20"/>
                <w:szCs w:val="20"/>
              </w:rPr>
              <w:t>0.</w:t>
            </w:r>
            <w:r w:rsidR="00B92153">
              <w:rPr>
                <w:rFonts w:cs="Arial"/>
                <w:sz w:val="20"/>
                <w:szCs w:val="20"/>
              </w:rPr>
              <w:t>70</w:t>
            </w:r>
            <w:r>
              <w:rPr>
                <w:rFonts w:cs="Arial"/>
                <w:sz w:val="20"/>
                <w:szCs w:val="20"/>
              </w:rPr>
              <w:t xml:space="preserve"> (DEER 2015)</w:t>
            </w:r>
          </w:p>
        </w:tc>
      </w:tr>
      <w:tr w:rsidR="00C0265C" w:rsidRPr="00A55DD1" w14:paraId="6F1EA2C0" w14:textId="77777777" w:rsidTr="0085508A">
        <w:trPr>
          <w:cantSplit/>
          <w:trHeight w:val="1134"/>
        </w:trPr>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C6CD3E7" w14:textId="2360B6D1" w:rsidR="00C0265C" w:rsidRPr="00607339" w:rsidRDefault="00C0265C" w:rsidP="00616F90">
            <w:pPr>
              <w:spacing w:before="100" w:after="100"/>
              <w:jc w:val="right"/>
              <w:rPr>
                <w:rStyle w:val="Strong"/>
                <w:b w:val="0"/>
                <w:sz w:val="20"/>
                <w:szCs w:val="20"/>
              </w:rPr>
            </w:pPr>
            <w:r w:rsidRPr="00607339">
              <w:rPr>
                <w:rStyle w:val="Strong"/>
                <w:b w:val="0"/>
                <w:sz w:val="20"/>
                <w:szCs w:val="20"/>
              </w:rPr>
              <w:t xml:space="preserve">Important </w:t>
            </w:r>
            <w:r w:rsidR="00616F90" w:rsidRPr="00607339">
              <w:rPr>
                <w:rStyle w:val="Strong"/>
                <w:b w:val="0"/>
                <w:sz w:val="20"/>
                <w:szCs w:val="20"/>
              </w:rPr>
              <w:t>c</w:t>
            </w:r>
            <w:r w:rsidRPr="00607339">
              <w:rPr>
                <w:rStyle w:val="Strong"/>
                <w:b w:val="0"/>
                <w:sz w:val="20"/>
                <w:szCs w:val="20"/>
              </w:rPr>
              <w:t>omments</w:t>
            </w:r>
          </w:p>
        </w:tc>
        <w:tc>
          <w:tcPr>
            <w:tcW w:w="3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0A1578" w14:textId="77777777" w:rsidR="00C0265C" w:rsidRPr="00C0265C" w:rsidRDefault="00C0265C" w:rsidP="003F526B">
            <w:pPr>
              <w:spacing w:before="100" w:after="100"/>
              <w:rPr>
                <w:rFonts w:cs="Arial"/>
                <w:sz w:val="20"/>
                <w:szCs w:val="20"/>
              </w:rPr>
            </w:pPr>
          </w:p>
        </w:tc>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E65A30" w14:textId="77777777" w:rsidR="00C0265C" w:rsidRPr="00C0265C" w:rsidRDefault="00C0265C" w:rsidP="003F526B">
            <w:pPr>
              <w:spacing w:before="100" w:after="100"/>
              <w:rPr>
                <w:rFonts w:cs="Arial"/>
                <w:sz w:val="20"/>
                <w:szCs w:val="20"/>
              </w:rPr>
            </w:pPr>
          </w:p>
        </w:tc>
      </w:tr>
    </w:tbl>
    <w:p w14:paraId="393A08C1" w14:textId="77777777" w:rsidR="007F2147" w:rsidRPr="005F19E0" w:rsidRDefault="007F2147" w:rsidP="0006490F">
      <w:pPr>
        <w:rPr>
          <w:rFonts w:cs="Arial"/>
          <w:b/>
          <w:color w:val="FF0000"/>
          <w:sz w:val="20"/>
          <w:szCs w:val="20"/>
        </w:rPr>
        <w:sectPr w:rsidR="007F2147" w:rsidRPr="005F19E0" w:rsidSect="00EB39D0">
          <w:headerReference w:type="even" r:id="rId18"/>
          <w:headerReference w:type="default" r:id="rId19"/>
          <w:footerReference w:type="even" r:id="rId20"/>
          <w:footerReference w:type="default" r:id="rId21"/>
          <w:headerReference w:type="first" r:id="rId22"/>
          <w:footerReference w:type="first" r:id="rId23"/>
          <w:endnotePr>
            <w:numFmt w:val="decimal"/>
          </w:endnotePr>
          <w:pgSz w:w="12240" w:h="15840"/>
          <w:pgMar w:top="1440" w:right="1440" w:bottom="1440" w:left="1440" w:header="720" w:footer="720" w:gutter="0"/>
          <w:pgNumType w:fmt="lowerRoman" w:start="1"/>
          <w:cols w:space="720"/>
          <w:docGrid w:linePitch="360"/>
        </w:sectPr>
      </w:pPr>
    </w:p>
    <w:p w14:paraId="393A0A59" w14:textId="1F7AA963" w:rsidR="00E71EF1" w:rsidRDefault="00E71EF1" w:rsidP="006D318D">
      <w:pPr>
        <w:pStyle w:val="Heading1-NoSectionNo"/>
      </w:pPr>
      <w:bookmarkStart w:id="7" w:name="_Toc304800196"/>
      <w:bookmarkStart w:id="8" w:name="_Toc324318333"/>
      <w:bookmarkStart w:id="9" w:name="_Toc324340477"/>
      <w:bookmarkStart w:id="10" w:name="_Toc385592978"/>
      <w:r>
        <w:lastRenderedPageBreak/>
        <w:t>Document Revision History</w:t>
      </w:r>
      <w:bookmarkEnd w:id="7"/>
      <w:bookmarkEnd w:id="8"/>
      <w:bookmarkEnd w:id="9"/>
      <w:bookmarkEnd w:id="10"/>
    </w:p>
    <w:p w14:paraId="393A0A5A" w14:textId="77777777" w:rsidR="00E91C15" w:rsidRDefault="007F1E48" w:rsidP="001A573F">
      <w:r>
        <w:t xml:space="preserve">     </w:t>
      </w:r>
      <w:r w:rsidR="00E91C15">
        <w:tab/>
      </w:r>
      <w:r w:rsidR="00E91C15">
        <w:tab/>
      </w:r>
      <w:r w:rsidR="00E91C15">
        <w:tab/>
      </w:r>
      <w:r w:rsidR="00E91C15">
        <w:tab/>
        <w:t xml:space="preserve">         </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1441"/>
        <w:gridCol w:w="3092"/>
        <w:gridCol w:w="3090"/>
      </w:tblGrid>
      <w:tr w:rsidR="000374A5" w:rsidRPr="00FF2F9E" w14:paraId="393A0A5F" w14:textId="77777777" w:rsidTr="00271E01">
        <w:trPr>
          <w:trHeight w:val="464"/>
          <w:jc w:val="center"/>
        </w:trPr>
        <w:tc>
          <w:tcPr>
            <w:tcW w:w="858" w:type="pct"/>
            <w:shd w:val="clear" w:color="auto" w:fill="D9D9D9" w:themeFill="background1" w:themeFillShade="D9"/>
            <w:vAlign w:val="center"/>
          </w:tcPr>
          <w:p w14:paraId="393A0A5B" w14:textId="77777777" w:rsidR="000374A5" w:rsidRPr="00FF2F9E" w:rsidRDefault="000374A5" w:rsidP="00607339">
            <w:pPr>
              <w:spacing w:before="60" w:after="60"/>
              <w:jc w:val="center"/>
              <w:rPr>
                <w:bCs/>
                <w:sz w:val="20"/>
                <w:szCs w:val="20"/>
              </w:rPr>
            </w:pPr>
            <w:r w:rsidRPr="00FF2F9E">
              <w:rPr>
                <w:sz w:val="20"/>
                <w:szCs w:val="20"/>
              </w:rPr>
              <w:t>Revision #</w:t>
            </w:r>
            <w:r w:rsidRPr="00FF2F9E">
              <w:rPr>
                <w:sz w:val="20"/>
                <w:szCs w:val="20"/>
              </w:rPr>
              <w:tab/>
            </w:r>
          </w:p>
        </w:tc>
        <w:tc>
          <w:tcPr>
            <w:tcW w:w="783" w:type="pct"/>
            <w:shd w:val="clear" w:color="auto" w:fill="D9D9D9" w:themeFill="background1" w:themeFillShade="D9"/>
            <w:vAlign w:val="center"/>
          </w:tcPr>
          <w:p w14:paraId="393A0A5C" w14:textId="77777777" w:rsidR="000374A5" w:rsidRPr="00FF2F9E" w:rsidRDefault="005B00A6" w:rsidP="00607339">
            <w:pPr>
              <w:spacing w:before="60" w:after="60"/>
              <w:jc w:val="center"/>
              <w:rPr>
                <w:bCs/>
                <w:sz w:val="20"/>
                <w:szCs w:val="20"/>
              </w:rPr>
            </w:pPr>
            <w:r w:rsidRPr="00FF2F9E">
              <w:rPr>
                <w:sz w:val="20"/>
                <w:szCs w:val="20"/>
              </w:rPr>
              <w:t>Revision Date</w:t>
            </w:r>
            <w:r w:rsidR="000374A5" w:rsidRPr="00FF2F9E">
              <w:rPr>
                <w:sz w:val="20"/>
                <w:szCs w:val="20"/>
              </w:rPr>
              <w:tab/>
            </w:r>
          </w:p>
        </w:tc>
        <w:tc>
          <w:tcPr>
            <w:tcW w:w="1680" w:type="pct"/>
            <w:shd w:val="clear" w:color="auto" w:fill="D9D9D9" w:themeFill="background1" w:themeFillShade="D9"/>
            <w:vAlign w:val="center"/>
          </w:tcPr>
          <w:p w14:paraId="393A0A5D" w14:textId="77777777" w:rsidR="000374A5" w:rsidRPr="00FF2F9E" w:rsidRDefault="000374A5" w:rsidP="00607339">
            <w:pPr>
              <w:spacing w:before="60" w:after="60"/>
              <w:jc w:val="center"/>
              <w:rPr>
                <w:bCs/>
                <w:sz w:val="20"/>
                <w:szCs w:val="20"/>
              </w:rPr>
            </w:pPr>
            <w:r w:rsidRPr="00FF2F9E">
              <w:rPr>
                <w:sz w:val="20"/>
                <w:szCs w:val="20"/>
              </w:rPr>
              <w:t>Section</w:t>
            </w:r>
            <w:r w:rsidR="00113464" w:rsidRPr="00FF2F9E">
              <w:rPr>
                <w:sz w:val="20"/>
                <w:szCs w:val="20"/>
              </w:rPr>
              <w:t>-</w:t>
            </w:r>
            <w:r w:rsidRPr="00FF2F9E">
              <w:rPr>
                <w:sz w:val="20"/>
                <w:szCs w:val="20"/>
              </w:rPr>
              <w:t>by</w:t>
            </w:r>
            <w:r w:rsidR="00113464" w:rsidRPr="00FF2F9E">
              <w:rPr>
                <w:sz w:val="20"/>
                <w:szCs w:val="20"/>
              </w:rPr>
              <w:t>-</w:t>
            </w:r>
            <w:r w:rsidRPr="00FF2F9E">
              <w:rPr>
                <w:sz w:val="20"/>
                <w:szCs w:val="20"/>
              </w:rPr>
              <w:t>Section Description of Revisions</w:t>
            </w:r>
          </w:p>
        </w:tc>
        <w:tc>
          <w:tcPr>
            <w:tcW w:w="1680" w:type="pct"/>
            <w:shd w:val="clear" w:color="auto" w:fill="D9D9D9" w:themeFill="background1" w:themeFillShade="D9"/>
            <w:vAlign w:val="center"/>
          </w:tcPr>
          <w:p w14:paraId="393A0A5E" w14:textId="6CAD7425" w:rsidR="000374A5" w:rsidRPr="00FF2F9E" w:rsidRDefault="00520480" w:rsidP="00607339">
            <w:pPr>
              <w:spacing w:before="60" w:after="60"/>
              <w:jc w:val="center"/>
              <w:rPr>
                <w:bCs/>
                <w:sz w:val="20"/>
                <w:szCs w:val="20"/>
              </w:rPr>
            </w:pPr>
            <w:r w:rsidRPr="00FF2F9E">
              <w:rPr>
                <w:sz w:val="20"/>
                <w:szCs w:val="20"/>
              </w:rPr>
              <w:t>Author (Name, PA)</w:t>
            </w:r>
          </w:p>
        </w:tc>
      </w:tr>
      <w:tr w:rsidR="00E91C15" w:rsidRPr="00783DAC" w14:paraId="393A0A64" w14:textId="77777777" w:rsidTr="00271E01">
        <w:trPr>
          <w:trHeight w:val="464"/>
          <w:jc w:val="center"/>
        </w:trPr>
        <w:tc>
          <w:tcPr>
            <w:tcW w:w="858" w:type="pct"/>
            <w:shd w:val="clear" w:color="auto" w:fill="auto"/>
          </w:tcPr>
          <w:p w14:paraId="393A0A60" w14:textId="63FBA770" w:rsidR="00E91C15" w:rsidRPr="00783DAC" w:rsidRDefault="00402C83" w:rsidP="008948E0">
            <w:pPr>
              <w:rPr>
                <w:b/>
                <w:bCs/>
              </w:rPr>
            </w:pPr>
            <w:r>
              <w:rPr>
                <w:b/>
                <w:bCs/>
              </w:rPr>
              <w:t>0</w:t>
            </w:r>
          </w:p>
        </w:tc>
        <w:tc>
          <w:tcPr>
            <w:tcW w:w="783" w:type="pct"/>
            <w:shd w:val="clear" w:color="auto" w:fill="auto"/>
          </w:tcPr>
          <w:p w14:paraId="393A0A61" w14:textId="48536787" w:rsidR="00E91C15" w:rsidRPr="00783DAC" w:rsidRDefault="00402C83" w:rsidP="008948E0">
            <w:pPr>
              <w:rPr>
                <w:b/>
                <w:bCs/>
                <w:sz w:val="20"/>
                <w:szCs w:val="20"/>
                <w:highlight w:val="yellow"/>
              </w:rPr>
            </w:pPr>
            <w:r w:rsidRPr="00402C83">
              <w:rPr>
                <w:b/>
                <w:bCs/>
                <w:sz w:val="20"/>
                <w:szCs w:val="20"/>
              </w:rPr>
              <w:t>4/13/15</w:t>
            </w:r>
          </w:p>
        </w:tc>
        <w:tc>
          <w:tcPr>
            <w:tcW w:w="1680" w:type="pct"/>
            <w:shd w:val="clear" w:color="auto" w:fill="auto"/>
          </w:tcPr>
          <w:p w14:paraId="393A0A62" w14:textId="42F777F5" w:rsidR="00E91C15" w:rsidRPr="00783DAC" w:rsidRDefault="00402C83" w:rsidP="008948E0">
            <w:pPr>
              <w:rPr>
                <w:b/>
                <w:bCs/>
                <w:sz w:val="20"/>
                <w:szCs w:val="20"/>
              </w:rPr>
            </w:pPr>
            <w:r>
              <w:rPr>
                <w:b/>
                <w:bCs/>
                <w:sz w:val="20"/>
                <w:szCs w:val="20"/>
              </w:rPr>
              <w:t>New Work Paper</w:t>
            </w:r>
          </w:p>
        </w:tc>
        <w:tc>
          <w:tcPr>
            <w:tcW w:w="1680" w:type="pct"/>
            <w:shd w:val="clear" w:color="auto" w:fill="auto"/>
          </w:tcPr>
          <w:p w14:paraId="393A0A63" w14:textId="2AC1DAE8" w:rsidR="00E91C15" w:rsidRPr="00783DAC" w:rsidRDefault="00402C83" w:rsidP="008948E0">
            <w:pPr>
              <w:rPr>
                <w:b/>
                <w:bCs/>
                <w:sz w:val="20"/>
                <w:szCs w:val="20"/>
              </w:rPr>
            </w:pPr>
            <w:r>
              <w:rPr>
                <w:b/>
                <w:bCs/>
                <w:sz w:val="20"/>
                <w:szCs w:val="20"/>
              </w:rPr>
              <w:t>Alfredo Gutierrez, SCE</w:t>
            </w:r>
          </w:p>
        </w:tc>
      </w:tr>
      <w:tr w:rsidR="00730F7C" w:rsidRPr="00DE21B1" w14:paraId="393A0A69" w14:textId="77777777" w:rsidTr="00271E01">
        <w:trPr>
          <w:trHeight w:val="464"/>
          <w:jc w:val="center"/>
        </w:trPr>
        <w:tc>
          <w:tcPr>
            <w:tcW w:w="858" w:type="pct"/>
            <w:shd w:val="clear" w:color="auto" w:fill="auto"/>
          </w:tcPr>
          <w:p w14:paraId="393A0A65" w14:textId="2172C5CE" w:rsidR="00730F7C" w:rsidRPr="00DE21B1" w:rsidRDefault="00730F7C" w:rsidP="008948E0">
            <w:pPr>
              <w:rPr>
                <w:b/>
              </w:rPr>
            </w:pPr>
          </w:p>
        </w:tc>
        <w:tc>
          <w:tcPr>
            <w:tcW w:w="783" w:type="pct"/>
            <w:shd w:val="clear" w:color="auto" w:fill="auto"/>
          </w:tcPr>
          <w:p w14:paraId="393A0A66" w14:textId="6897C523" w:rsidR="00730F7C" w:rsidRPr="005B00A6" w:rsidRDefault="00730F7C" w:rsidP="005B00A6">
            <w:pPr>
              <w:autoSpaceDE w:val="0"/>
              <w:autoSpaceDN w:val="0"/>
              <w:adjustRightInd w:val="0"/>
              <w:rPr>
                <w:b/>
                <w:sz w:val="20"/>
                <w:szCs w:val="20"/>
                <w:highlight w:val="yellow"/>
              </w:rPr>
            </w:pPr>
          </w:p>
        </w:tc>
        <w:tc>
          <w:tcPr>
            <w:tcW w:w="1680" w:type="pct"/>
            <w:shd w:val="clear" w:color="auto" w:fill="auto"/>
          </w:tcPr>
          <w:p w14:paraId="393A0A67" w14:textId="567F316B" w:rsidR="00730F7C" w:rsidRPr="00DE21B1" w:rsidRDefault="00730F7C" w:rsidP="008948E0">
            <w:pPr>
              <w:rPr>
                <w:b/>
                <w:sz w:val="20"/>
                <w:szCs w:val="20"/>
              </w:rPr>
            </w:pPr>
          </w:p>
        </w:tc>
        <w:tc>
          <w:tcPr>
            <w:tcW w:w="1680" w:type="pct"/>
            <w:shd w:val="clear" w:color="auto" w:fill="auto"/>
          </w:tcPr>
          <w:p w14:paraId="393A0A68" w14:textId="50D35560" w:rsidR="00730F7C" w:rsidRPr="00DE21B1" w:rsidRDefault="00730F7C" w:rsidP="00746DDC">
            <w:pPr>
              <w:rPr>
                <w:b/>
                <w:bCs/>
                <w:sz w:val="20"/>
                <w:szCs w:val="20"/>
              </w:rPr>
            </w:pPr>
          </w:p>
        </w:tc>
      </w:tr>
    </w:tbl>
    <w:p w14:paraId="393A0A6A" w14:textId="08C4C277" w:rsidR="009F0DDC" w:rsidRDefault="009F0DDC" w:rsidP="009341FB">
      <w:pPr>
        <w:pStyle w:val="Heading1"/>
        <w:ind w:left="432" w:hanging="432"/>
      </w:pPr>
      <w:bookmarkStart w:id="11" w:name="_Toc186621650"/>
      <w:bookmarkStart w:id="12" w:name="_Toc304800197"/>
      <w:bookmarkStart w:id="13" w:name="_Toc324318334"/>
    </w:p>
    <w:p w14:paraId="772FD5B6" w14:textId="26268D49" w:rsidR="002F4B05" w:rsidRDefault="002F4B05" w:rsidP="002F4B05">
      <w:pPr>
        <w:pStyle w:val="Heading1-NoSectionNo"/>
      </w:pPr>
      <w:r>
        <w:t>Commission Staff Review and Comment History</w:t>
      </w:r>
    </w:p>
    <w:p w14:paraId="0126A66D" w14:textId="77777777" w:rsidR="002F4B05" w:rsidRDefault="002F4B05" w:rsidP="002F4B05">
      <w:r>
        <w:t xml:space="preserve">     </w:t>
      </w:r>
      <w:r>
        <w:tab/>
      </w:r>
      <w:r>
        <w:tab/>
      </w:r>
      <w:r>
        <w:tab/>
      </w:r>
      <w:r>
        <w:tab/>
        <w:t xml:space="preserve">         </w:t>
      </w:r>
    </w:p>
    <w:tbl>
      <w:tblPr>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1442"/>
        <w:gridCol w:w="2142"/>
        <w:gridCol w:w="4056"/>
      </w:tblGrid>
      <w:tr w:rsidR="002F4B05" w:rsidRPr="00FF2F9E" w14:paraId="66AC11AE" w14:textId="77777777" w:rsidTr="002F4B05">
        <w:trPr>
          <w:trHeight w:val="464"/>
          <w:jc w:val="center"/>
        </w:trPr>
        <w:tc>
          <w:tcPr>
            <w:tcW w:w="856" w:type="pct"/>
            <w:shd w:val="clear" w:color="auto" w:fill="D9D9D9" w:themeFill="background1" w:themeFillShade="D9"/>
            <w:vAlign w:val="center"/>
          </w:tcPr>
          <w:p w14:paraId="42CB4817" w14:textId="77777777" w:rsidR="002F4B05" w:rsidRPr="00FF2F9E" w:rsidRDefault="002F4B05" w:rsidP="00E73C76">
            <w:pPr>
              <w:spacing w:before="60" w:after="60"/>
              <w:jc w:val="center"/>
              <w:rPr>
                <w:bCs/>
                <w:sz w:val="20"/>
                <w:szCs w:val="20"/>
              </w:rPr>
            </w:pPr>
            <w:r w:rsidRPr="00FF2F9E">
              <w:rPr>
                <w:sz w:val="20"/>
                <w:szCs w:val="20"/>
              </w:rPr>
              <w:t>Revision #</w:t>
            </w:r>
            <w:r w:rsidRPr="00FF2F9E">
              <w:rPr>
                <w:sz w:val="20"/>
                <w:szCs w:val="20"/>
              </w:rPr>
              <w:tab/>
            </w:r>
          </w:p>
        </w:tc>
        <w:tc>
          <w:tcPr>
            <w:tcW w:w="782" w:type="pct"/>
            <w:shd w:val="clear" w:color="auto" w:fill="D9D9D9" w:themeFill="background1" w:themeFillShade="D9"/>
            <w:vAlign w:val="center"/>
          </w:tcPr>
          <w:p w14:paraId="0B995F72" w14:textId="7332F147" w:rsidR="002F4B05" w:rsidRPr="00FF2F9E" w:rsidRDefault="002F4B05" w:rsidP="00E73C76">
            <w:pPr>
              <w:spacing w:before="60" w:after="60"/>
              <w:jc w:val="center"/>
              <w:rPr>
                <w:bCs/>
                <w:sz w:val="20"/>
                <w:szCs w:val="20"/>
              </w:rPr>
            </w:pPr>
            <w:r>
              <w:rPr>
                <w:sz w:val="20"/>
                <w:szCs w:val="20"/>
              </w:rPr>
              <w:t>Date Submitted to Commission Staff</w:t>
            </w:r>
          </w:p>
        </w:tc>
        <w:tc>
          <w:tcPr>
            <w:tcW w:w="1162" w:type="pct"/>
            <w:shd w:val="clear" w:color="auto" w:fill="D9D9D9" w:themeFill="background1" w:themeFillShade="D9"/>
            <w:vAlign w:val="center"/>
          </w:tcPr>
          <w:p w14:paraId="15EF4320" w14:textId="2656873B" w:rsidR="002F4B05" w:rsidRPr="00FF2F9E" w:rsidRDefault="002F4B05" w:rsidP="00E73C76">
            <w:pPr>
              <w:spacing w:before="60" w:after="60"/>
              <w:jc w:val="center"/>
              <w:rPr>
                <w:bCs/>
                <w:sz w:val="20"/>
                <w:szCs w:val="20"/>
              </w:rPr>
            </w:pPr>
            <w:r>
              <w:rPr>
                <w:sz w:val="20"/>
                <w:szCs w:val="20"/>
              </w:rPr>
              <w:t>Date Comments Received</w:t>
            </w:r>
          </w:p>
        </w:tc>
        <w:tc>
          <w:tcPr>
            <w:tcW w:w="2201" w:type="pct"/>
            <w:shd w:val="clear" w:color="auto" w:fill="D9D9D9" w:themeFill="background1" w:themeFillShade="D9"/>
            <w:vAlign w:val="center"/>
          </w:tcPr>
          <w:p w14:paraId="16EEEAA2" w14:textId="045F2B01" w:rsidR="002F4B05" w:rsidRPr="00FF2F9E" w:rsidRDefault="002F4B05" w:rsidP="00E73C76">
            <w:pPr>
              <w:spacing w:before="60" w:after="60"/>
              <w:jc w:val="center"/>
              <w:rPr>
                <w:bCs/>
                <w:sz w:val="20"/>
                <w:szCs w:val="20"/>
              </w:rPr>
            </w:pPr>
            <w:r>
              <w:rPr>
                <w:sz w:val="20"/>
                <w:szCs w:val="20"/>
              </w:rPr>
              <w:t>Commission Staff Comments</w:t>
            </w:r>
          </w:p>
        </w:tc>
      </w:tr>
      <w:tr w:rsidR="002F4B05" w:rsidRPr="00783DAC" w14:paraId="035F8EE4" w14:textId="77777777" w:rsidTr="002F4B05">
        <w:trPr>
          <w:trHeight w:val="464"/>
          <w:jc w:val="center"/>
        </w:trPr>
        <w:tc>
          <w:tcPr>
            <w:tcW w:w="856" w:type="pct"/>
            <w:shd w:val="clear" w:color="auto" w:fill="auto"/>
          </w:tcPr>
          <w:p w14:paraId="722F2F54" w14:textId="77777777" w:rsidR="002F4B05" w:rsidRPr="00783DAC" w:rsidRDefault="002F4B05" w:rsidP="00E73C76">
            <w:pPr>
              <w:rPr>
                <w:b/>
                <w:bCs/>
              </w:rPr>
            </w:pPr>
          </w:p>
        </w:tc>
        <w:tc>
          <w:tcPr>
            <w:tcW w:w="782" w:type="pct"/>
            <w:shd w:val="clear" w:color="auto" w:fill="auto"/>
          </w:tcPr>
          <w:p w14:paraId="173791AB" w14:textId="77777777" w:rsidR="002F4B05" w:rsidRPr="00783DAC" w:rsidRDefault="002F4B05" w:rsidP="00E73C76">
            <w:pPr>
              <w:rPr>
                <w:b/>
                <w:bCs/>
                <w:sz w:val="20"/>
                <w:szCs w:val="20"/>
                <w:highlight w:val="yellow"/>
              </w:rPr>
            </w:pPr>
          </w:p>
        </w:tc>
        <w:tc>
          <w:tcPr>
            <w:tcW w:w="1162" w:type="pct"/>
            <w:shd w:val="clear" w:color="auto" w:fill="auto"/>
          </w:tcPr>
          <w:p w14:paraId="49DC132E" w14:textId="77777777" w:rsidR="002F4B05" w:rsidRPr="00783DAC" w:rsidRDefault="002F4B05" w:rsidP="00E73C76">
            <w:pPr>
              <w:rPr>
                <w:b/>
                <w:bCs/>
                <w:sz w:val="20"/>
                <w:szCs w:val="20"/>
              </w:rPr>
            </w:pPr>
          </w:p>
        </w:tc>
        <w:tc>
          <w:tcPr>
            <w:tcW w:w="2201" w:type="pct"/>
            <w:shd w:val="clear" w:color="auto" w:fill="auto"/>
          </w:tcPr>
          <w:p w14:paraId="1AD89F2F" w14:textId="77777777" w:rsidR="002F4B05" w:rsidRPr="00783DAC" w:rsidRDefault="002F4B05" w:rsidP="00E73C76">
            <w:pPr>
              <w:rPr>
                <w:b/>
                <w:bCs/>
                <w:sz w:val="20"/>
                <w:szCs w:val="20"/>
              </w:rPr>
            </w:pPr>
          </w:p>
        </w:tc>
      </w:tr>
      <w:tr w:rsidR="002F4B05" w:rsidRPr="00DE21B1" w14:paraId="51DAF5E3" w14:textId="77777777" w:rsidTr="002F4B05">
        <w:trPr>
          <w:trHeight w:val="464"/>
          <w:jc w:val="center"/>
        </w:trPr>
        <w:tc>
          <w:tcPr>
            <w:tcW w:w="856" w:type="pct"/>
            <w:shd w:val="clear" w:color="auto" w:fill="auto"/>
          </w:tcPr>
          <w:p w14:paraId="03F978E1" w14:textId="77777777" w:rsidR="002F4B05" w:rsidRPr="00DE21B1" w:rsidRDefault="002F4B05" w:rsidP="00E73C76">
            <w:pPr>
              <w:rPr>
                <w:b/>
              </w:rPr>
            </w:pPr>
          </w:p>
        </w:tc>
        <w:tc>
          <w:tcPr>
            <w:tcW w:w="782" w:type="pct"/>
            <w:shd w:val="clear" w:color="auto" w:fill="auto"/>
          </w:tcPr>
          <w:p w14:paraId="149EFE1F" w14:textId="77777777" w:rsidR="002F4B05" w:rsidRPr="005B00A6" w:rsidRDefault="002F4B05" w:rsidP="00E73C76">
            <w:pPr>
              <w:autoSpaceDE w:val="0"/>
              <w:autoSpaceDN w:val="0"/>
              <w:adjustRightInd w:val="0"/>
              <w:rPr>
                <w:b/>
                <w:sz w:val="20"/>
                <w:szCs w:val="20"/>
                <w:highlight w:val="yellow"/>
              </w:rPr>
            </w:pPr>
          </w:p>
        </w:tc>
        <w:tc>
          <w:tcPr>
            <w:tcW w:w="1162" w:type="pct"/>
            <w:shd w:val="clear" w:color="auto" w:fill="auto"/>
          </w:tcPr>
          <w:p w14:paraId="3287AF73" w14:textId="77777777" w:rsidR="002F4B05" w:rsidRPr="00DE21B1" w:rsidRDefault="002F4B05" w:rsidP="00E73C76">
            <w:pPr>
              <w:rPr>
                <w:b/>
                <w:sz w:val="20"/>
                <w:szCs w:val="20"/>
              </w:rPr>
            </w:pPr>
          </w:p>
        </w:tc>
        <w:tc>
          <w:tcPr>
            <w:tcW w:w="2201" w:type="pct"/>
            <w:shd w:val="clear" w:color="auto" w:fill="auto"/>
          </w:tcPr>
          <w:p w14:paraId="1A628D7F" w14:textId="77777777" w:rsidR="002F4B05" w:rsidRPr="00DE21B1" w:rsidRDefault="002F4B05" w:rsidP="00E73C76">
            <w:pPr>
              <w:rPr>
                <w:b/>
                <w:bCs/>
                <w:sz w:val="20"/>
                <w:szCs w:val="20"/>
              </w:rPr>
            </w:pPr>
          </w:p>
        </w:tc>
      </w:tr>
    </w:tbl>
    <w:p w14:paraId="12E799CA" w14:textId="77777777" w:rsidR="009F0DDC" w:rsidRPr="009F0DDC" w:rsidRDefault="009F0DDC" w:rsidP="009F0DDC"/>
    <w:p w14:paraId="54634E3B" w14:textId="77777777" w:rsidR="009F0DDC" w:rsidRPr="009F0DDC" w:rsidRDefault="009F0DDC" w:rsidP="009F0DDC"/>
    <w:p w14:paraId="7292AEA5" w14:textId="77777777" w:rsidR="009F0DDC" w:rsidRPr="009F0DDC" w:rsidRDefault="009F0DDC" w:rsidP="009F0DDC"/>
    <w:p w14:paraId="22685FB6" w14:textId="77777777" w:rsidR="009F0DDC" w:rsidRPr="009F0DDC" w:rsidRDefault="009F0DDC" w:rsidP="009F0DDC"/>
    <w:p w14:paraId="602114D0" w14:textId="77777777" w:rsidR="009F0DDC" w:rsidRPr="009F0DDC" w:rsidRDefault="009F0DDC" w:rsidP="009F0DDC"/>
    <w:p w14:paraId="54752783" w14:textId="77777777" w:rsidR="009F0DDC" w:rsidRPr="009F0DDC" w:rsidRDefault="009F0DDC" w:rsidP="009F0DDC"/>
    <w:p w14:paraId="2FEF9041" w14:textId="77777777" w:rsidR="009F0DDC" w:rsidRPr="009F0DDC" w:rsidRDefault="009F0DDC" w:rsidP="009F0DDC"/>
    <w:p w14:paraId="3A78FD98" w14:textId="77777777" w:rsidR="009F0DDC" w:rsidRPr="009F0DDC" w:rsidRDefault="009F0DDC" w:rsidP="009F0DDC"/>
    <w:p w14:paraId="3D1ED09C" w14:textId="77777777" w:rsidR="009F0DDC" w:rsidRPr="009F0DDC" w:rsidRDefault="009F0DDC" w:rsidP="009F0DDC"/>
    <w:p w14:paraId="41AA37AA" w14:textId="77777777" w:rsidR="009F0DDC" w:rsidRPr="009F0DDC" w:rsidRDefault="009F0DDC" w:rsidP="009F0DDC"/>
    <w:p w14:paraId="649CFE70" w14:textId="400E89AF" w:rsidR="009F0DDC" w:rsidRDefault="009F0DDC" w:rsidP="009F0DDC">
      <w:pPr>
        <w:pStyle w:val="Heading1"/>
        <w:tabs>
          <w:tab w:val="left" w:pos="2040"/>
        </w:tabs>
        <w:ind w:left="432" w:hanging="432"/>
      </w:pPr>
      <w:r>
        <w:tab/>
      </w:r>
      <w:r>
        <w:tab/>
      </w:r>
    </w:p>
    <w:p w14:paraId="681E3239" w14:textId="2527F167" w:rsidR="00E71EF1" w:rsidRDefault="00E71EF1" w:rsidP="009341FB">
      <w:pPr>
        <w:pStyle w:val="Heading1"/>
        <w:ind w:left="432" w:hanging="432"/>
      </w:pPr>
      <w:r w:rsidRPr="009F0DDC">
        <w:br w:type="page"/>
      </w:r>
      <w:bookmarkStart w:id="14" w:name="_Toc304800198"/>
      <w:bookmarkStart w:id="15" w:name="_Toc324340478"/>
      <w:bookmarkStart w:id="16" w:name="_Toc385592979"/>
      <w:r w:rsidR="001248A3">
        <w:lastRenderedPageBreak/>
        <w:t>Table</w:t>
      </w:r>
      <w:r w:rsidR="006559C8">
        <w:t xml:space="preserve"> of Contents</w:t>
      </w:r>
      <w:bookmarkEnd w:id="11"/>
      <w:bookmarkEnd w:id="12"/>
      <w:bookmarkEnd w:id="13"/>
      <w:bookmarkEnd w:id="14"/>
      <w:bookmarkEnd w:id="15"/>
      <w:bookmarkEnd w:id="16"/>
    </w:p>
    <w:p w14:paraId="3D731DB7" w14:textId="53E337B3" w:rsidR="00062208" w:rsidRPr="00062208" w:rsidRDefault="00062208" w:rsidP="00062208">
      <w:pPr>
        <w:spacing w:before="300"/>
        <w:rPr>
          <w:rFonts w:cs="Arial"/>
          <w:sz w:val="20"/>
          <w:szCs w:val="20"/>
        </w:rPr>
      </w:pPr>
      <w:r w:rsidRPr="00062208">
        <w:rPr>
          <w:rFonts w:cs="Arial"/>
          <w:sz w:val="20"/>
          <w:szCs w:val="20"/>
        </w:rPr>
        <w:t>At-a-Glance Summary</w:t>
      </w:r>
    </w:p>
    <w:p w14:paraId="0447DC83" w14:textId="02997BE5" w:rsidR="00062208" w:rsidRPr="00062208" w:rsidRDefault="00062208" w:rsidP="00062208">
      <w:pPr>
        <w:rPr>
          <w:rFonts w:cs="Arial"/>
          <w:sz w:val="20"/>
          <w:szCs w:val="20"/>
        </w:rPr>
      </w:pPr>
      <w:r w:rsidRPr="00062208">
        <w:rPr>
          <w:rFonts w:cs="Arial"/>
          <w:sz w:val="20"/>
          <w:szCs w:val="20"/>
        </w:rPr>
        <w:t>Document Revision History</w:t>
      </w:r>
    </w:p>
    <w:p w14:paraId="4EDCAB03" w14:textId="12211B75" w:rsidR="00062208" w:rsidRPr="00062208" w:rsidRDefault="00062208" w:rsidP="00062208">
      <w:pPr>
        <w:rPr>
          <w:rFonts w:cs="Arial"/>
          <w:sz w:val="20"/>
          <w:szCs w:val="20"/>
        </w:rPr>
      </w:pPr>
      <w:r w:rsidRPr="00062208">
        <w:rPr>
          <w:rFonts w:cs="Arial"/>
          <w:sz w:val="20"/>
          <w:szCs w:val="20"/>
        </w:rPr>
        <w:t>Table of Contents</w:t>
      </w:r>
    </w:p>
    <w:p w14:paraId="2BEE01A3" w14:textId="7343E451" w:rsidR="00062208" w:rsidRPr="00062208" w:rsidRDefault="00062208" w:rsidP="00062208">
      <w:pPr>
        <w:rPr>
          <w:rFonts w:cs="Arial"/>
          <w:sz w:val="20"/>
          <w:szCs w:val="20"/>
        </w:rPr>
      </w:pPr>
      <w:r w:rsidRPr="00062208">
        <w:rPr>
          <w:rFonts w:cs="Arial"/>
          <w:sz w:val="20"/>
          <w:szCs w:val="20"/>
        </w:rPr>
        <w:t>Section 1. General Measure &amp; Baseline Data</w:t>
      </w:r>
    </w:p>
    <w:p w14:paraId="64C1A0D4" w14:textId="1BFEB4C6" w:rsidR="00062208" w:rsidRPr="00062208" w:rsidRDefault="00062208" w:rsidP="00062208">
      <w:pPr>
        <w:pStyle w:val="ListParagraph"/>
        <w:numPr>
          <w:ilvl w:val="1"/>
          <w:numId w:val="13"/>
        </w:numPr>
        <w:ind w:left="630"/>
        <w:rPr>
          <w:rFonts w:ascii="Arial" w:hAnsi="Arial" w:cs="Arial"/>
          <w:sz w:val="20"/>
          <w:szCs w:val="20"/>
        </w:rPr>
      </w:pPr>
      <w:r w:rsidRPr="00062208">
        <w:rPr>
          <w:rFonts w:ascii="Arial" w:hAnsi="Arial" w:cs="Arial"/>
          <w:sz w:val="20"/>
          <w:szCs w:val="20"/>
        </w:rPr>
        <w:t>Product Measures</w:t>
      </w:r>
    </w:p>
    <w:p w14:paraId="67D8E74D" w14:textId="10BEDDB3" w:rsidR="00062208" w:rsidRPr="00062208" w:rsidRDefault="00062208" w:rsidP="00062208">
      <w:pPr>
        <w:pStyle w:val="ListParagraph"/>
        <w:numPr>
          <w:ilvl w:val="1"/>
          <w:numId w:val="13"/>
        </w:numPr>
        <w:ind w:left="630"/>
        <w:rPr>
          <w:rFonts w:ascii="Arial" w:hAnsi="Arial" w:cs="Arial"/>
          <w:sz w:val="20"/>
          <w:szCs w:val="20"/>
        </w:rPr>
      </w:pPr>
      <w:r w:rsidRPr="00062208">
        <w:rPr>
          <w:rFonts w:ascii="Arial" w:hAnsi="Arial" w:cs="Arial"/>
          <w:sz w:val="20"/>
          <w:szCs w:val="20"/>
        </w:rPr>
        <w:t>Program Implementation Overview</w:t>
      </w:r>
    </w:p>
    <w:p w14:paraId="4A0DDC07" w14:textId="49A08B4F" w:rsidR="00062208" w:rsidRPr="00062208" w:rsidRDefault="00062208" w:rsidP="00062208">
      <w:pPr>
        <w:pStyle w:val="ListParagraph"/>
        <w:numPr>
          <w:ilvl w:val="1"/>
          <w:numId w:val="13"/>
        </w:numPr>
        <w:ind w:left="630"/>
        <w:rPr>
          <w:rFonts w:ascii="Arial" w:hAnsi="Arial" w:cs="Arial"/>
          <w:sz w:val="20"/>
          <w:szCs w:val="20"/>
        </w:rPr>
      </w:pPr>
      <w:r w:rsidRPr="00062208">
        <w:rPr>
          <w:rFonts w:ascii="Arial" w:hAnsi="Arial" w:cs="Arial"/>
          <w:sz w:val="20"/>
          <w:szCs w:val="20"/>
        </w:rPr>
        <w:t>Product Parameter Data</w:t>
      </w:r>
    </w:p>
    <w:p w14:paraId="054BD7C0" w14:textId="18A8E321" w:rsidR="00062208" w:rsidRPr="00062208" w:rsidRDefault="00062208" w:rsidP="00062208">
      <w:pPr>
        <w:rPr>
          <w:rFonts w:cs="Arial"/>
          <w:sz w:val="20"/>
          <w:szCs w:val="20"/>
        </w:rPr>
      </w:pPr>
      <w:r w:rsidRPr="00062208">
        <w:rPr>
          <w:rFonts w:cs="Arial"/>
          <w:sz w:val="20"/>
          <w:szCs w:val="20"/>
        </w:rPr>
        <w:t>Section 2. Calculation Methods</w:t>
      </w:r>
    </w:p>
    <w:p w14:paraId="0E6A220C" w14:textId="37DEAA68" w:rsidR="00062208" w:rsidRPr="00062208" w:rsidRDefault="00062208" w:rsidP="00062208">
      <w:pPr>
        <w:tabs>
          <w:tab w:val="left" w:pos="270"/>
        </w:tabs>
        <w:rPr>
          <w:rFonts w:cs="Arial"/>
          <w:sz w:val="20"/>
          <w:szCs w:val="20"/>
        </w:rPr>
      </w:pPr>
      <w:r w:rsidRPr="00062208">
        <w:rPr>
          <w:rFonts w:cs="Arial"/>
          <w:sz w:val="20"/>
          <w:szCs w:val="20"/>
        </w:rPr>
        <w:tab/>
        <w:t>2.1 Program Implementation Analysis</w:t>
      </w:r>
    </w:p>
    <w:p w14:paraId="680185EC" w14:textId="079AD86E" w:rsidR="00062208" w:rsidRPr="00062208" w:rsidRDefault="00062208" w:rsidP="00062208">
      <w:pPr>
        <w:tabs>
          <w:tab w:val="left" w:pos="270"/>
        </w:tabs>
        <w:rPr>
          <w:rFonts w:cs="Arial"/>
          <w:sz w:val="20"/>
          <w:szCs w:val="20"/>
        </w:rPr>
      </w:pPr>
      <w:r w:rsidRPr="00062208">
        <w:rPr>
          <w:rFonts w:cs="Arial"/>
          <w:sz w:val="20"/>
          <w:szCs w:val="20"/>
        </w:rPr>
        <w:tab/>
        <w:t>2.2 Electric Energy Savings Estimation Methodologies</w:t>
      </w:r>
    </w:p>
    <w:p w14:paraId="1789414D" w14:textId="0E99E260" w:rsidR="00062208" w:rsidRPr="00062208" w:rsidRDefault="00062208" w:rsidP="00062208">
      <w:pPr>
        <w:tabs>
          <w:tab w:val="left" w:pos="270"/>
        </w:tabs>
        <w:rPr>
          <w:rFonts w:cs="Arial"/>
          <w:sz w:val="20"/>
          <w:szCs w:val="20"/>
        </w:rPr>
      </w:pPr>
      <w:r w:rsidRPr="00062208">
        <w:rPr>
          <w:rFonts w:cs="Arial"/>
          <w:sz w:val="20"/>
          <w:szCs w:val="20"/>
        </w:rPr>
        <w:tab/>
        <w:t>2.3 Demand Reduction Estimation Methodologies</w:t>
      </w:r>
    </w:p>
    <w:p w14:paraId="3B10CD1F" w14:textId="61FE894E" w:rsidR="00062208" w:rsidRPr="00062208" w:rsidRDefault="00062208" w:rsidP="00062208">
      <w:pPr>
        <w:tabs>
          <w:tab w:val="left" w:pos="270"/>
        </w:tabs>
        <w:rPr>
          <w:rFonts w:cs="Arial"/>
          <w:sz w:val="20"/>
          <w:szCs w:val="20"/>
        </w:rPr>
      </w:pPr>
      <w:r w:rsidRPr="00062208">
        <w:rPr>
          <w:rFonts w:cs="Arial"/>
          <w:sz w:val="20"/>
          <w:szCs w:val="20"/>
        </w:rPr>
        <w:tab/>
        <w:t>2.4 Gas Energy Savings Estimation Methodologies</w:t>
      </w:r>
    </w:p>
    <w:p w14:paraId="2A8596FF" w14:textId="2BEDF235" w:rsidR="00062208" w:rsidRPr="00062208" w:rsidRDefault="00062208" w:rsidP="00062208">
      <w:pPr>
        <w:rPr>
          <w:rFonts w:cs="Arial"/>
          <w:sz w:val="20"/>
          <w:szCs w:val="20"/>
        </w:rPr>
      </w:pPr>
      <w:r w:rsidRPr="00062208">
        <w:rPr>
          <w:rFonts w:cs="Arial"/>
          <w:sz w:val="20"/>
          <w:szCs w:val="20"/>
        </w:rPr>
        <w:t>Section 3. Load Shapes</w:t>
      </w:r>
    </w:p>
    <w:p w14:paraId="7CE658EA" w14:textId="3F5FA9D7" w:rsidR="00062208" w:rsidRPr="00062208" w:rsidRDefault="00062208" w:rsidP="00062208">
      <w:pPr>
        <w:rPr>
          <w:rFonts w:cs="Arial"/>
          <w:sz w:val="20"/>
          <w:szCs w:val="20"/>
        </w:rPr>
      </w:pPr>
      <w:r w:rsidRPr="00062208">
        <w:rPr>
          <w:rFonts w:cs="Arial"/>
          <w:sz w:val="20"/>
          <w:szCs w:val="20"/>
        </w:rPr>
        <w:t>Section 4. Base Case, Measure, and Installation Costs</w:t>
      </w:r>
    </w:p>
    <w:p w14:paraId="6271B5FE" w14:textId="14B95F1B" w:rsidR="00062208" w:rsidRPr="00062208" w:rsidRDefault="00062208" w:rsidP="00062208">
      <w:pPr>
        <w:tabs>
          <w:tab w:val="left" w:pos="270"/>
        </w:tabs>
        <w:rPr>
          <w:rFonts w:cs="Arial"/>
          <w:sz w:val="20"/>
          <w:szCs w:val="20"/>
        </w:rPr>
      </w:pPr>
      <w:r w:rsidRPr="00062208">
        <w:rPr>
          <w:rFonts w:cs="Arial"/>
          <w:sz w:val="20"/>
          <w:szCs w:val="20"/>
        </w:rPr>
        <w:tab/>
        <w:t>4.1 Base Case(s) Costs</w:t>
      </w:r>
    </w:p>
    <w:p w14:paraId="7D8FE7B7" w14:textId="269981E0" w:rsidR="00062208" w:rsidRPr="00062208" w:rsidRDefault="00062208" w:rsidP="00062208">
      <w:pPr>
        <w:tabs>
          <w:tab w:val="left" w:pos="270"/>
        </w:tabs>
        <w:rPr>
          <w:rFonts w:cs="Arial"/>
          <w:sz w:val="20"/>
          <w:szCs w:val="20"/>
        </w:rPr>
      </w:pPr>
      <w:r w:rsidRPr="00062208">
        <w:rPr>
          <w:rFonts w:cs="Arial"/>
          <w:sz w:val="20"/>
          <w:szCs w:val="20"/>
        </w:rPr>
        <w:tab/>
        <w:t>4.2 Measure Case Costs</w:t>
      </w:r>
    </w:p>
    <w:p w14:paraId="6CE84B31" w14:textId="632F0754" w:rsidR="00062208" w:rsidRPr="00062208" w:rsidRDefault="00062208" w:rsidP="00062208">
      <w:pPr>
        <w:tabs>
          <w:tab w:val="left" w:pos="270"/>
        </w:tabs>
        <w:rPr>
          <w:rFonts w:cs="Arial"/>
          <w:sz w:val="20"/>
          <w:szCs w:val="20"/>
        </w:rPr>
      </w:pPr>
      <w:r w:rsidRPr="00062208">
        <w:rPr>
          <w:rFonts w:cs="Arial"/>
          <w:sz w:val="20"/>
          <w:szCs w:val="20"/>
        </w:rPr>
        <w:tab/>
        <w:t>4.3 Installation/Labor Costs</w:t>
      </w:r>
    </w:p>
    <w:p w14:paraId="3E19145D" w14:textId="2E932EB2" w:rsidR="00062208" w:rsidRPr="00062208" w:rsidRDefault="00062208" w:rsidP="00062208">
      <w:pPr>
        <w:tabs>
          <w:tab w:val="left" w:pos="270"/>
        </w:tabs>
        <w:rPr>
          <w:rFonts w:cs="Arial"/>
          <w:sz w:val="20"/>
          <w:szCs w:val="20"/>
        </w:rPr>
      </w:pPr>
      <w:r w:rsidRPr="00062208">
        <w:rPr>
          <w:rFonts w:cs="Arial"/>
          <w:sz w:val="20"/>
          <w:szCs w:val="20"/>
        </w:rPr>
        <w:tab/>
        <w:t>4.4 Incremental &amp; Full Measure Costs</w:t>
      </w:r>
    </w:p>
    <w:p w14:paraId="5F732353" w14:textId="35EFE3DE" w:rsidR="00062208" w:rsidRPr="00062208" w:rsidRDefault="00062208" w:rsidP="00062208">
      <w:pPr>
        <w:rPr>
          <w:rFonts w:cs="Arial"/>
          <w:sz w:val="20"/>
          <w:szCs w:val="20"/>
        </w:rPr>
      </w:pPr>
      <w:r w:rsidRPr="00062208">
        <w:rPr>
          <w:rFonts w:cs="Arial"/>
          <w:sz w:val="20"/>
          <w:szCs w:val="20"/>
        </w:rPr>
        <w:t>Appendix 1 – Supplemental Files</w:t>
      </w:r>
    </w:p>
    <w:p w14:paraId="2045EF09" w14:textId="4AFB9E8D" w:rsidR="00062208" w:rsidRPr="00062208" w:rsidRDefault="00062208" w:rsidP="00062208">
      <w:pPr>
        <w:rPr>
          <w:rFonts w:cs="Arial"/>
          <w:sz w:val="20"/>
          <w:szCs w:val="20"/>
        </w:rPr>
      </w:pPr>
      <w:r w:rsidRPr="00062208">
        <w:rPr>
          <w:rFonts w:cs="Arial"/>
          <w:sz w:val="20"/>
          <w:szCs w:val="20"/>
        </w:rPr>
        <w:t xml:space="preserve">Appendix 2 – </w:t>
      </w:r>
      <w:r w:rsidR="00B20507">
        <w:rPr>
          <w:rFonts w:cs="Arial"/>
          <w:sz w:val="20"/>
          <w:szCs w:val="20"/>
        </w:rPr>
        <w:t>Commission Staff Comments/Review</w:t>
      </w:r>
    </w:p>
    <w:p w14:paraId="39BB5A65" w14:textId="701B9865" w:rsidR="00062208" w:rsidRPr="00062208" w:rsidRDefault="00062208" w:rsidP="00062208">
      <w:pPr>
        <w:rPr>
          <w:rFonts w:cs="Arial"/>
          <w:sz w:val="20"/>
          <w:szCs w:val="20"/>
        </w:rPr>
      </w:pPr>
      <w:r w:rsidRPr="00062208">
        <w:rPr>
          <w:rFonts w:cs="Arial"/>
          <w:sz w:val="20"/>
          <w:szCs w:val="20"/>
        </w:rPr>
        <w:t xml:space="preserve">Appendix 3 – </w:t>
      </w:r>
      <w:r w:rsidR="00B20507">
        <w:rPr>
          <w:rFonts w:cs="Arial"/>
          <w:sz w:val="20"/>
          <w:szCs w:val="20"/>
        </w:rPr>
        <w:t>Measure Application Type Definitions</w:t>
      </w:r>
    </w:p>
    <w:p w14:paraId="663FA55B" w14:textId="061B9C16" w:rsidR="00B20507" w:rsidRPr="00062208" w:rsidRDefault="00B20507" w:rsidP="00B20507">
      <w:pPr>
        <w:rPr>
          <w:rFonts w:cs="Arial"/>
          <w:sz w:val="20"/>
          <w:szCs w:val="20"/>
        </w:rPr>
      </w:pPr>
      <w:r>
        <w:rPr>
          <w:rFonts w:cs="Arial"/>
          <w:sz w:val="20"/>
          <w:szCs w:val="20"/>
        </w:rPr>
        <w:t>Appendix 4</w:t>
      </w:r>
      <w:r w:rsidRPr="00062208">
        <w:rPr>
          <w:rFonts w:cs="Arial"/>
          <w:sz w:val="20"/>
          <w:szCs w:val="20"/>
        </w:rPr>
        <w:t xml:space="preserve"> – CPUC Quality Metrics</w:t>
      </w:r>
    </w:p>
    <w:p w14:paraId="32B7893F" w14:textId="6A7BE138" w:rsidR="00B20507" w:rsidRPr="00062208" w:rsidRDefault="00B20507" w:rsidP="00B20507">
      <w:pPr>
        <w:rPr>
          <w:rFonts w:cs="Arial"/>
          <w:sz w:val="20"/>
          <w:szCs w:val="20"/>
        </w:rPr>
      </w:pPr>
      <w:r>
        <w:rPr>
          <w:rFonts w:cs="Arial"/>
          <w:sz w:val="20"/>
          <w:szCs w:val="20"/>
        </w:rPr>
        <w:t>Appendix 5</w:t>
      </w:r>
      <w:r w:rsidRPr="00062208">
        <w:rPr>
          <w:rFonts w:cs="Arial"/>
          <w:sz w:val="20"/>
          <w:szCs w:val="20"/>
        </w:rPr>
        <w:t xml:space="preserve"> – </w:t>
      </w:r>
      <w:r>
        <w:rPr>
          <w:rFonts w:cs="Arial"/>
          <w:sz w:val="20"/>
          <w:szCs w:val="20"/>
        </w:rPr>
        <w:t>DEER Resources Flow Chart</w:t>
      </w:r>
    </w:p>
    <w:p w14:paraId="0B8F6DBD" w14:textId="620A2463" w:rsidR="00253450" w:rsidRDefault="00062208">
      <w:pPr>
        <w:rPr>
          <w:rFonts w:cs="Arial"/>
          <w:sz w:val="20"/>
          <w:szCs w:val="20"/>
        </w:rPr>
      </w:pPr>
      <w:r w:rsidRPr="00062208">
        <w:rPr>
          <w:rFonts w:cs="Arial"/>
          <w:sz w:val="20"/>
          <w:szCs w:val="20"/>
        </w:rPr>
        <w:t>References</w:t>
      </w:r>
    </w:p>
    <w:p w14:paraId="3A22C9CC" w14:textId="77777777" w:rsidR="00253450" w:rsidRDefault="00253450">
      <w:pPr>
        <w:rPr>
          <w:rFonts w:cs="Arial"/>
          <w:sz w:val="20"/>
          <w:szCs w:val="20"/>
        </w:rPr>
      </w:pPr>
      <w:r>
        <w:rPr>
          <w:rFonts w:cs="Arial"/>
          <w:sz w:val="20"/>
          <w:szCs w:val="20"/>
        </w:rPr>
        <w:br w:type="page"/>
      </w:r>
    </w:p>
    <w:p w14:paraId="78C6146A" w14:textId="77777777" w:rsidR="009F0DDC" w:rsidRPr="00253450" w:rsidRDefault="009F0DDC">
      <w:pPr>
        <w:rPr>
          <w:rFonts w:cs="Arial"/>
          <w:sz w:val="20"/>
          <w:szCs w:val="20"/>
        </w:rPr>
        <w:sectPr w:rsidR="009F0DDC" w:rsidRPr="00253450" w:rsidSect="009F0DDC">
          <w:footerReference w:type="default" r:id="rId24"/>
          <w:endnotePr>
            <w:numFmt w:val="decimal"/>
          </w:endnotePr>
          <w:pgSz w:w="12240" w:h="15840"/>
          <w:pgMar w:top="1440" w:right="1710" w:bottom="1440" w:left="1440" w:header="720" w:footer="720" w:gutter="0"/>
          <w:pgNumType w:fmt="lowerRoman" w:chapStyle="1"/>
          <w:cols w:space="720"/>
          <w:docGrid w:linePitch="360"/>
        </w:sectPr>
      </w:pPr>
    </w:p>
    <w:p w14:paraId="19C628A8" w14:textId="1055A418" w:rsidR="009341FB" w:rsidRPr="00271E01" w:rsidRDefault="00ED21EE" w:rsidP="009F0DDC">
      <w:pPr>
        <w:pStyle w:val="Heading1-NoSectionNo"/>
        <w:ind w:left="0" w:firstLine="0"/>
      </w:pPr>
      <w:bookmarkStart w:id="17" w:name="_Toc172205732"/>
      <w:bookmarkStart w:id="18" w:name="_Toc304800201"/>
      <w:bookmarkStart w:id="19" w:name="_Toc324318337"/>
      <w:bookmarkStart w:id="20" w:name="_Toc324340481"/>
      <w:bookmarkStart w:id="21" w:name="_Toc385592982"/>
      <w:r w:rsidRPr="00271E01">
        <w:lastRenderedPageBreak/>
        <w:t>General Measure &amp; Baseline Data</w:t>
      </w:r>
      <w:bookmarkEnd w:id="17"/>
      <w:bookmarkEnd w:id="18"/>
      <w:bookmarkEnd w:id="19"/>
      <w:bookmarkEnd w:id="20"/>
      <w:bookmarkEnd w:id="21"/>
    </w:p>
    <w:p w14:paraId="0BF8606C" w14:textId="0F4564BF" w:rsidR="009341FB" w:rsidRPr="009341FB" w:rsidRDefault="009341FB" w:rsidP="00607339">
      <w:pPr>
        <w:pStyle w:val="Heading2-CalTF2"/>
      </w:pPr>
      <w:bookmarkStart w:id="22" w:name="_Toc385592983"/>
      <w:r w:rsidRPr="009341FB">
        <w:t>Product Measures</w:t>
      </w:r>
      <w:bookmarkEnd w:id="22"/>
    </w:p>
    <w:p w14:paraId="239D41A2" w14:textId="1748E08A" w:rsidR="007112FD" w:rsidRPr="007112FD" w:rsidRDefault="007112FD" w:rsidP="00C55BED">
      <w:pPr>
        <w:spacing w:after="60"/>
        <w:rPr>
          <w:rFonts w:cs="Arial"/>
          <w:b/>
          <w:sz w:val="20"/>
          <w:szCs w:val="20"/>
        </w:rPr>
      </w:pPr>
      <w:r w:rsidRPr="007112FD">
        <w:rPr>
          <w:rFonts w:cs="Arial"/>
          <w:b/>
          <w:sz w:val="20"/>
          <w:szCs w:val="20"/>
        </w:rPr>
        <w:t>General Description</w:t>
      </w:r>
    </w:p>
    <w:p w14:paraId="1DA3D22E" w14:textId="77777777" w:rsidR="00402C83" w:rsidRPr="00402C83" w:rsidRDefault="00402C83" w:rsidP="00402C83">
      <w:pPr>
        <w:pStyle w:val="Reminders"/>
        <w:tabs>
          <w:tab w:val="num" w:pos="360"/>
        </w:tabs>
        <w:rPr>
          <w:rFonts w:ascii="Arial" w:hAnsi="Arial" w:cs="Arial"/>
          <w:i w:val="0"/>
          <w:color w:val="auto"/>
          <w:sz w:val="20"/>
          <w:szCs w:val="20"/>
        </w:rPr>
      </w:pPr>
      <w:r w:rsidRPr="00402C83">
        <w:rPr>
          <w:rFonts w:ascii="Arial" w:hAnsi="Arial" w:cs="Arial"/>
          <w:i w:val="0"/>
          <w:color w:val="auto"/>
          <w:sz w:val="20"/>
          <w:szCs w:val="20"/>
        </w:rPr>
        <w:t>The measures contained within this work paper are Energy Star 3.0 and Energy Star 4.1 compliant satellite set top boxes. These boxes will be replacing either Energy Star 2.0 or non-Energy Star set top boxes.</w:t>
      </w:r>
      <w:r w:rsidRPr="00402C83">
        <w:rPr>
          <w:rFonts w:ascii="Arial" w:hAnsi="Arial" w:cs="Arial"/>
          <w:i w:val="0"/>
          <w:sz w:val="20"/>
          <w:szCs w:val="20"/>
        </w:rPr>
        <w:t xml:space="preserve"> </w:t>
      </w:r>
      <w:r w:rsidRPr="00402C83">
        <w:rPr>
          <w:rFonts w:ascii="Arial" w:hAnsi="Arial" w:cs="Arial"/>
          <w:i w:val="0"/>
          <w:color w:val="auto"/>
          <w:sz w:val="20"/>
          <w:szCs w:val="20"/>
        </w:rPr>
        <w:t>The measures can be seen below in Table 1.</w:t>
      </w:r>
    </w:p>
    <w:p w14:paraId="30C2E02A" w14:textId="77777777" w:rsidR="00402C83" w:rsidRPr="00402C83" w:rsidRDefault="00402C83" w:rsidP="00402C83">
      <w:pPr>
        <w:pStyle w:val="Reminder"/>
        <w:rPr>
          <w:rFonts w:ascii="Arial" w:hAnsi="Arial" w:cs="Arial"/>
          <w:i w:val="0"/>
          <w:color w:val="auto"/>
          <w:sz w:val="20"/>
          <w:szCs w:val="20"/>
        </w:rPr>
      </w:pPr>
    </w:p>
    <w:p w14:paraId="3F1E809A" w14:textId="77777777" w:rsidR="00402C83" w:rsidRPr="00402C83" w:rsidRDefault="00402C83" w:rsidP="00402C83">
      <w:pPr>
        <w:pStyle w:val="Caption"/>
        <w:jc w:val="center"/>
        <w:rPr>
          <w:rFonts w:cs="Arial"/>
        </w:rPr>
      </w:pPr>
      <w:bookmarkStart w:id="23" w:name="_Ref398732825"/>
      <w:r w:rsidRPr="00402C83">
        <w:rPr>
          <w:rFonts w:cs="Arial"/>
        </w:rPr>
        <w:t xml:space="preserve">Table </w:t>
      </w:r>
      <w:r w:rsidRPr="00402C83">
        <w:rPr>
          <w:rFonts w:cs="Arial"/>
        </w:rPr>
        <w:fldChar w:fldCharType="begin"/>
      </w:r>
      <w:r w:rsidRPr="00402C83">
        <w:rPr>
          <w:rFonts w:cs="Arial"/>
        </w:rPr>
        <w:instrText xml:space="preserve"> SEQ Table \* ARABIC </w:instrText>
      </w:r>
      <w:r w:rsidRPr="00402C83">
        <w:rPr>
          <w:rFonts w:cs="Arial"/>
        </w:rPr>
        <w:fldChar w:fldCharType="separate"/>
      </w:r>
      <w:r w:rsidRPr="00402C83">
        <w:rPr>
          <w:rFonts w:cs="Arial"/>
          <w:noProof/>
        </w:rPr>
        <w:t>1</w:t>
      </w:r>
      <w:r w:rsidRPr="00402C83">
        <w:rPr>
          <w:rFonts w:cs="Arial"/>
        </w:rPr>
        <w:fldChar w:fldCharType="end"/>
      </w:r>
      <w:bookmarkEnd w:id="23"/>
      <w:r w:rsidRPr="00402C83">
        <w:rPr>
          <w:rFonts w:cs="Arial"/>
        </w:rPr>
        <w:t>: Measures and Codes</w:t>
      </w:r>
    </w:p>
    <w:tbl>
      <w:tblPr>
        <w:tblStyle w:val="TableContemporary"/>
        <w:tblW w:w="9450" w:type="dxa"/>
        <w:jc w:val="center"/>
        <w:tblLook w:val="04A0" w:firstRow="1" w:lastRow="0" w:firstColumn="1" w:lastColumn="0" w:noHBand="0" w:noVBand="1"/>
      </w:tblPr>
      <w:tblGrid>
        <w:gridCol w:w="1662"/>
        <w:gridCol w:w="1443"/>
        <w:gridCol w:w="6345"/>
      </w:tblGrid>
      <w:tr w:rsidR="00402C83" w:rsidRPr="00402C83" w14:paraId="69B98CF7" w14:textId="77777777" w:rsidTr="000A3D4E">
        <w:trPr>
          <w:cnfStyle w:val="100000000000" w:firstRow="1" w:lastRow="0" w:firstColumn="0" w:lastColumn="0" w:oddVBand="0" w:evenVBand="0" w:oddHBand="0" w:evenHBand="0" w:firstRowFirstColumn="0" w:firstRowLastColumn="0" w:lastRowFirstColumn="0" w:lastRowLastColumn="0"/>
          <w:jc w:val="center"/>
        </w:trPr>
        <w:tc>
          <w:tcPr>
            <w:tcW w:w="1662" w:type="dxa"/>
          </w:tcPr>
          <w:p w14:paraId="10386984" w14:textId="77777777" w:rsidR="00402C83" w:rsidRPr="00402C83" w:rsidRDefault="00402C83" w:rsidP="000A3D4E">
            <w:pPr>
              <w:rPr>
                <w:rFonts w:cs="Arial"/>
                <w:sz w:val="20"/>
                <w:szCs w:val="20"/>
              </w:rPr>
            </w:pPr>
            <w:r w:rsidRPr="00402C83">
              <w:rPr>
                <w:rFonts w:cs="Arial"/>
                <w:sz w:val="20"/>
                <w:szCs w:val="20"/>
              </w:rPr>
              <w:t>Solution Code</w:t>
            </w:r>
          </w:p>
        </w:tc>
        <w:tc>
          <w:tcPr>
            <w:tcW w:w="1443" w:type="dxa"/>
          </w:tcPr>
          <w:p w14:paraId="5F34B110" w14:textId="77777777" w:rsidR="00402C83" w:rsidRPr="00402C83" w:rsidRDefault="00402C83" w:rsidP="000A3D4E">
            <w:pPr>
              <w:rPr>
                <w:rFonts w:cs="Arial"/>
                <w:sz w:val="20"/>
                <w:szCs w:val="20"/>
              </w:rPr>
            </w:pPr>
            <w:r w:rsidRPr="00402C83">
              <w:rPr>
                <w:rFonts w:cs="Arial"/>
                <w:sz w:val="20"/>
                <w:szCs w:val="20"/>
              </w:rPr>
              <w:t>Measure Code</w:t>
            </w:r>
          </w:p>
        </w:tc>
        <w:tc>
          <w:tcPr>
            <w:tcW w:w="6345" w:type="dxa"/>
          </w:tcPr>
          <w:p w14:paraId="037990ED" w14:textId="77777777" w:rsidR="00402C83" w:rsidRPr="00402C83" w:rsidRDefault="00402C83" w:rsidP="000A3D4E">
            <w:pPr>
              <w:rPr>
                <w:rFonts w:cs="Arial"/>
                <w:sz w:val="20"/>
                <w:szCs w:val="20"/>
              </w:rPr>
            </w:pPr>
            <w:r w:rsidRPr="00402C83">
              <w:rPr>
                <w:rFonts w:cs="Arial"/>
                <w:sz w:val="20"/>
                <w:szCs w:val="20"/>
              </w:rPr>
              <w:t>Measure Name</w:t>
            </w:r>
          </w:p>
        </w:tc>
      </w:tr>
      <w:tr w:rsidR="00402C83" w:rsidRPr="00402C83" w14:paraId="7774B546" w14:textId="77777777" w:rsidTr="000A3D4E">
        <w:trPr>
          <w:cnfStyle w:val="000000100000" w:firstRow="0" w:lastRow="0" w:firstColumn="0" w:lastColumn="0" w:oddVBand="0" w:evenVBand="0" w:oddHBand="1" w:evenHBand="0" w:firstRowFirstColumn="0" w:firstRowLastColumn="0" w:lastRowFirstColumn="0" w:lastRowLastColumn="0"/>
          <w:trHeight w:val="243"/>
          <w:jc w:val="center"/>
        </w:trPr>
        <w:tc>
          <w:tcPr>
            <w:tcW w:w="1662" w:type="dxa"/>
            <w:vAlign w:val="bottom"/>
          </w:tcPr>
          <w:p w14:paraId="0E61DAC4" w14:textId="77777777" w:rsidR="00402C83" w:rsidRPr="00402C83" w:rsidRDefault="00402C83" w:rsidP="000A3D4E">
            <w:pPr>
              <w:rPr>
                <w:rFonts w:cs="Arial"/>
                <w:color w:val="000000"/>
                <w:sz w:val="20"/>
                <w:szCs w:val="20"/>
              </w:rPr>
            </w:pPr>
            <w:r w:rsidRPr="00402C83">
              <w:rPr>
                <w:rFonts w:cs="Arial"/>
                <w:color w:val="000000"/>
                <w:sz w:val="20"/>
                <w:szCs w:val="20"/>
              </w:rPr>
              <w:t>CE-1XXXX</w:t>
            </w:r>
          </w:p>
        </w:tc>
        <w:tc>
          <w:tcPr>
            <w:tcW w:w="1443" w:type="dxa"/>
          </w:tcPr>
          <w:p w14:paraId="5B124E6B" w14:textId="77777777" w:rsidR="00402C83" w:rsidRPr="00402C83" w:rsidRDefault="00402C83" w:rsidP="000A3D4E">
            <w:pPr>
              <w:rPr>
                <w:rFonts w:cs="Arial"/>
                <w:sz w:val="20"/>
                <w:szCs w:val="20"/>
              </w:rPr>
            </w:pPr>
            <w:r w:rsidRPr="00402C83">
              <w:rPr>
                <w:rFonts w:cs="Arial"/>
                <w:sz w:val="20"/>
                <w:szCs w:val="20"/>
              </w:rPr>
              <w:t>N/A</w:t>
            </w:r>
          </w:p>
        </w:tc>
        <w:tc>
          <w:tcPr>
            <w:tcW w:w="6345" w:type="dxa"/>
            <w:vAlign w:val="bottom"/>
          </w:tcPr>
          <w:p w14:paraId="68574811" w14:textId="77777777" w:rsidR="00402C83" w:rsidRPr="00402C83" w:rsidRDefault="00402C83" w:rsidP="000A3D4E">
            <w:pPr>
              <w:rPr>
                <w:rFonts w:cs="Arial"/>
                <w:color w:val="000000"/>
                <w:sz w:val="20"/>
                <w:szCs w:val="20"/>
              </w:rPr>
            </w:pPr>
            <w:r w:rsidRPr="00402C83">
              <w:rPr>
                <w:rFonts w:cs="Arial"/>
                <w:color w:val="000000"/>
                <w:sz w:val="20"/>
                <w:szCs w:val="20"/>
              </w:rPr>
              <w:t>Satellite Non Estar STD Def STB Upgrade To Satellite Thin Client ES 3.0</w:t>
            </w:r>
          </w:p>
        </w:tc>
      </w:tr>
      <w:tr w:rsidR="00402C83" w:rsidRPr="00402C83" w14:paraId="1BE58540" w14:textId="77777777" w:rsidTr="000A3D4E">
        <w:trPr>
          <w:cnfStyle w:val="000000010000" w:firstRow="0" w:lastRow="0" w:firstColumn="0" w:lastColumn="0" w:oddVBand="0" w:evenVBand="0" w:oddHBand="0" w:evenHBand="1" w:firstRowFirstColumn="0" w:firstRowLastColumn="0" w:lastRowFirstColumn="0" w:lastRowLastColumn="0"/>
          <w:trHeight w:val="243"/>
          <w:jc w:val="center"/>
        </w:trPr>
        <w:tc>
          <w:tcPr>
            <w:tcW w:w="1662" w:type="dxa"/>
            <w:vAlign w:val="bottom"/>
          </w:tcPr>
          <w:p w14:paraId="535B3D5B" w14:textId="77777777" w:rsidR="00402C83" w:rsidRPr="00402C83" w:rsidRDefault="00402C83" w:rsidP="000A3D4E">
            <w:pPr>
              <w:rPr>
                <w:rFonts w:cs="Arial"/>
                <w:color w:val="000000"/>
                <w:sz w:val="20"/>
                <w:szCs w:val="20"/>
              </w:rPr>
            </w:pPr>
            <w:r w:rsidRPr="00402C83">
              <w:rPr>
                <w:rFonts w:cs="Arial"/>
                <w:color w:val="000000"/>
                <w:sz w:val="20"/>
                <w:szCs w:val="20"/>
              </w:rPr>
              <w:t>CE-2XXXX</w:t>
            </w:r>
          </w:p>
        </w:tc>
        <w:tc>
          <w:tcPr>
            <w:tcW w:w="1443" w:type="dxa"/>
          </w:tcPr>
          <w:p w14:paraId="6E4DC0DF" w14:textId="77777777" w:rsidR="00402C83" w:rsidRPr="00402C83" w:rsidRDefault="00402C83" w:rsidP="000A3D4E">
            <w:pPr>
              <w:rPr>
                <w:rFonts w:cs="Arial"/>
                <w:sz w:val="20"/>
                <w:szCs w:val="20"/>
              </w:rPr>
            </w:pPr>
            <w:r w:rsidRPr="00402C83">
              <w:rPr>
                <w:rFonts w:cs="Arial"/>
                <w:sz w:val="20"/>
                <w:szCs w:val="20"/>
              </w:rPr>
              <w:t>N/A</w:t>
            </w:r>
          </w:p>
        </w:tc>
        <w:tc>
          <w:tcPr>
            <w:tcW w:w="6345" w:type="dxa"/>
            <w:vAlign w:val="bottom"/>
          </w:tcPr>
          <w:p w14:paraId="37ED0BAC" w14:textId="77777777" w:rsidR="00402C83" w:rsidRPr="00402C83" w:rsidRDefault="00402C83" w:rsidP="000A3D4E">
            <w:pPr>
              <w:rPr>
                <w:rFonts w:cs="Arial"/>
                <w:color w:val="000000"/>
                <w:sz w:val="20"/>
                <w:szCs w:val="20"/>
              </w:rPr>
            </w:pPr>
            <w:r w:rsidRPr="00402C83">
              <w:rPr>
                <w:rFonts w:cs="Arial"/>
                <w:color w:val="000000"/>
                <w:sz w:val="20"/>
                <w:szCs w:val="20"/>
              </w:rPr>
              <w:t>Satellite Non Estar HD STB Upgrade To Satellite HD ES 3.0</w:t>
            </w:r>
          </w:p>
        </w:tc>
      </w:tr>
      <w:tr w:rsidR="00402C83" w:rsidRPr="00402C83" w14:paraId="2321020D" w14:textId="77777777" w:rsidTr="000A3D4E">
        <w:trPr>
          <w:cnfStyle w:val="000000100000" w:firstRow="0" w:lastRow="0" w:firstColumn="0" w:lastColumn="0" w:oddVBand="0" w:evenVBand="0" w:oddHBand="1" w:evenHBand="0" w:firstRowFirstColumn="0" w:firstRowLastColumn="0" w:lastRowFirstColumn="0" w:lastRowLastColumn="0"/>
          <w:trHeight w:val="243"/>
          <w:jc w:val="center"/>
        </w:trPr>
        <w:tc>
          <w:tcPr>
            <w:tcW w:w="1662" w:type="dxa"/>
            <w:vAlign w:val="bottom"/>
          </w:tcPr>
          <w:p w14:paraId="4F35B1D4" w14:textId="77777777" w:rsidR="00402C83" w:rsidRPr="00402C83" w:rsidRDefault="00402C83" w:rsidP="000A3D4E">
            <w:pPr>
              <w:rPr>
                <w:rFonts w:cs="Arial"/>
                <w:color w:val="000000"/>
                <w:sz w:val="20"/>
                <w:szCs w:val="20"/>
              </w:rPr>
            </w:pPr>
            <w:r w:rsidRPr="00402C83">
              <w:rPr>
                <w:rFonts w:cs="Arial"/>
                <w:color w:val="000000"/>
                <w:sz w:val="20"/>
                <w:szCs w:val="20"/>
              </w:rPr>
              <w:t>CE-3XXXX</w:t>
            </w:r>
          </w:p>
        </w:tc>
        <w:tc>
          <w:tcPr>
            <w:tcW w:w="1443" w:type="dxa"/>
          </w:tcPr>
          <w:p w14:paraId="59F3FA17" w14:textId="77777777" w:rsidR="00402C83" w:rsidRPr="00402C83" w:rsidRDefault="00402C83" w:rsidP="000A3D4E">
            <w:pPr>
              <w:rPr>
                <w:rFonts w:cs="Arial"/>
                <w:sz w:val="20"/>
                <w:szCs w:val="20"/>
              </w:rPr>
            </w:pPr>
            <w:r w:rsidRPr="00402C83">
              <w:rPr>
                <w:rFonts w:cs="Arial"/>
                <w:sz w:val="20"/>
                <w:szCs w:val="20"/>
              </w:rPr>
              <w:t>N/A</w:t>
            </w:r>
          </w:p>
        </w:tc>
        <w:tc>
          <w:tcPr>
            <w:tcW w:w="6345" w:type="dxa"/>
            <w:vAlign w:val="bottom"/>
          </w:tcPr>
          <w:p w14:paraId="7FCE29A8" w14:textId="77777777" w:rsidR="00402C83" w:rsidRPr="00402C83" w:rsidRDefault="00402C83" w:rsidP="000A3D4E">
            <w:pPr>
              <w:rPr>
                <w:rFonts w:cs="Arial"/>
                <w:color w:val="000000"/>
                <w:sz w:val="20"/>
                <w:szCs w:val="20"/>
              </w:rPr>
            </w:pPr>
            <w:r w:rsidRPr="00402C83">
              <w:rPr>
                <w:rFonts w:cs="Arial"/>
                <w:color w:val="000000"/>
                <w:sz w:val="20"/>
                <w:szCs w:val="20"/>
              </w:rPr>
              <w:t>Satellite Non Estar HD STB Upgrade To Satellite Thin Client ES 3.0</w:t>
            </w:r>
          </w:p>
        </w:tc>
      </w:tr>
      <w:tr w:rsidR="00402C83" w:rsidRPr="00402C83" w14:paraId="0DC0EE2F" w14:textId="77777777" w:rsidTr="000A3D4E">
        <w:trPr>
          <w:cnfStyle w:val="000000010000" w:firstRow="0" w:lastRow="0" w:firstColumn="0" w:lastColumn="0" w:oddVBand="0" w:evenVBand="0" w:oddHBand="0" w:evenHBand="1" w:firstRowFirstColumn="0" w:firstRowLastColumn="0" w:lastRowFirstColumn="0" w:lastRowLastColumn="0"/>
          <w:trHeight w:val="243"/>
          <w:jc w:val="center"/>
        </w:trPr>
        <w:tc>
          <w:tcPr>
            <w:tcW w:w="1662" w:type="dxa"/>
            <w:vAlign w:val="bottom"/>
          </w:tcPr>
          <w:p w14:paraId="4458757A" w14:textId="77777777" w:rsidR="00402C83" w:rsidRPr="00402C83" w:rsidRDefault="00402C83" w:rsidP="000A3D4E">
            <w:pPr>
              <w:rPr>
                <w:rFonts w:cs="Arial"/>
                <w:color w:val="000000"/>
                <w:sz w:val="20"/>
                <w:szCs w:val="20"/>
              </w:rPr>
            </w:pPr>
            <w:r w:rsidRPr="00402C83">
              <w:rPr>
                <w:rFonts w:cs="Arial"/>
                <w:color w:val="000000"/>
                <w:sz w:val="20"/>
                <w:szCs w:val="20"/>
              </w:rPr>
              <w:t>CE-4XXXX</w:t>
            </w:r>
          </w:p>
        </w:tc>
        <w:tc>
          <w:tcPr>
            <w:tcW w:w="1443" w:type="dxa"/>
          </w:tcPr>
          <w:p w14:paraId="109FB179" w14:textId="77777777" w:rsidR="00402C83" w:rsidRPr="00402C83" w:rsidRDefault="00402C83" w:rsidP="000A3D4E">
            <w:pPr>
              <w:rPr>
                <w:rFonts w:cs="Arial"/>
                <w:sz w:val="20"/>
                <w:szCs w:val="20"/>
              </w:rPr>
            </w:pPr>
            <w:r w:rsidRPr="00402C83">
              <w:rPr>
                <w:rFonts w:cs="Arial"/>
                <w:sz w:val="20"/>
                <w:szCs w:val="20"/>
              </w:rPr>
              <w:t>N/A</w:t>
            </w:r>
          </w:p>
        </w:tc>
        <w:tc>
          <w:tcPr>
            <w:tcW w:w="6345" w:type="dxa"/>
            <w:vAlign w:val="bottom"/>
          </w:tcPr>
          <w:p w14:paraId="596834DD" w14:textId="77777777" w:rsidR="00402C83" w:rsidRPr="00402C83" w:rsidRDefault="00402C83" w:rsidP="000A3D4E">
            <w:pPr>
              <w:rPr>
                <w:rFonts w:cs="Arial"/>
                <w:color w:val="000000"/>
                <w:sz w:val="20"/>
                <w:szCs w:val="20"/>
              </w:rPr>
            </w:pPr>
            <w:r w:rsidRPr="00402C83">
              <w:rPr>
                <w:rFonts w:cs="Arial"/>
                <w:color w:val="000000"/>
                <w:sz w:val="20"/>
                <w:szCs w:val="20"/>
              </w:rPr>
              <w:t>Satellite Non Estar HD DVR STB Upgrade To Satellite HD ES 3.0</w:t>
            </w:r>
          </w:p>
        </w:tc>
      </w:tr>
      <w:tr w:rsidR="00402C83" w:rsidRPr="00402C83" w14:paraId="44C3A4C0" w14:textId="77777777" w:rsidTr="000A3D4E">
        <w:trPr>
          <w:cnfStyle w:val="000000100000" w:firstRow="0" w:lastRow="0" w:firstColumn="0" w:lastColumn="0" w:oddVBand="0" w:evenVBand="0" w:oddHBand="1" w:evenHBand="0" w:firstRowFirstColumn="0" w:firstRowLastColumn="0" w:lastRowFirstColumn="0" w:lastRowLastColumn="0"/>
          <w:trHeight w:val="243"/>
          <w:jc w:val="center"/>
        </w:trPr>
        <w:tc>
          <w:tcPr>
            <w:tcW w:w="1662" w:type="dxa"/>
            <w:vAlign w:val="bottom"/>
          </w:tcPr>
          <w:p w14:paraId="3D7E4A21" w14:textId="77777777" w:rsidR="00402C83" w:rsidRPr="00402C83" w:rsidRDefault="00402C83" w:rsidP="000A3D4E">
            <w:pPr>
              <w:rPr>
                <w:rFonts w:cs="Arial"/>
                <w:color w:val="000000"/>
                <w:sz w:val="20"/>
                <w:szCs w:val="20"/>
              </w:rPr>
            </w:pPr>
            <w:r w:rsidRPr="00402C83">
              <w:rPr>
                <w:rFonts w:cs="Arial"/>
                <w:color w:val="000000"/>
                <w:sz w:val="20"/>
                <w:szCs w:val="20"/>
              </w:rPr>
              <w:t>CE-5XXXX</w:t>
            </w:r>
          </w:p>
        </w:tc>
        <w:tc>
          <w:tcPr>
            <w:tcW w:w="1443" w:type="dxa"/>
          </w:tcPr>
          <w:p w14:paraId="30EEB1A6" w14:textId="77777777" w:rsidR="00402C83" w:rsidRPr="00402C83" w:rsidRDefault="00402C83" w:rsidP="000A3D4E">
            <w:pPr>
              <w:rPr>
                <w:rFonts w:cs="Arial"/>
                <w:sz w:val="20"/>
                <w:szCs w:val="20"/>
              </w:rPr>
            </w:pPr>
            <w:r w:rsidRPr="00402C83">
              <w:rPr>
                <w:rFonts w:cs="Arial"/>
                <w:sz w:val="20"/>
                <w:szCs w:val="20"/>
              </w:rPr>
              <w:t>N/A</w:t>
            </w:r>
          </w:p>
        </w:tc>
        <w:tc>
          <w:tcPr>
            <w:tcW w:w="6345" w:type="dxa"/>
            <w:vAlign w:val="bottom"/>
          </w:tcPr>
          <w:p w14:paraId="50220917" w14:textId="77777777" w:rsidR="00402C83" w:rsidRPr="00402C83" w:rsidRDefault="00402C83" w:rsidP="000A3D4E">
            <w:pPr>
              <w:rPr>
                <w:rFonts w:cs="Arial"/>
                <w:color w:val="000000"/>
                <w:sz w:val="20"/>
                <w:szCs w:val="20"/>
              </w:rPr>
            </w:pPr>
            <w:r w:rsidRPr="00402C83">
              <w:rPr>
                <w:rFonts w:cs="Arial"/>
                <w:color w:val="000000"/>
                <w:sz w:val="20"/>
                <w:szCs w:val="20"/>
              </w:rPr>
              <w:t>Satellite Non Estar HD DVR STB Upgrade To Satellite Thin Client ES 3.0</w:t>
            </w:r>
          </w:p>
        </w:tc>
      </w:tr>
      <w:tr w:rsidR="00402C83" w:rsidRPr="00402C83" w14:paraId="24A489E7" w14:textId="77777777" w:rsidTr="000A3D4E">
        <w:trPr>
          <w:cnfStyle w:val="000000010000" w:firstRow="0" w:lastRow="0" w:firstColumn="0" w:lastColumn="0" w:oddVBand="0" w:evenVBand="0" w:oddHBand="0" w:evenHBand="1" w:firstRowFirstColumn="0" w:firstRowLastColumn="0" w:lastRowFirstColumn="0" w:lastRowLastColumn="0"/>
          <w:trHeight w:val="243"/>
          <w:jc w:val="center"/>
        </w:trPr>
        <w:tc>
          <w:tcPr>
            <w:tcW w:w="1662" w:type="dxa"/>
            <w:vAlign w:val="bottom"/>
          </w:tcPr>
          <w:p w14:paraId="20943B16" w14:textId="77777777" w:rsidR="00402C83" w:rsidRPr="00402C83" w:rsidRDefault="00402C83" w:rsidP="000A3D4E">
            <w:pPr>
              <w:rPr>
                <w:rFonts w:cs="Arial"/>
                <w:color w:val="000000"/>
                <w:sz w:val="20"/>
                <w:szCs w:val="20"/>
              </w:rPr>
            </w:pPr>
            <w:r w:rsidRPr="00402C83">
              <w:rPr>
                <w:rFonts w:cs="Arial"/>
                <w:color w:val="000000"/>
                <w:sz w:val="20"/>
                <w:szCs w:val="20"/>
              </w:rPr>
              <w:t>CE-6XXXX</w:t>
            </w:r>
          </w:p>
        </w:tc>
        <w:tc>
          <w:tcPr>
            <w:tcW w:w="1443" w:type="dxa"/>
          </w:tcPr>
          <w:p w14:paraId="71AB6C98" w14:textId="77777777" w:rsidR="00402C83" w:rsidRPr="00402C83" w:rsidRDefault="00402C83" w:rsidP="000A3D4E">
            <w:pPr>
              <w:rPr>
                <w:rFonts w:cs="Arial"/>
                <w:sz w:val="20"/>
                <w:szCs w:val="20"/>
              </w:rPr>
            </w:pPr>
            <w:r w:rsidRPr="00402C83">
              <w:rPr>
                <w:rFonts w:cs="Arial"/>
                <w:sz w:val="20"/>
                <w:szCs w:val="20"/>
              </w:rPr>
              <w:t>N/A</w:t>
            </w:r>
          </w:p>
        </w:tc>
        <w:tc>
          <w:tcPr>
            <w:tcW w:w="6345" w:type="dxa"/>
            <w:vAlign w:val="bottom"/>
          </w:tcPr>
          <w:p w14:paraId="5871E67F" w14:textId="77777777" w:rsidR="00402C83" w:rsidRPr="00402C83" w:rsidRDefault="00402C83" w:rsidP="000A3D4E">
            <w:pPr>
              <w:rPr>
                <w:rFonts w:cs="Arial"/>
                <w:color w:val="000000"/>
                <w:sz w:val="20"/>
                <w:szCs w:val="20"/>
              </w:rPr>
            </w:pPr>
            <w:r w:rsidRPr="00402C83">
              <w:rPr>
                <w:rFonts w:cs="Arial"/>
                <w:color w:val="000000"/>
                <w:sz w:val="20"/>
                <w:szCs w:val="20"/>
              </w:rPr>
              <w:t>Satellite Estar 2.0 HD STB Upgrade To Satellite Thin Client ES 3.0</w:t>
            </w:r>
          </w:p>
        </w:tc>
      </w:tr>
      <w:tr w:rsidR="00402C83" w:rsidRPr="00402C83" w14:paraId="154465A0" w14:textId="77777777" w:rsidTr="000A3D4E">
        <w:trPr>
          <w:cnfStyle w:val="000000100000" w:firstRow="0" w:lastRow="0" w:firstColumn="0" w:lastColumn="0" w:oddVBand="0" w:evenVBand="0" w:oddHBand="1" w:evenHBand="0" w:firstRowFirstColumn="0" w:firstRowLastColumn="0" w:lastRowFirstColumn="0" w:lastRowLastColumn="0"/>
          <w:trHeight w:val="243"/>
          <w:jc w:val="center"/>
        </w:trPr>
        <w:tc>
          <w:tcPr>
            <w:tcW w:w="1662" w:type="dxa"/>
            <w:vAlign w:val="bottom"/>
          </w:tcPr>
          <w:p w14:paraId="574B2EBF" w14:textId="77777777" w:rsidR="00402C83" w:rsidRPr="00402C83" w:rsidRDefault="00402C83" w:rsidP="000A3D4E">
            <w:pPr>
              <w:rPr>
                <w:rFonts w:cs="Arial"/>
                <w:color w:val="000000"/>
                <w:sz w:val="20"/>
                <w:szCs w:val="20"/>
              </w:rPr>
            </w:pPr>
            <w:r w:rsidRPr="00402C83">
              <w:rPr>
                <w:rFonts w:cs="Arial"/>
                <w:color w:val="000000"/>
                <w:sz w:val="20"/>
                <w:szCs w:val="20"/>
              </w:rPr>
              <w:t>CE-7XXXX</w:t>
            </w:r>
          </w:p>
        </w:tc>
        <w:tc>
          <w:tcPr>
            <w:tcW w:w="1443" w:type="dxa"/>
          </w:tcPr>
          <w:p w14:paraId="7A4D2854" w14:textId="77777777" w:rsidR="00402C83" w:rsidRPr="00402C83" w:rsidRDefault="00402C83" w:rsidP="000A3D4E">
            <w:pPr>
              <w:rPr>
                <w:rFonts w:cs="Arial"/>
                <w:sz w:val="20"/>
                <w:szCs w:val="20"/>
              </w:rPr>
            </w:pPr>
            <w:r w:rsidRPr="00402C83">
              <w:rPr>
                <w:rFonts w:cs="Arial"/>
                <w:sz w:val="20"/>
                <w:szCs w:val="20"/>
              </w:rPr>
              <w:t>N/A</w:t>
            </w:r>
          </w:p>
        </w:tc>
        <w:tc>
          <w:tcPr>
            <w:tcW w:w="6345" w:type="dxa"/>
            <w:vAlign w:val="bottom"/>
          </w:tcPr>
          <w:p w14:paraId="7D1121A3" w14:textId="77777777" w:rsidR="00402C83" w:rsidRPr="00402C83" w:rsidRDefault="00402C83" w:rsidP="000A3D4E">
            <w:pPr>
              <w:rPr>
                <w:rFonts w:cs="Arial"/>
                <w:color w:val="000000"/>
                <w:sz w:val="20"/>
                <w:szCs w:val="20"/>
              </w:rPr>
            </w:pPr>
            <w:r w:rsidRPr="00402C83">
              <w:rPr>
                <w:rFonts w:cs="Arial"/>
                <w:color w:val="000000"/>
                <w:sz w:val="20"/>
                <w:szCs w:val="20"/>
              </w:rPr>
              <w:t>Satellite Estar 2.0 HD DVR STB Upgrade To Satellite Thin Client ES 3.0</w:t>
            </w:r>
          </w:p>
        </w:tc>
      </w:tr>
      <w:tr w:rsidR="00402C83" w:rsidRPr="00402C83" w14:paraId="69FC7574" w14:textId="77777777" w:rsidTr="000A3D4E">
        <w:trPr>
          <w:cnfStyle w:val="000000010000" w:firstRow="0" w:lastRow="0" w:firstColumn="0" w:lastColumn="0" w:oddVBand="0" w:evenVBand="0" w:oddHBand="0" w:evenHBand="1" w:firstRowFirstColumn="0" w:firstRowLastColumn="0" w:lastRowFirstColumn="0" w:lastRowLastColumn="0"/>
          <w:trHeight w:val="243"/>
          <w:jc w:val="center"/>
        </w:trPr>
        <w:tc>
          <w:tcPr>
            <w:tcW w:w="1662" w:type="dxa"/>
            <w:vAlign w:val="bottom"/>
          </w:tcPr>
          <w:p w14:paraId="7BFB64E4" w14:textId="77777777" w:rsidR="00402C83" w:rsidRPr="00402C83" w:rsidRDefault="00402C83" w:rsidP="000A3D4E">
            <w:pPr>
              <w:rPr>
                <w:rFonts w:cs="Arial"/>
                <w:color w:val="000000"/>
                <w:sz w:val="20"/>
                <w:szCs w:val="20"/>
              </w:rPr>
            </w:pPr>
            <w:r w:rsidRPr="00402C83">
              <w:rPr>
                <w:rFonts w:cs="Arial"/>
                <w:color w:val="000000"/>
                <w:sz w:val="20"/>
                <w:szCs w:val="20"/>
              </w:rPr>
              <w:t>CE-8XXXX</w:t>
            </w:r>
          </w:p>
        </w:tc>
        <w:tc>
          <w:tcPr>
            <w:tcW w:w="1443" w:type="dxa"/>
          </w:tcPr>
          <w:p w14:paraId="765A80C0" w14:textId="77777777" w:rsidR="00402C83" w:rsidRPr="00402C83" w:rsidRDefault="00402C83" w:rsidP="000A3D4E">
            <w:pPr>
              <w:rPr>
                <w:rFonts w:cs="Arial"/>
                <w:sz w:val="20"/>
                <w:szCs w:val="20"/>
              </w:rPr>
            </w:pPr>
            <w:r w:rsidRPr="00402C83">
              <w:rPr>
                <w:rFonts w:cs="Arial"/>
                <w:sz w:val="20"/>
                <w:szCs w:val="20"/>
              </w:rPr>
              <w:t>N/A</w:t>
            </w:r>
          </w:p>
        </w:tc>
        <w:tc>
          <w:tcPr>
            <w:tcW w:w="6345" w:type="dxa"/>
            <w:vAlign w:val="bottom"/>
          </w:tcPr>
          <w:p w14:paraId="090A44C2" w14:textId="77777777" w:rsidR="00402C83" w:rsidRPr="00402C83" w:rsidRDefault="00402C83" w:rsidP="000A3D4E">
            <w:pPr>
              <w:rPr>
                <w:rFonts w:cs="Arial"/>
                <w:color w:val="000000"/>
                <w:sz w:val="20"/>
                <w:szCs w:val="20"/>
              </w:rPr>
            </w:pPr>
            <w:r w:rsidRPr="00402C83">
              <w:rPr>
                <w:rFonts w:cs="Arial"/>
                <w:color w:val="000000"/>
                <w:sz w:val="20"/>
                <w:szCs w:val="20"/>
              </w:rPr>
              <w:t>Satellite Non Estar STD Def STB Upgrade To Satellite Thin Client ES 4.1</w:t>
            </w:r>
          </w:p>
        </w:tc>
      </w:tr>
      <w:tr w:rsidR="00402C83" w:rsidRPr="00402C83" w14:paraId="475290C3" w14:textId="77777777" w:rsidTr="000A3D4E">
        <w:trPr>
          <w:cnfStyle w:val="000000100000" w:firstRow="0" w:lastRow="0" w:firstColumn="0" w:lastColumn="0" w:oddVBand="0" w:evenVBand="0" w:oddHBand="1" w:evenHBand="0" w:firstRowFirstColumn="0" w:firstRowLastColumn="0" w:lastRowFirstColumn="0" w:lastRowLastColumn="0"/>
          <w:trHeight w:val="243"/>
          <w:jc w:val="center"/>
        </w:trPr>
        <w:tc>
          <w:tcPr>
            <w:tcW w:w="1662" w:type="dxa"/>
            <w:vAlign w:val="bottom"/>
          </w:tcPr>
          <w:p w14:paraId="1532DF13" w14:textId="77777777" w:rsidR="00402C83" w:rsidRPr="00402C83" w:rsidRDefault="00402C83" w:rsidP="000A3D4E">
            <w:pPr>
              <w:rPr>
                <w:rFonts w:cs="Arial"/>
                <w:color w:val="000000"/>
                <w:sz w:val="20"/>
                <w:szCs w:val="20"/>
              </w:rPr>
            </w:pPr>
            <w:r w:rsidRPr="00402C83">
              <w:rPr>
                <w:rFonts w:cs="Arial"/>
                <w:color w:val="000000"/>
                <w:sz w:val="20"/>
                <w:szCs w:val="20"/>
              </w:rPr>
              <w:t>CE-9XXXX</w:t>
            </w:r>
          </w:p>
        </w:tc>
        <w:tc>
          <w:tcPr>
            <w:tcW w:w="1443" w:type="dxa"/>
          </w:tcPr>
          <w:p w14:paraId="5BA4A003" w14:textId="77777777" w:rsidR="00402C83" w:rsidRPr="00402C83" w:rsidRDefault="00402C83" w:rsidP="000A3D4E">
            <w:pPr>
              <w:rPr>
                <w:rFonts w:cs="Arial"/>
                <w:sz w:val="20"/>
                <w:szCs w:val="20"/>
              </w:rPr>
            </w:pPr>
            <w:r w:rsidRPr="00402C83">
              <w:rPr>
                <w:rFonts w:cs="Arial"/>
                <w:sz w:val="20"/>
                <w:szCs w:val="20"/>
              </w:rPr>
              <w:t>N/A</w:t>
            </w:r>
          </w:p>
        </w:tc>
        <w:tc>
          <w:tcPr>
            <w:tcW w:w="6345" w:type="dxa"/>
            <w:vAlign w:val="bottom"/>
          </w:tcPr>
          <w:p w14:paraId="559B7133" w14:textId="77777777" w:rsidR="00402C83" w:rsidRPr="00402C83" w:rsidRDefault="00402C83" w:rsidP="000A3D4E">
            <w:pPr>
              <w:rPr>
                <w:rFonts w:cs="Arial"/>
                <w:color w:val="000000"/>
                <w:sz w:val="20"/>
                <w:szCs w:val="20"/>
              </w:rPr>
            </w:pPr>
            <w:r w:rsidRPr="00402C83">
              <w:rPr>
                <w:rFonts w:cs="Arial"/>
                <w:color w:val="000000"/>
                <w:sz w:val="20"/>
                <w:szCs w:val="20"/>
              </w:rPr>
              <w:t>Satellite Non Estar HD STB Upgrade To Satellite HD ES 4.1</w:t>
            </w:r>
          </w:p>
        </w:tc>
      </w:tr>
      <w:tr w:rsidR="00402C83" w:rsidRPr="00402C83" w14:paraId="58C77B02" w14:textId="77777777" w:rsidTr="000A3D4E">
        <w:trPr>
          <w:cnfStyle w:val="000000010000" w:firstRow="0" w:lastRow="0" w:firstColumn="0" w:lastColumn="0" w:oddVBand="0" w:evenVBand="0" w:oddHBand="0" w:evenHBand="1" w:firstRowFirstColumn="0" w:firstRowLastColumn="0" w:lastRowFirstColumn="0" w:lastRowLastColumn="0"/>
          <w:trHeight w:val="243"/>
          <w:jc w:val="center"/>
        </w:trPr>
        <w:tc>
          <w:tcPr>
            <w:tcW w:w="1662" w:type="dxa"/>
            <w:vAlign w:val="bottom"/>
          </w:tcPr>
          <w:p w14:paraId="45885D82" w14:textId="77777777" w:rsidR="00402C83" w:rsidRPr="00402C83" w:rsidRDefault="00402C83" w:rsidP="000A3D4E">
            <w:pPr>
              <w:rPr>
                <w:rFonts w:cs="Arial"/>
                <w:color w:val="000000"/>
                <w:sz w:val="20"/>
                <w:szCs w:val="20"/>
              </w:rPr>
            </w:pPr>
            <w:r w:rsidRPr="00402C83">
              <w:rPr>
                <w:rFonts w:cs="Arial"/>
                <w:color w:val="000000"/>
                <w:sz w:val="20"/>
                <w:szCs w:val="20"/>
              </w:rPr>
              <w:t>CE-10XXX</w:t>
            </w:r>
          </w:p>
        </w:tc>
        <w:tc>
          <w:tcPr>
            <w:tcW w:w="1443" w:type="dxa"/>
          </w:tcPr>
          <w:p w14:paraId="1B7827CF" w14:textId="77777777" w:rsidR="00402C83" w:rsidRPr="00402C83" w:rsidRDefault="00402C83" w:rsidP="000A3D4E">
            <w:pPr>
              <w:rPr>
                <w:rFonts w:cs="Arial"/>
                <w:sz w:val="20"/>
                <w:szCs w:val="20"/>
              </w:rPr>
            </w:pPr>
            <w:r w:rsidRPr="00402C83">
              <w:rPr>
                <w:rFonts w:cs="Arial"/>
                <w:sz w:val="20"/>
                <w:szCs w:val="20"/>
              </w:rPr>
              <w:t>N/A</w:t>
            </w:r>
          </w:p>
        </w:tc>
        <w:tc>
          <w:tcPr>
            <w:tcW w:w="6345" w:type="dxa"/>
            <w:vAlign w:val="bottom"/>
          </w:tcPr>
          <w:p w14:paraId="6B9BF308" w14:textId="77777777" w:rsidR="00402C83" w:rsidRPr="00402C83" w:rsidRDefault="00402C83" w:rsidP="000A3D4E">
            <w:pPr>
              <w:rPr>
                <w:rFonts w:cs="Arial"/>
                <w:color w:val="000000"/>
                <w:sz w:val="20"/>
                <w:szCs w:val="20"/>
              </w:rPr>
            </w:pPr>
            <w:r w:rsidRPr="00402C83">
              <w:rPr>
                <w:rFonts w:cs="Arial"/>
                <w:color w:val="000000"/>
                <w:sz w:val="20"/>
                <w:szCs w:val="20"/>
              </w:rPr>
              <w:t>Satellite Non Estar HD STB Upgrade To Satellite Thin Client ES 4.1</w:t>
            </w:r>
          </w:p>
        </w:tc>
      </w:tr>
      <w:tr w:rsidR="00402C83" w:rsidRPr="00402C83" w14:paraId="21AC6BEE" w14:textId="77777777" w:rsidTr="000A3D4E">
        <w:trPr>
          <w:cnfStyle w:val="000000100000" w:firstRow="0" w:lastRow="0" w:firstColumn="0" w:lastColumn="0" w:oddVBand="0" w:evenVBand="0" w:oddHBand="1" w:evenHBand="0" w:firstRowFirstColumn="0" w:firstRowLastColumn="0" w:lastRowFirstColumn="0" w:lastRowLastColumn="0"/>
          <w:trHeight w:val="243"/>
          <w:jc w:val="center"/>
        </w:trPr>
        <w:tc>
          <w:tcPr>
            <w:tcW w:w="1662" w:type="dxa"/>
            <w:vAlign w:val="bottom"/>
          </w:tcPr>
          <w:p w14:paraId="77C6D45D" w14:textId="77777777" w:rsidR="00402C83" w:rsidRPr="00402C83" w:rsidRDefault="00402C83" w:rsidP="000A3D4E">
            <w:pPr>
              <w:rPr>
                <w:rFonts w:cs="Arial"/>
                <w:color w:val="000000"/>
                <w:sz w:val="20"/>
                <w:szCs w:val="20"/>
              </w:rPr>
            </w:pPr>
            <w:r w:rsidRPr="00402C83">
              <w:rPr>
                <w:rFonts w:cs="Arial"/>
                <w:color w:val="000000"/>
                <w:sz w:val="20"/>
                <w:szCs w:val="20"/>
              </w:rPr>
              <w:t>CE-11XXX</w:t>
            </w:r>
          </w:p>
        </w:tc>
        <w:tc>
          <w:tcPr>
            <w:tcW w:w="1443" w:type="dxa"/>
          </w:tcPr>
          <w:p w14:paraId="21CDEF6B" w14:textId="77777777" w:rsidR="00402C83" w:rsidRPr="00402C83" w:rsidRDefault="00402C83" w:rsidP="000A3D4E">
            <w:pPr>
              <w:rPr>
                <w:rFonts w:cs="Arial"/>
                <w:sz w:val="20"/>
                <w:szCs w:val="20"/>
              </w:rPr>
            </w:pPr>
            <w:r w:rsidRPr="00402C83">
              <w:rPr>
                <w:rFonts w:cs="Arial"/>
                <w:sz w:val="20"/>
                <w:szCs w:val="20"/>
              </w:rPr>
              <w:t>N/A</w:t>
            </w:r>
          </w:p>
        </w:tc>
        <w:tc>
          <w:tcPr>
            <w:tcW w:w="6345" w:type="dxa"/>
            <w:vAlign w:val="bottom"/>
          </w:tcPr>
          <w:p w14:paraId="7466AA9E" w14:textId="77777777" w:rsidR="00402C83" w:rsidRPr="00402C83" w:rsidRDefault="00402C83" w:rsidP="000A3D4E">
            <w:pPr>
              <w:rPr>
                <w:rFonts w:cs="Arial"/>
                <w:color w:val="000000"/>
                <w:sz w:val="20"/>
                <w:szCs w:val="20"/>
              </w:rPr>
            </w:pPr>
            <w:r w:rsidRPr="00402C83">
              <w:rPr>
                <w:rFonts w:cs="Arial"/>
                <w:color w:val="000000"/>
                <w:sz w:val="20"/>
                <w:szCs w:val="20"/>
              </w:rPr>
              <w:t>Satellite Non Estar HD DVR STB Upgrade To Satellite HD ES 4.1</w:t>
            </w:r>
          </w:p>
        </w:tc>
      </w:tr>
      <w:tr w:rsidR="00402C83" w:rsidRPr="00402C83" w14:paraId="7117887D" w14:textId="77777777" w:rsidTr="000A3D4E">
        <w:trPr>
          <w:cnfStyle w:val="000000010000" w:firstRow="0" w:lastRow="0" w:firstColumn="0" w:lastColumn="0" w:oddVBand="0" w:evenVBand="0" w:oddHBand="0" w:evenHBand="1" w:firstRowFirstColumn="0" w:firstRowLastColumn="0" w:lastRowFirstColumn="0" w:lastRowLastColumn="0"/>
          <w:trHeight w:val="243"/>
          <w:jc w:val="center"/>
        </w:trPr>
        <w:tc>
          <w:tcPr>
            <w:tcW w:w="1662" w:type="dxa"/>
            <w:vAlign w:val="bottom"/>
          </w:tcPr>
          <w:p w14:paraId="6EB55F1A" w14:textId="77777777" w:rsidR="00402C83" w:rsidRPr="00402C83" w:rsidRDefault="00402C83" w:rsidP="000A3D4E">
            <w:pPr>
              <w:rPr>
                <w:rFonts w:cs="Arial"/>
                <w:color w:val="000000"/>
                <w:sz w:val="20"/>
                <w:szCs w:val="20"/>
              </w:rPr>
            </w:pPr>
            <w:r w:rsidRPr="00402C83">
              <w:rPr>
                <w:rFonts w:cs="Arial"/>
                <w:color w:val="000000"/>
                <w:sz w:val="20"/>
                <w:szCs w:val="20"/>
              </w:rPr>
              <w:t>CE-12XXX</w:t>
            </w:r>
          </w:p>
        </w:tc>
        <w:tc>
          <w:tcPr>
            <w:tcW w:w="1443" w:type="dxa"/>
          </w:tcPr>
          <w:p w14:paraId="3F0E59E3" w14:textId="77777777" w:rsidR="00402C83" w:rsidRPr="00402C83" w:rsidRDefault="00402C83" w:rsidP="000A3D4E">
            <w:pPr>
              <w:rPr>
                <w:rFonts w:cs="Arial"/>
                <w:sz w:val="20"/>
                <w:szCs w:val="20"/>
              </w:rPr>
            </w:pPr>
            <w:r w:rsidRPr="00402C83">
              <w:rPr>
                <w:rFonts w:cs="Arial"/>
                <w:sz w:val="20"/>
                <w:szCs w:val="20"/>
              </w:rPr>
              <w:t>N/A</w:t>
            </w:r>
          </w:p>
        </w:tc>
        <w:tc>
          <w:tcPr>
            <w:tcW w:w="6345" w:type="dxa"/>
            <w:vAlign w:val="bottom"/>
          </w:tcPr>
          <w:p w14:paraId="249B339B" w14:textId="77777777" w:rsidR="00402C83" w:rsidRPr="00402C83" w:rsidRDefault="00402C83" w:rsidP="000A3D4E">
            <w:pPr>
              <w:rPr>
                <w:rFonts w:cs="Arial"/>
                <w:color w:val="000000"/>
                <w:sz w:val="20"/>
                <w:szCs w:val="20"/>
              </w:rPr>
            </w:pPr>
            <w:r w:rsidRPr="00402C83">
              <w:rPr>
                <w:rFonts w:cs="Arial"/>
                <w:color w:val="000000"/>
                <w:sz w:val="20"/>
                <w:szCs w:val="20"/>
              </w:rPr>
              <w:t>Satellite Non Estar HD DVR STB Upgrade To Satellite Thin Client ES 4.1</w:t>
            </w:r>
          </w:p>
        </w:tc>
      </w:tr>
      <w:tr w:rsidR="00402C83" w:rsidRPr="00402C83" w14:paraId="779B31BB" w14:textId="77777777" w:rsidTr="000A3D4E">
        <w:trPr>
          <w:cnfStyle w:val="000000100000" w:firstRow="0" w:lastRow="0" w:firstColumn="0" w:lastColumn="0" w:oddVBand="0" w:evenVBand="0" w:oddHBand="1" w:evenHBand="0" w:firstRowFirstColumn="0" w:firstRowLastColumn="0" w:lastRowFirstColumn="0" w:lastRowLastColumn="0"/>
          <w:trHeight w:val="243"/>
          <w:jc w:val="center"/>
        </w:trPr>
        <w:tc>
          <w:tcPr>
            <w:tcW w:w="1662" w:type="dxa"/>
            <w:vAlign w:val="bottom"/>
          </w:tcPr>
          <w:p w14:paraId="2EDC12AE" w14:textId="77777777" w:rsidR="00402C83" w:rsidRPr="00402C83" w:rsidRDefault="00402C83" w:rsidP="000A3D4E">
            <w:pPr>
              <w:rPr>
                <w:rFonts w:cs="Arial"/>
                <w:color w:val="000000"/>
                <w:sz w:val="20"/>
                <w:szCs w:val="20"/>
              </w:rPr>
            </w:pPr>
            <w:r w:rsidRPr="00402C83">
              <w:rPr>
                <w:rFonts w:cs="Arial"/>
                <w:color w:val="000000"/>
                <w:sz w:val="20"/>
                <w:szCs w:val="20"/>
              </w:rPr>
              <w:t>CE-13XXX</w:t>
            </w:r>
          </w:p>
        </w:tc>
        <w:tc>
          <w:tcPr>
            <w:tcW w:w="1443" w:type="dxa"/>
          </w:tcPr>
          <w:p w14:paraId="4BC56D02" w14:textId="77777777" w:rsidR="00402C83" w:rsidRPr="00402C83" w:rsidRDefault="00402C83" w:rsidP="000A3D4E">
            <w:pPr>
              <w:rPr>
                <w:rFonts w:cs="Arial"/>
                <w:sz w:val="20"/>
                <w:szCs w:val="20"/>
              </w:rPr>
            </w:pPr>
            <w:r w:rsidRPr="00402C83">
              <w:rPr>
                <w:rFonts w:cs="Arial"/>
                <w:sz w:val="20"/>
                <w:szCs w:val="20"/>
              </w:rPr>
              <w:t>N/A</w:t>
            </w:r>
          </w:p>
        </w:tc>
        <w:tc>
          <w:tcPr>
            <w:tcW w:w="6345" w:type="dxa"/>
            <w:vAlign w:val="bottom"/>
          </w:tcPr>
          <w:p w14:paraId="6FF3D0B9" w14:textId="77777777" w:rsidR="00402C83" w:rsidRPr="00402C83" w:rsidRDefault="00402C83" w:rsidP="000A3D4E">
            <w:pPr>
              <w:rPr>
                <w:rFonts w:cs="Arial"/>
                <w:color w:val="000000"/>
                <w:sz w:val="20"/>
                <w:szCs w:val="20"/>
              </w:rPr>
            </w:pPr>
            <w:r w:rsidRPr="00402C83">
              <w:rPr>
                <w:rFonts w:cs="Arial"/>
                <w:color w:val="000000"/>
                <w:sz w:val="20"/>
                <w:szCs w:val="20"/>
              </w:rPr>
              <w:t>Satellite Estar 2.0 HD STB Upgrade To Satellite Thin Client ES 4.1</w:t>
            </w:r>
          </w:p>
        </w:tc>
      </w:tr>
      <w:tr w:rsidR="00402C83" w:rsidRPr="00402C83" w14:paraId="3D4D5DE9" w14:textId="77777777" w:rsidTr="000A3D4E">
        <w:trPr>
          <w:cnfStyle w:val="000000010000" w:firstRow="0" w:lastRow="0" w:firstColumn="0" w:lastColumn="0" w:oddVBand="0" w:evenVBand="0" w:oddHBand="0" w:evenHBand="1" w:firstRowFirstColumn="0" w:firstRowLastColumn="0" w:lastRowFirstColumn="0" w:lastRowLastColumn="0"/>
          <w:trHeight w:val="243"/>
          <w:jc w:val="center"/>
        </w:trPr>
        <w:tc>
          <w:tcPr>
            <w:tcW w:w="1662" w:type="dxa"/>
            <w:vAlign w:val="bottom"/>
          </w:tcPr>
          <w:p w14:paraId="17CFBBC3" w14:textId="77777777" w:rsidR="00402C83" w:rsidRPr="00402C83" w:rsidRDefault="00402C83" w:rsidP="000A3D4E">
            <w:pPr>
              <w:rPr>
                <w:rFonts w:cs="Arial"/>
                <w:color w:val="000000"/>
                <w:sz w:val="20"/>
                <w:szCs w:val="20"/>
              </w:rPr>
            </w:pPr>
            <w:r w:rsidRPr="00402C83">
              <w:rPr>
                <w:rFonts w:cs="Arial"/>
                <w:color w:val="000000"/>
                <w:sz w:val="20"/>
                <w:szCs w:val="20"/>
              </w:rPr>
              <w:t>CE-14XXX</w:t>
            </w:r>
          </w:p>
        </w:tc>
        <w:tc>
          <w:tcPr>
            <w:tcW w:w="1443" w:type="dxa"/>
          </w:tcPr>
          <w:p w14:paraId="1762DFD0" w14:textId="77777777" w:rsidR="00402C83" w:rsidRPr="00402C83" w:rsidRDefault="00402C83" w:rsidP="000A3D4E">
            <w:pPr>
              <w:rPr>
                <w:rFonts w:cs="Arial"/>
                <w:sz w:val="20"/>
                <w:szCs w:val="20"/>
              </w:rPr>
            </w:pPr>
            <w:r w:rsidRPr="00402C83">
              <w:rPr>
                <w:rFonts w:cs="Arial"/>
                <w:sz w:val="20"/>
                <w:szCs w:val="20"/>
              </w:rPr>
              <w:t>N/A</w:t>
            </w:r>
          </w:p>
        </w:tc>
        <w:tc>
          <w:tcPr>
            <w:tcW w:w="6345" w:type="dxa"/>
            <w:vAlign w:val="bottom"/>
          </w:tcPr>
          <w:p w14:paraId="4730FC57" w14:textId="77777777" w:rsidR="00402C83" w:rsidRPr="00402C83" w:rsidRDefault="00402C83" w:rsidP="000A3D4E">
            <w:pPr>
              <w:rPr>
                <w:rFonts w:cs="Arial"/>
                <w:color w:val="000000"/>
                <w:sz w:val="20"/>
                <w:szCs w:val="20"/>
              </w:rPr>
            </w:pPr>
            <w:r w:rsidRPr="00402C83">
              <w:rPr>
                <w:rFonts w:cs="Arial"/>
                <w:color w:val="000000"/>
                <w:sz w:val="20"/>
                <w:szCs w:val="20"/>
              </w:rPr>
              <w:t>Satellite Estar 2.0 HD DVR STB Upgrade To Satellite Thin Client ES 4.1</w:t>
            </w:r>
          </w:p>
        </w:tc>
      </w:tr>
    </w:tbl>
    <w:p w14:paraId="720A3D9E" w14:textId="37E314DA" w:rsidR="00520480" w:rsidRPr="00402C83" w:rsidRDefault="00520480" w:rsidP="00872913">
      <w:pPr>
        <w:rPr>
          <w:rFonts w:cs="Arial"/>
          <w:color w:val="FF0000"/>
          <w:sz w:val="20"/>
          <w:szCs w:val="20"/>
        </w:rPr>
      </w:pPr>
    </w:p>
    <w:p w14:paraId="72F1F096" w14:textId="77777777" w:rsidR="007112FD" w:rsidRDefault="007112FD" w:rsidP="00872913">
      <w:pPr>
        <w:rPr>
          <w:rFonts w:cs="Arial"/>
          <w:sz w:val="20"/>
          <w:szCs w:val="20"/>
        </w:rPr>
      </w:pPr>
    </w:p>
    <w:p w14:paraId="18693FE5" w14:textId="32864C9D" w:rsidR="00761007" w:rsidRPr="007112FD" w:rsidRDefault="007112FD" w:rsidP="00C55BED">
      <w:pPr>
        <w:spacing w:after="60"/>
        <w:rPr>
          <w:rFonts w:cs="Arial"/>
          <w:b/>
          <w:sz w:val="20"/>
          <w:szCs w:val="20"/>
        </w:rPr>
      </w:pPr>
      <w:r>
        <w:rPr>
          <w:rFonts w:cs="Arial"/>
          <w:b/>
          <w:sz w:val="20"/>
          <w:szCs w:val="20"/>
        </w:rPr>
        <w:t>Technical Description</w:t>
      </w:r>
    </w:p>
    <w:p w14:paraId="4D338FEA" w14:textId="77777777" w:rsidR="00402C83" w:rsidRPr="00402C83" w:rsidRDefault="00402C83" w:rsidP="00402C83">
      <w:pPr>
        <w:pStyle w:val="Reminders"/>
        <w:tabs>
          <w:tab w:val="num" w:pos="360"/>
        </w:tabs>
        <w:rPr>
          <w:rFonts w:ascii="Arial" w:hAnsi="Arial" w:cs="Arial"/>
          <w:i w:val="0"/>
          <w:color w:val="auto"/>
          <w:sz w:val="20"/>
          <w:szCs w:val="20"/>
        </w:rPr>
      </w:pPr>
      <w:r w:rsidRPr="00402C83">
        <w:rPr>
          <w:rFonts w:ascii="Arial" w:hAnsi="Arial" w:cs="Arial"/>
          <w:i w:val="0"/>
          <w:color w:val="auto"/>
          <w:sz w:val="20"/>
          <w:szCs w:val="20"/>
        </w:rPr>
        <w:t>The measure is an Energy Star 4.1 or 3.0 compliant Set Top Box replacing an Energy Star 2.0 or lower STB within the residential sector. Set top boxes are used in the television/entertainment sector and have different roles based on their functionality. Per Energy Star, STBs can be of the following types:</w:t>
      </w:r>
    </w:p>
    <w:p w14:paraId="4E24D980" w14:textId="77777777" w:rsidR="00402C83" w:rsidRPr="00402C83" w:rsidRDefault="00402C83" w:rsidP="00402C83">
      <w:pPr>
        <w:pStyle w:val="Reminders"/>
        <w:tabs>
          <w:tab w:val="num" w:pos="360"/>
        </w:tabs>
        <w:rPr>
          <w:rFonts w:ascii="Arial" w:hAnsi="Arial" w:cs="Arial"/>
          <w:i w:val="0"/>
          <w:color w:val="auto"/>
          <w:sz w:val="20"/>
          <w:szCs w:val="20"/>
        </w:rPr>
      </w:pPr>
    </w:p>
    <w:p w14:paraId="76B8E700" w14:textId="77777777" w:rsidR="00402C83" w:rsidRPr="00402C83" w:rsidRDefault="00402C83" w:rsidP="00402C83">
      <w:pPr>
        <w:pStyle w:val="Reminders"/>
        <w:tabs>
          <w:tab w:val="num" w:pos="360"/>
        </w:tabs>
        <w:rPr>
          <w:rFonts w:ascii="Arial" w:hAnsi="Arial" w:cs="Arial"/>
          <w:b/>
          <w:i w:val="0"/>
          <w:color w:val="auto"/>
          <w:sz w:val="20"/>
          <w:szCs w:val="20"/>
        </w:rPr>
      </w:pPr>
      <w:r w:rsidRPr="00402C83">
        <w:rPr>
          <w:rFonts w:ascii="Arial" w:hAnsi="Arial" w:cs="Arial"/>
          <w:b/>
          <w:i w:val="0"/>
          <w:color w:val="auto"/>
          <w:sz w:val="20"/>
          <w:szCs w:val="20"/>
        </w:rPr>
        <w:t>Product Type (Base Type):</w:t>
      </w:r>
      <w:r w:rsidRPr="00402C83">
        <w:rPr>
          <w:rFonts w:ascii="Arial" w:hAnsi="Arial" w:cs="Arial"/>
          <w:b/>
          <w:sz w:val="20"/>
          <w:szCs w:val="20"/>
        </w:rPr>
        <w:t xml:space="preserve"> </w:t>
      </w:r>
      <w:r w:rsidRPr="00402C83">
        <w:rPr>
          <w:rFonts w:ascii="Arial" w:hAnsi="Arial" w:cs="Arial"/>
          <w:b/>
          <w:i w:val="0"/>
          <w:color w:val="auto"/>
          <w:sz w:val="20"/>
          <w:szCs w:val="20"/>
        </w:rPr>
        <w:t>Thee means of access to video content for a STB or DVG.</w:t>
      </w:r>
    </w:p>
    <w:p w14:paraId="2E82F398" w14:textId="77777777" w:rsidR="00402C83" w:rsidRPr="00402C83" w:rsidRDefault="00402C83" w:rsidP="00402C83">
      <w:pPr>
        <w:pStyle w:val="Reminders"/>
        <w:tabs>
          <w:tab w:val="num" w:pos="360"/>
        </w:tabs>
        <w:rPr>
          <w:rFonts w:ascii="Arial" w:hAnsi="Arial" w:cs="Arial"/>
          <w:i w:val="0"/>
          <w:color w:val="auto"/>
          <w:sz w:val="20"/>
          <w:szCs w:val="20"/>
        </w:rPr>
      </w:pPr>
      <w:r w:rsidRPr="00402C83">
        <w:rPr>
          <w:rFonts w:ascii="Arial" w:hAnsi="Arial" w:cs="Arial"/>
          <w:i w:val="0"/>
          <w:color w:val="auto"/>
          <w:sz w:val="20"/>
          <w:szCs w:val="20"/>
        </w:rPr>
        <w:t>•</w:t>
      </w:r>
      <w:r w:rsidRPr="00402C83">
        <w:rPr>
          <w:rFonts w:ascii="Arial" w:hAnsi="Arial" w:cs="Arial"/>
          <w:i w:val="0"/>
          <w:color w:val="auto"/>
          <w:sz w:val="20"/>
          <w:szCs w:val="20"/>
        </w:rPr>
        <w:tab/>
        <w:t>Cable: A STB or DVG that can receive television signals from a broadband, hybrid fiber/coaxial, or community cable distribution system with Conditional Access (CCA) or a STB or DVG capable of receiving cable service after installation of a CableCAARD or other type of Conditional Access system.</w:t>
      </w:r>
    </w:p>
    <w:p w14:paraId="70C7ED26" w14:textId="77777777" w:rsidR="00402C83" w:rsidRPr="00402C83" w:rsidRDefault="00402C83" w:rsidP="00402C83">
      <w:pPr>
        <w:pStyle w:val="Reminders"/>
        <w:tabs>
          <w:tab w:val="num" w:pos="360"/>
        </w:tabs>
        <w:rPr>
          <w:rFonts w:ascii="Arial" w:hAnsi="Arial" w:cs="Arial"/>
          <w:i w:val="0"/>
          <w:color w:val="auto"/>
          <w:sz w:val="20"/>
          <w:szCs w:val="20"/>
        </w:rPr>
      </w:pPr>
      <w:r w:rsidRPr="00402C83">
        <w:rPr>
          <w:rFonts w:ascii="Arial" w:hAnsi="Arial" w:cs="Arial"/>
          <w:i w:val="0"/>
          <w:color w:val="auto"/>
          <w:sz w:val="20"/>
          <w:szCs w:val="20"/>
        </w:rPr>
        <w:t>•</w:t>
      </w:r>
      <w:r w:rsidRPr="00402C83">
        <w:rPr>
          <w:rFonts w:ascii="Arial" w:hAnsi="Arial" w:cs="Arial"/>
          <w:i w:val="0"/>
          <w:color w:val="auto"/>
          <w:sz w:val="20"/>
          <w:szCs w:val="20"/>
        </w:rPr>
        <w:tab/>
        <w:t>Satellite: A STB or DVG that can receive and decode video content as delivered from a MVPPD satellite network.</w:t>
      </w:r>
    </w:p>
    <w:p w14:paraId="40E1D054" w14:textId="77777777" w:rsidR="00402C83" w:rsidRPr="00402C83" w:rsidRDefault="00402C83" w:rsidP="00402C83">
      <w:pPr>
        <w:pStyle w:val="Reminders"/>
        <w:tabs>
          <w:tab w:val="num" w:pos="360"/>
        </w:tabs>
        <w:rPr>
          <w:rFonts w:ascii="Arial" w:hAnsi="Arial" w:cs="Arial"/>
          <w:i w:val="0"/>
          <w:color w:val="auto"/>
          <w:sz w:val="20"/>
          <w:szCs w:val="20"/>
        </w:rPr>
      </w:pPr>
      <w:r w:rsidRPr="00402C83">
        <w:rPr>
          <w:rFonts w:ascii="Arial" w:hAnsi="Arial" w:cs="Arial"/>
          <w:i w:val="0"/>
          <w:color w:val="auto"/>
          <w:sz w:val="20"/>
          <w:szCs w:val="20"/>
        </w:rPr>
        <w:t>•</w:t>
      </w:r>
      <w:r w:rsidRPr="00402C83">
        <w:rPr>
          <w:rFonts w:ascii="Arial" w:hAnsi="Arial" w:cs="Arial"/>
          <w:i w:val="0"/>
          <w:color w:val="auto"/>
          <w:sz w:val="20"/>
          <w:szCs w:val="20"/>
        </w:rPr>
        <w:tab/>
        <w:t>Cable Digital Transport Adapter (DTA): A minimally-configured Cable STB that can receive television signals from a broadband, hybrid fiber/coaxial, or community cable distribution system.</w:t>
      </w:r>
    </w:p>
    <w:p w14:paraId="3201F45E" w14:textId="77777777" w:rsidR="00402C83" w:rsidRPr="00402C83" w:rsidRDefault="00402C83" w:rsidP="00402C83">
      <w:pPr>
        <w:pStyle w:val="Reminders"/>
        <w:tabs>
          <w:tab w:val="num" w:pos="360"/>
        </w:tabs>
        <w:rPr>
          <w:rFonts w:ascii="Arial" w:hAnsi="Arial" w:cs="Arial"/>
          <w:i w:val="0"/>
          <w:color w:val="auto"/>
          <w:sz w:val="20"/>
          <w:szCs w:val="20"/>
        </w:rPr>
      </w:pPr>
      <w:r w:rsidRPr="00402C83">
        <w:rPr>
          <w:rFonts w:ascii="Arial" w:hAnsi="Arial" w:cs="Arial"/>
          <w:i w:val="0"/>
          <w:color w:val="auto"/>
          <w:sz w:val="20"/>
          <w:szCs w:val="20"/>
        </w:rPr>
        <w:lastRenderedPageBreak/>
        <w:t>•</w:t>
      </w:r>
      <w:r w:rsidRPr="00402C83">
        <w:rPr>
          <w:rFonts w:ascii="Arial" w:hAnsi="Arial" w:cs="Arial"/>
          <w:i w:val="0"/>
          <w:color w:val="auto"/>
          <w:sz w:val="20"/>
          <w:szCs w:val="20"/>
        </w:rPr>
        <w:tab/>
        <w:t>Internet Protocol (IP): A STBB or DVG that can receive television/video signals encapsulated in IP packets.</w:t>
      </w:r>
    </w:p>
    <w:p w14:paraId="1008896D" w14:textId="77777777" w:rsidR="00402C83" w:rsidRPr="00402C83" w:rsidRDefault="00402C83" w:rsidP="00402C83">
      <w:pPr>
        <w:pStyle w:val="Reminders"/>
        <w:numPr>
          <w:ilvl w:val="0"/>
          <w:numId w:val="14"/>
        </w:numPr>
        <w:rPr>
          <w:rFonts w:ascii="Arial" w:hAnsi="Arial" w:cs="Arial"/>
          <w:i w:val="0"/>
          <w:color w:val="auto"/>
          <w:sz w:val="20"/>
          <w:szCs w:val="20"/>
        </w:rPr>
      </w:pPr>
      <w:r w:rsidRPr="00402C83">
        <w:rPr>
          <w:rFonts w:ascii="Arial" w:hAnsi="Arial" w:cs="Arial"/>
          <w:i w:val="0"/>
          <w:color w:val="auto"/>
          <w:sz w:val="20"/>
          <w:szCs w:val="20"/>
        </w:rPr>
        <w:t>Over-the-top (OTT) Internet Protocol (IP): An IP SSTB that cannot receive signals from a Multichannel Video Programing Distributor (MVPD) as defined in Title 47 U.S. Code § 522.</w:t>
      </w:r>
    </w:p>
    <w:p w14:paraId="328CD4D1" w14:textId="77777777" w:rsidR="00402C83" w:rsidRPr="00402C83" w:rsidRDefault="00402C83" w:rsidP="00402C83">
      <w:pPr>
        <w:pStyle w:val="Reminders"/>
        <w:numPr>
          <w:ilvl w:val="0"/>
          <w:numId w:val="14"/>
        </w:numPr>
        <w:rPr>
          <w:rFonts w:ascii="Arial" w:hAnsi="Arial" w:cs="Arial"/>
          <w:i w:val="0"/>
          <w:color w:val="auto"/>
          <w:sz w:val="20"/>
          <w:szCs w:val="20"/>
        </w:rPr>
      </w:pPr>
      <w:r w:rsidRPr="00402C83">
        <w:rPr>
          <w:rFonts w:ascii="Arial" w:hAnsi="Arial" w:cs="Arial"/>
          <w:i w:val="0"/>
          <w:color w:val="auto"/>
          <w:sz w:val="20"/>
          <w:szCs w:val="20"/>
        </w:rPr>
        <w:t>Multichannel Video Programming Distributor (MVPD) Internet Protocol (IP): An IP STB or DVG that can receive signals from a MVPD.</w:t>
      </w:r>
    </w:p>
    <w:p w14:paraId="5FCD34EF" w14:textId="77777777" w:rsidR="00402C83" w:rsidRPr="00402C83" w:rsidRDefault="00402C83" w:rsidP="00402C83">
      <w:pPr>
        <w:pStyle w:val="Reminders"/>
        <w:tabs>
          <w:tab w:val="num" w:pos="360"/>
        </w:tabs>
        <w:rPr>
          <w:rFonts w:ascii="Arial" w:hAnsi="Arial" w:cs="Arial"/>
          <w:i w:val="0"/>
          <w:color w:val="auto"/>
          <w:sz w:val="20"/>
          <w:szCs w:val="20"/>
        </w:rPr>
      </w:pPr>
      <w:r w:rsidRPr="00402C83">
        <w:rPr>
          <w:rFonts w:ascii="Arial" w:hAnsi="Arial" w:cs="Arial"/>
          <w:i w:val="0"/>
          <w:color w:val="auto"/>
          <w:sz w:val="20"/>
          <w:szCs w:val="20"/>
        </w:rPr>
        <w:t>•</w:t>
      </w:r>
      <w:r w:rsidRPr="00402C83">
        <w:rPr>
          <w:rFonts w:ascii="Arial" w:hAnsi="Arial" w:cs="Arial"/>
          <w:i w:val="0"/>
          <w:color w:val="auto"/>
          <w:sz w:val="20"/>
          <w:szCs w:val="20"/>
        </w:rPr>
        <w:tab/>
        <w:t xml:space="preserve">Terrestrial: A STB that can receive television signals over the air (OTA) or via community cable distribution system without Conditional Access (CA). </w:t>
      </w:r>
    </w:p>
    <w:p w14:paraId="5E749AF3" w14:textId="77777777" w:rsidR="00402C83" w:rsidRPr="00402C83" w:rsidRDefault="00402C83" w:rsidP="00402C83">
      <w:pPr>
        <w:pStyle w:val="Reminders"/>
        <w:tabs>
          <w:tab w:val="num" w:pos="360"/>
        </w:tabs>
        <w:rPr>
          <w:rFonts w:ascii="Arial" w:hAnsi="Arial" w:cs="Arial"/>
          <w:i w:val="0"/>
          <w:color w:val="auto"/>
          <w:sz w:val="20"/>
          <w:szCs w:val="20"/>
        </w:rPr>
      </w:pPr>
      <w:r w:rsidRPr="00402C83">
        <w:rPr>
          <w:rFonts w:ascii="Arial" w:hAnsi="Arial" w:cs="Arial"/>
          <w:i w:val="0"/>
          <w:color w:val="auto"/>
          <w:sz w:val="20"/>
          <w:szCs w:val="20"/>
        </w:rPr>
        <w:t>•</w:t>
      </w:r>
      <w:r w:rsidRPr="00402C83">
        <w:rPr>
          <w:rFonts w:ascii="Arial" w:hAnsi="Arial" w:cs="Arial"/>
          <w:i w:val="0"/>
          <w:color w:val="auto"/>
          <w:sz w:val="20"/>
          <w:szCs w:val="20"/>
        </w:rPr>
        <w:tab/>
        <w:t xml:space="preserve">Thin-client / Remote: A STB that can receive content over an HNI from another STB or DVG, but is unable to interface directly to the MVPD network. </w:t>
      </w:r>
    </w:p>
    <w:p w14:paraId="3A694C39" w14:textId="77777777" w:rsidR="00402C83" w:rsidRPr="00402C83" w:rsidRDefault="00402C83" w:rsidP="00402C83">
      <w:pPr>
        <w:pStyle w:val="Reminders"/>
        <w:tabs>
          <w:tab w:val="num" w:pos="360"/>
        </w:tabs>
        <w:rPr>
          <w:rFonts w:ascii="Arial" w:hAnsi="Arial" w:cs="Arial"/>
          <w:i w:val="0"/>
          <w:color w:val="auto"/>
          <w:sz w:val="20"/>
          <w:szCs w:val="20"/>
        </w:rPr>
      </w:pPr>
    </w:p>
    <w:p w14:paraId="749DE86B" w14:textId="77777777" w:rsidR="00402C83" w:rsidRPr="00402C83" w:rsidRDefault="00402C83" w:rsidP="00402C83">
      <w:pPr>
        <w:pStyle w:val="Reminders"/>
        <w:tabs>
          <w:tab w:val="num" w:pos="360"/>
        </w:tabs>
        <w:rPr>
          <w:rFonts w:ascii="Arial" w:hAnsi="Arial" w:cs="Arial"/>
          <w:b/>
          <w:i w:val="0"/>
          <w:color w:val="auto"/>
          <w:sz w:val="20"/>
          <w:szCs w:val="20"/>
        </w:rPr>
      </w:pPr>
      <w:r w:rsidRPr="00402C83">
        <w:rPr>
          <w:rFonts w:ascii="Arial" w:hAnsi="Arial" w:cs="Arial"/>
          <w:b/>
          <w:i w:val="0"/>
          <w:color w:val="auto"/>
          <w:sz w:val="20"/>
          <w:szCs w:val="20"/>
        </w:rPr>
        <w:t>Additional Functionality:</w:t>
      </w:r>
    </w:p>
    <w:p w14:paraId="68EA362C" w14:textId="77777777" w:rsidR="00402C83" w:rsidRPr="00402C83" w:rsidRDefault="00402C83" w:rsidP="00402C83">
      <w:pPr>
        <w:pStyle w:val="Reminders"/>
        <w:numPr>
          <w:ilvl w:val="0"/>
          <w:numId w:val="15"/>
        </w:numPr>
        <w:ind w:left="360"/>
        <w:rPr>
          <w:rFonts w:ascii="Arial" w:hAnsi="Arial" w:cs="Arial"/>
          <w:i w:val="0"/>
          <w:color w:val="auto"/>
          <w:sz w:val="20"/>
          <w:szCs w:val="20"/>
        </w:rPr>
      </w:pPr>
      <w:r w:rsidRPr="00402C83">
        <w:rPr>
          <w:rFonts w:ascii="Arial" w:hAnsi="Arial" w:cs="Arial"/>
          <w:i w:val="0"/>
          <w:color w:val="auto"/>
          <w:sz w:val="20"/>
          <w:szCs w:val="20"/>
          <w:u w:val="single"/>
        </w:rPr>
        <w:t>CableCARD</w:t>
      </w:r>
      <w:r w:rsidRPr="00402C83">
        <w:rPr>
          <w:rFonts w:ascii="Arial" w:hAnsi="Arial" w:cs="Arial"/>
          <w:i w:val="0"/>
          <w:color w:val="auto"/>
          <w:sz w:val="20"/>
          <w:szCs w:val="20"/>
        </w:rPr>
        <w:t xml:space="preserve">: The capability to decrypt premium audio/video content and services and provide other network control functions via a plug-in Conditional Access module that complies with the ANSI/SCTE 28 HOST-POD Interface Standard. </w:t>
      </w:r>
    </w:p>
    <w:p w14:paraId="7C2D2600" w14:textId="77777777" w:rsidR="00402C83" w:rsidRPr="00402C83" w:rsidRDefault="00402C83" w:rsidP="00402C83">
      <w:pPr>
        <w:pStyle w:val="Reminders"/>
        <w:numPr>
          <w:ilvl w:val="0"/>
          <w:numId w:val="15"/>
        </w:numPr>
        <w:ind w:left="360"/>
        <w:rPr>
          <w:rFonts w:ascii="Arial" w:hAnsi="Arial" w:cs="Arial"/>
          <w:i w:val="0"/>
          <w:color w:val="auto"/>
          <w:sz w:val="20"/>
          <w:szCs w:val="20"/>
        </w:rPr>
      </w:pPr>
      <w:r w:rsidRPr="00402C83">
        <w:rPr>
          <w:rFonts w:ascii="Arial" w:hAnsi="Arial" w:cs="Arial"/>
          <w:i w:val="0"/>
          <w:color w:val="auto"/>
          <w:sz w:val="20"/>
          <w:szCs w:val="20"/>
          <w:u w:val="single"/>
        </w:rPr>
        <w:t>Digital Video Recorder (DVR)</w:t>
      </w:r>
      <w:r w:rsidRPr="00402C83">
        <w:rPr>
          <w:rFonts w:ascii="Arial" w:hAnsi="Arial" w:cs="Arial"/>
          <w:i w:val="0"/>
          <w:color w:val="auto"/>
          <w:sz w:val="20"/>
          <w:szCs w:val="20"/>
        </w:rPr>
        <w:t xml:space="preserve">: A feature that records television signals on a hard disk drive (HDD) or other non-volatile storage device integrated into the STB or DVG for playback at an arbitrary time. A DVR includes features such as: Play, Record, Pause, Fast Forward (FF), and Fast Rewind (FR). STBs or DVGs that only support buffering or a Service Provider network-based “DVR” service are not considered DVR STBs or DVGs for purposes of this specification. The presence of DVR functionality does not mean the device is defined to be a STB or DVG. </w:t>
      </w:r>
    </w:p>
    <w:p w14:paraId="6B17BD0B" w14:textId="77777777" w:rsidR="00402C83" w:rsidRPr="00402C83" w:rsidRDefault="00402C83" w:rsidP="00402C83">
      <w:pPr>
        <w:pStyle w:val="Reminders"/>
        <w:numPr>
          <w:ilvl w:val="0"/>
          <w:numId w:val="15"/>
        </w:numPr>
        <w:ind w:left="360"/>
        <w:rPr>
          <w:rFonts w:ascii="Arial" w:hAnsi="Arial" w:cs="Arial"/>
          <w:i w:val="0"/>
          <w:color w:val="auto"/>
          <w:sz w:val="20"/>
          <w:szCs w:val="20"/>
        </w:rPr>
      </w:pPr>
      <w:r w:rsidRPr="00402C83">
        <w:rPr>
          <w:rFonts w:ascii="Arial" w:hAnsi="Arial" w:cs="Arial"/>
          <w:i w:val="0"/>
          <w:color w:val="auto"/>
          <w:sz w:val="20"/>
          <w:szCs w:val="20"/>
          <w:u w:val="single"/>
        </w:rPr>
        <w:t>DOCSIS®</w:t>
      </w:r>
      <w:r w:rsidRPr="00402C83">
        <w:rPr>
          <w:rFonts w:ascii="Arial" w:hAnsi="Arial" w:cs="Arial"/>
          <w:i w:val="0"/>
          <w:color w:val="auto"/>
          <w:sz w:val="20"/>
          <w:szCs w:val="20"/>
        </w:rPr>
        <w:t>: The capability to distribute data and audio/video content over cable television infrastructure in accordance with the CableLabs® Data Over Cable Service Interface Specification.</w:t>
      </w:r>
    </w:p>
    <w:p w14:paraId="08BC3055" w14:textId="77777777" w:rsidR="00402C83" w:rsidRPr="00402C83" w:rsidRDefault="00402C83" w:rsidP="00402C83">
      <w:pPr>
        <w:pStyle w:val="Reminders"/>
        <w:numPr>
          <w:ilvl w:val="0"/>
          <w:numId w:val="15"/>
        </w:numPr>
        <w:ind w:left="360"/>
        <w:rPr>
          <w:rFonts w:ascii="Arial" w:hAnsi="Arial" w:cs="Arial"/>
          <w:i w:val="0"/>
          <w:color w:val="auto"/>
          <w:sz w:val="20"/>
          <w:szCs w:val="20"/>
        </w:rPr>
      </w:pPr>
      <w:r w:rsidRPr="00402C83">
        <w:rPr>
          <w:rFonts w:ascii="Arial" w:hAnsi="Arial" w:cs="Arial"/>
          <w:i w:val="0"/>
          <w:color w:val="000000"/>
          <w:sz w:val="20"/>
          <w:szCs w:val="20"/>
          <w:u w:val="single"/>
        </w:rPr>
        <w:t>Home Network Interface (HNI)</w:t>
      </w:r>
      <w:r w:rsidRPr="00402C83">
        <w:rPr>
          <w:rFonts w:ascii="Arial" w:hAnsi="Arial" w:cs="Arial"/>
          <w:i w:val="0"/>
          <w:color w:val="000000"/>
          <w:sz w:val="20"/>
          <w:szCs w:val="20"/>
        </w:rPr>
        <w:t>: An interface with external devices over a local area network (example: Institute of Electrical and Electronics Engineers (IEEE) 802.11 (Wireless-Fidelity or Wi-Fi), Multimedia over Coax Alliance (MoCA), HomePNA alliance (HPNA), IEEE 802.3, HomePlug AV) that is capable of transmitting video content.</w:t>
      </w:r>
    </w:p>
    <w:p w14:paraId="3696DE8F" w14:textId="77777777" w:rsidR="00402C83" w:rsidRPr="00402C83" w:rsidRDefault="00402C83" w:rsidP="00402C83">
      <w:pPr>
        <w:pStyle w:val="Reminders"/>
        <w:numPr>
          <w:ilvl w:val="1"/>
          <w:numId w:val="15"/>
        </w:numPr>
        <w:rPr>
          <w:rFonts w:ascii="Arial" w:hAnsi="Arial" w:cs="Arial"/>
          <w:i w:val="0"/>
          <w:color w:val="auto"/>
          <w:sz w:val="20"/>
          <w:szCs w:val="20"/>
        </w:rPr>
      </w:pPr>
      <w:r w:rsidRPr="00402C83">
        <w:rPr>
          <w:rFonts w:ascii="Arial" w:hAnsi="Arial" w:cs="Arial"/>
          <w:i w:val="0"/>
          <w:color w:val="000000"/>
          <w:sz w:val="20"/>
          <w:szCs w:val="20"/>
          <w:u w:val="single"/>
        </w:rPr>
        <w:t>Multi-Input Multi-Output (MIMO) Wireless HNI</w:t>
      </w:r>
      <w:r w:rsidRPr="00402C83">
        <w:rPr>
          <w:rFonts w:ascii="Arial" w:hAnsi="Arial" w:cs="Arial"/>
          <w:i w:val="0"/>
          <w:color w:val="000000"/>
          <w:sz w:val="20"/>
          <w:szCs w:val="20"/>
        </w:rPr>
        <w:t>: IEEE 802.11n/ac and related MIMO enabled Wi-Fi functionality that supports more than one spatial stream in both send and receive. When using the notation MIMO AxB: A is considered the number of spatial streams while B is the number of antennas supported. A spatial stream is an independent and separately encoded data signal.</w:t>
      </w:r>
    </w:p>
    <w:p w14:paraId="54E4D7D5" w14:textId="77777777" w:rsidR="00402C83" w:rsidRPr="00402C83" w:rsidRDefault="00402C83" w:rsidP="00402C83">
      <w:pPr>
        <w:pStyle w:val="Reminders"/>
        <w:numPr>
          <w:ilvl w:val="0"/>
          <w:numId w:val="15"/>
        </w:numPr>
        <w:ind w:left="360"/>
        <w:rPr>
          <w:rFonts w:ascii="Arial" w:hAnsi="Arial" w:cs="Arial"/>
          <w:i w:val="0"/>
          <w:color w:val="auto"/>
          <w:sz w:val="20"/>
          <w:szCs w:val="20"/>
        </w:rPr>
      </w:pPr>
      <w:r w:rsidRPr="00402C83">
        <w:rPr>
          <w:rFonts w:ascii="Arial" w:hAnsi="Arial" w:cs="Arial"/>
          <w:i w:val="0"/>
          <w:color w:val="000000"/>
          <w:sz w:val="20"/>
          <w:szCs w:val="20"/>
          <w:u w:val="single"/>
        </w:rPr>
        <w:t>Multi-room</w:t>
      </w:r>
      <w:r w:rsidRPr="00402C83">
        <w:rPr>
          <w:rFonts w:ascii="Arial" w:hAnsi="Arial" w:cs="Arial"/>
          <w:i w:val="0"/>
          <w:color w:val="000000"/>
          <w:sz w:val="20"/>
          <w:szCs w:val="20"/>
        </w:rPr>
        <w:t>: The capability to provide independent live audio/video content to multiple devices (2 or more Clients) or support pause/time-shifting capability for otherwise standalone IP or Thin-client STBs within a single family living unit. This definition does not include the capability to manage gateway services for multi-subscriber scenarios.</w:t>
      </w:r>
    </w:p>
    <w:p w14:paraId="6A38F5F2" w14:textId="77777777" w:rsidR="00402C83" w:rsidRPr="00402C83" w:rsidRDefault="00402C83" w:rsidP="00402C83">
      <w:pPr>
        <w:pStyle w:val="Reminders"/>
        <w:numPr>
          <w:ilvl w:val="0"/>
          <w:numId w:val="15"/>
        </w:numPr>
        <w:ind w:left="360"/>
        <w:rPr>
          <w:rFonts w:ascii="Arial" w:hAnsi="Arial" w:cs="Arial"/>
          <w:i w:val="0"/>
          <w:color w:val="auto"/>
          <w:sz w:val="20"/>
          <w:szCs w:val="20"/>
        </w:rPr>
      </w:pPr>
      <w:r w:rsidRPr="00402C83">
        <w:rPr>
          <w:rFonts w:ascii="Arial" w:hAnsi="Arial" w:cs="Arial"/>
          <w:i w:val="0"/>
          <w:color w:val="auto"/>
          <w:sz w:val="20"/>
          <w:szCs w:val="20"/>
          <w:u w:val="single"/>
        </w:rPr>
        <w:t>Multi-stream</w:t>
      </w:r>
      <w:r w:rsidRPr="00402C83">
        <w:rPr>
          <w:rFonts w:ascii="Arial" w:hAnsi="Arial" w:cs="Arial"/>
          <w:i w:val="0"/>
          <w:color w:val="auto"/>
          <w:sz w:val="20"/>
          <w:szCs w:val="20"/>
        </w:rPr>
        <w:t xml:space="preserve">: </w:t>
      </w:r>
      <w:r w:rsidRPr="00402C83">
        <w:rPr>
          <w:rFonts w:ascii="Arial" w:hAnsi="Arial" w:cs="Arial"/>
          <w:i w:val="0"/>
          <w:color w:val="000000"/>
          <w:sz w:val="20"/>
          <w:szCs w:val="20"/>
        </w:rPr>
        <w:t>A STB or DVG feature that allows the device to receive multiple independent streams of video content for use with one or more Clients, one or more directly connected Display Devices, or a DVR, etc. This definition does not include the capability to manage gateway services for multi-subscriber scenarios.</w:t>
      </w:r>
    </w:p>
    <w:p w14:paraId="26403083" w14:textId="77777777" w:rsidR="00402C83" w:rsidRPr="00402C83" w:rsidRDefault="00402C83" w:rsidP="00402C83">
      <w:pPr>
        <w:pStyle w:val="Reminders"/>
        <w:numPr>
          <w:ilvl w:val="0"/>
          <w:numId w:val="15"/>
        </w:numPr>
        <w:ind w:left="360"/>
        <w:rPr>
          <w:rFonts w:ascii="Arial" w:hAnsi="Arial" w:cs="Arial"/>
          <w:i w:val="0"/>
          <w:color w:val="auto"/>
          <w:sz w:val="20"/>
          <w:szCs w:val="20"/>
        </w:rPr>
      </w:pPr>
      <w:r w:rsidRPr="00402C83">
        <w:rPr>
          <w:rFonts w:ascii="Arial" w:hAnsi="Arial" w:cs="Arial"/>
          <w:i w:val="0"/>
          <w:color w:val="000000"/>
          <w:sz w:val="20"/>
          <w:szCs w:val="20"/>
          <w:u w:val="single"/>
        </w:rPr>
        <w:t>Ultra HD (4k) Resolution</w:t>
      </w:r>
      <w:r w:rsidRPr="00402C83">
        <w:rPr>
          <w:rFonts w:ascii="Arial" w:hAnsi="Arial" w:cs="Arial"/>
          <w:i w:val="0"/>
          <w:color w:val="000000"/>
          <w:sz w:val="20"/>
          <w:szCs w:val="20"/>
        </w:rPr>
        <w:t>: The capability to transmit or display video signals with a minimum output resolution of 3840×2160 pixels in progressive scan mode at minimum frame rate of 24 fps (abbreviated 2160p24).</w:t>
      </w:r>
    </w:p>
    <w:p w14:paraId="0791E523" w14:textId="77777777" w:rsidR="00402C83" w:rsidRPr="00402C83" w:rsidRDefault="00402C83" w:rsidP="00402C83">
      <w:pPr>
        <w:pStyle w:val="Reminders"/>
        <w:numPr>
          <w:ilvl w:val="0"/>
          <w:numId w:val="15"/>
        </w:numPr>
        <w:ind w:left="360"/>
        <w:rPr>
          <w:rFonts w:ascii="Arial" w:hAnsi="Arial" w:cs="Arial"/>
          <w:i w:val="0"/>
          <w:color w:val="auto"/>
          <w:sz w:val="20"/>
          <w:szCs w:val="20"/>
        </w:rPr>
      </w:pPr>
      <w:r w:rsidRPr="00402C83">
        <w:rPr>
          <w:rFonts w:ascii="Arial" w:hAnsi="Arial" w:cs="Arial"/>
          <w:i w:val="0"/>
          <w:color w:val="000000"/>
          <w:sz w:val="20"/>
          <w:szCs w:val="20"/>
          <w:u w:val="single"/>
        </w:rPr>
        <w:t>High Efficiency Video Processing</w:t>
      </w:r>
      <w:r w:rsidRPr="00402C83">
        <w:rPr>
          <w:rFonts w:ascii="Arial" w:hAnsi="Arial" w:cs="Arial"/>
          <w:i w:val="0"/>
          <w:color w:val="000000"/>
          <w:sz w:val="20"/>
          <w:szCs w:val="20"/>
        </w:rPr>
        <w:t>: Video decoding providing compression efficiency significantly higher than H.264/AVC, for example HEVC (H.265).</w:t>
      </w:r>
    </w:p>
    <w:p w14:paraId="03103780" w14:textId="77777777" w:rsidR="00402C83" w:rsidRPr="00402C83" w:rsidRDefault="00402C83" w:rsidP="00402C83">
      <w:pPr>
        <w:pStyle w:val="Reminders"/>
        <w:numPr>
          <w:ilvl w:val="0"/>
          <w:numId w:val="15"/>
        </w:numPr>
        <w:ind w:left="360"/>
        <w:rPr>
          <w:rFonts w:ascii="Arial" w:hAnsi="Arial" w:cs="Arial"/>
          <w:i w:val="0"/>
          <w:color w:val="auto"/>
          <w:sz w:val="20"/>
          <w:szCs w:val="20"/>
        </w:rPr>
      </w:pPr>
      <w:r w:rsidRPr="00402C83">
        <w:rPr>
          <w:rFonts w:ascii="Arial" w:hAnsi="Arial" w:cs="Arial"/>
          <w:i w:val="0"/>
          <w:color w:val="000000"/>
          <w:sz w:val="20"/>
          <w:szCs w:val="20"/>
          <w:u w:val="single"/>
        </w:rPr>
        <w:t>Three-dimensional (3D) Capability</w:t>
      </w:r>
      <w:r w:rsidRPr="00402C83">
        <w:rPr>
          <w:rFonts w:ascii="Arial" w:hAnsi="Arial" w:cs="Arial"/>
          <w:i w:val="0"/>
          <w:color w:val="000000"/>
          <w:sz w:val="20"/>
          <w:szCs w:val="20"/>
        </w:rPr>
        <w:t>: The capability to transmit or display video signals with 3D depth information for stereoscopic display.</w:t>
      </w:r>
    </w:p>
    <w:p w14:paraId="202DDD6D" w14:textId="77777777" w:rsidR="00402C83" w:rsidRPr="00402C83" w:rsidRDefault="00402C83" w:rsidP="00402C83">
      <w:pPr>
        <w:pStyle w:val="Reminders"/>
        <w:numPr>
          <w:ilvl w:val="0"/>
          <w:numId w:val="15"/>
        </w:numPr>
        <w:ind w:left="360"/>
        <w:rPr>
          <w:rFonts w:ascii="Arial" w:hAnsi="Arial" w:cs="Arial"/>
          <w:i w:val="0"/>
          <w:color w:val="auto"/>
          <w:sz w:val="20"/>
          <w:szCs w:val="20"/>
        </w:rPr>
      </w:pPr>
      <w:r w:rsidRPr="00402C83">
        <w:rPr>
          <w:rFonts w:ascii="Arial" w:hAnsi="Arial" w:cs="Arial"/>
          <w:i w:val="0"/>
          <w:color w:val="000000"/>
          <w:sz w:val="20"/>
          <w:szCs w:val="20"/>
          <w:u w:val="single"/>
        </w:rPr>
        <w:t>Access Point</w:t>
      </w:r>
      <w:r w:rsidRPr="00402C83">
        <w:rPr>
          <w:rFonts w:ascii="Arial" w:hAnsi="Arial" w:cs="Arial"/>
          <w:i w:val="0"/>
          <w:color w:val="000000"/>
          <w:sz w:val="20"/>
          <w:szCs w:val="20"/>
        </w:rPr>
        <w:t>: The capability to provide wireless network connectivity to multiple clients. For the purposes of this specification, Access Point functionality includes only IEEE 802.11 (Wi-Fi) connectivity.</w:t>
      </w:r>
    </w:p>
    <w:p w14:paraId="1A9473B9" w14:textId="77777777" w:rsidR="00402C83" w:rsidRPr="00402C83" w:rsidRDefault="00402C83" w:rsidP="00402C83">
      <w:pPr>
        <w:pStyle w:val="Reminders"/>
        <w:numPr>
          <w:ilvl w:val="0"/>
          <w:numId w:val="15"/>
        </w:numPr>
        <w:ind w:left="360"/>
        <w:rPr>
          <w:rFonts w:ascii="Arial" w:hAnsi="Arial" w:cs="Arial"/>
          <w:i w:val="0"/>
          <w:color w:val="auto"/>
          <w:sz w:val="20"/>
          <w:szCs w:val="20"/>
        </w:rPr>
      </w:pPr>
      <w:r w:rsidRPr="00402C83">
        <w:rPr>
          <w:rFonts w:ascii="Arial" w:hAnsi="Arial" w:cs="Arial"/>
          <w:i w:val="0"/>
          <w:color w:val="000000"/>
          <w:sz w:val="20"/>
          <w:szCs w:val="20"/>
          <w:u w:val="single"/>
        </w:rPr>
        <w:lastRenderedPageBreak/>
        <w:t>Router</w:t>
      </w:r>
      <w:r w:rsidRPr="00402C83">
        <w:rPr>
          <w:rFonts w:ascii="Arial" w:hAnsi="Arial" w:cs="Arial"/>
          <w:i w:val="0"/>
          <w:color w:val="000000"/>
          <w:sz w:val="20"/>
          <w:szCs w:val="20"/>
        </w:rPr>
        <w:t>: The capability to determine the optimal path along which network traffic should be forwarded. Routers forward packets from one network to another based on network layer information. Router functionality includes Access Point functionality.</w:t>
      </w:r>
    </w:p>
    <w:p w14:paraId="55724186" w14:textId="4C283182" w:rsidR="00402C83" w:rsidRPr="00402C83" w:rsidRDefault="00402C83" w:rsidP="00402C83">
      <w:pPr>
        <w:pStyle w:val="Reminders"/>
        <w:numPr>
          <w:ilvl w:val="0"/>
          <w:numId w:val="15"/>
        </w:numPr>
        <w:ind w:left="360"/>
        <w:rPr>
          <w:rFonts w:ascii="Arial" w:hAnsi="Arial" w:cs="Arial"/>
          <w:i w:val="0"/>
          <w:color w:val="auto"/>
          <w:sz w:val="20"/>
          <w:szCs w:val="20"/>
        </w:rPr>
      </w:pPr>
      <w:r w:rsidRPr="00402C83">
        <w:rPr>
          <w:rFonts w:ascii="Arial" w:hAnsi="Arial" w:cs="Arial"/>
          <w:i w:val="0"/>
          <w:color w:val="000000"/>
          <w:sz w:val="20"/>
          <w:szCs w:val="20"/>
          <w:u w:val="single"/>
        </w:rPr>
        <w:t>Telephony</w:t>
      </w:r>
      <w:r w:rsidRPr="00402C83">
        <w:rPr>
          <w:rFonts w:ascii="Arial" w:hAnsi="Arial" w:cs="Arial"/>
          <w:i w:val="0"/>
          <w:color w:val="000000"/>
          <w:sz w:val="20"/>
          <w:szCs w:val="20"/>
        </w:rPr>
        <w:t>: The ability to provide analog telephone service through one or more RJ11 or RJ14 jacks.</w:t>
      </w:r>
    </w:p>
    <w:p w14:paraId="36EF1DEB" w14:textId="77D28795" w:rsidR="009341FB" w:rsidRPr="009341FB" w:rsidRDefault="009341FB" w:rsidP="00607339">
      <w:pPr>
        <w:pStyle w:val="Heading2-CalTF2"/>
      </w:pPr>
      <w:bookmarkStart w:id="24" w:name="_Toc385592984"/>
      <w:bookmarkStart w:id="25" w:name="_Toc304800203"/>
      <w:bookmarkStart w:id="26" w:name="_Toc324318339"/>
      <w:bookmarkStart w:id="27" w:name="_Toc324340483"/>
      <w:r w:rsidRPr="009341FB">
        <w:t xml:space="preserve">Program </w:t>
      </w:r>
      <w:r w:rsidR="00327347">
        <w:t>Implementation</w:t>
      </w:r>
      <w:r w:rsidRPr="009341FB">
        <w:t xml:space="preserve"> Overview</w:t>
      </w:r>
      <w:bookmarkEnd w:id="24"/>
    </w:p>
    <w:p w14:paraId="35541613" w14:textId="6C4D8070" w:rsidR="00C17DDD" w:rsidRPr="007112FD" w:rsidRDefault="00327347" w:rsidP="00C17DDD">
      <w:pPr>
        <w:spacing w:after="60"/>
        <w:rPr>
          <w:rFonts w:cs="Arial"/>
          <w:b/>
          <w:sz w:val="20"/>
          <w:szCs w:val="20"/>
        </w:rPr>
      </w:pPr>
      <w:r>
        <w:rPr>
          <w:rFonts w:cs="Arial"/>
          <w:b/>
          <w:sz w:val="20"/>
          <w:szCs w:val="20"/>
        </w:rPr>
        <w:t>Implementation Methods</w:t>
      </w:r>
    </w:p>
    <w:p w14:paraId="39C070D6" w14:textId="77777777" w:rsidR="00402C83" w:rsidRPr="00402C83" w:rsidRDefault="00402C83" w:rsidP="00402C83">
      <w:pPr>
        <w:pStyle w:val="Reminders"/>
        <w:rPr>
          <w:rFonts w:ascii="Arial" w:hAnsi="Arial" w:cs="Arial"/>
          <w:i w:val="0"/>
          <w:color w:val="auto"/>
          <w:sz w:val="20"/>
          <w:szCs w:val="20"/>
        </w:rPr>
      </w:pPr>
      <w:r w:rsidRPr="00402C83">
        <w:rPr>
          <w:rFonts w:ascii="Arial" w:hAnsi="Arial" w:cs="Arial"/>
          <w:i w:val="0"/>
          <w:color w:val="auto"/>
          <w:sz w:val="20"/>
          <w:szCs w:val="20"/>
        </w:rPr>
        <w:t>The delivery method is:</w:t>
      </w:r>
    </w:p>
    <w:p w14:paraId="26B5960A" w14:textId="77777777" w:rsidR="00402C83" w:rsidRPr="00402C83" w:rsidRDefault="00402C83" w:rsidP="00402C83">
      <w:pPr>
        <w:pStyle w:val="Reminders"/>
        <w:rPr>
          <w:rFonts w:ascii="Arial" w:hAnsi="Arial" w:cs="Arial"/>
          <w:i w:val="0"/>
          <w:color w:val="auto"/>
          <w:sz w:val="20"/>
          <w:szCs w:val="20"/>
        </w:rPr>
      </w:pPr>
      <w:r w:rsidRPr="00402C83">
        <w:rPr>
          <w:rFonts w:ascii="Arial" w:hAnsi="Arial" w:cs="Arial"/>
          <w:i w:val="0"/>
          <w:color w:val="auto"/>
          <w:sz w:val="20"/>
          <w:szCs w:val="20"/>
        </w:rPr>
        <w:t>•</w:t>
      </w:r>
      <w:r w:rsidRPr="00402C83">
        <w:rPr>
          <w:rFonts w:ascii="Arial" w:hAnsi="Arial" w:cs="Arial"/>
          <w:i w:val="0"/>
          <w:color w:val="auto"/>
          <w:sz w:val="20"/>
          <w:szCs w:val="20"/>
        </w:rPr>
        <w:tab/>
        <w:t>Midstream Programs / Mid-Stream Incentive</w:t>
      </w:r>
    </w:p>
    <w:p w14:paraId="1F49BE60" w14:textId="77777777" w:rsidR="00402C83" w:rsidRPr="00402C83" w:rsidRDefault="00402C83" w:rsidP="00402C83">
      <w:pPr>
        <w:pStyle w:val="Reminders"/>
        <w:rPr>
          <w:rFonts w:ascii="Arial" w:hAnsi="Arial" w:cs="Arial"/>
          <w:i w:val="0"/>
          <w:color w:val="auto"/>
          <w:sz w:val="20"/>
          <w:szCs w:val="20"/>
        </w:rPr>
      </w:pPr>
    </w:p>
    <w:p w14:paraId="0D2B84F3" w14:textId="6B1919F3" w:rsidR="00402C83" w:rsidRPr="00402C83" w:rsidRDefault="00402C83" w:rsidP="00402C83">
      <w:pPr>
        <w:pStyle w:val="Reminders"/>
        <w:rPr>
          <w:rFonts w:ascii="Arial" w:hAnsi="Arial" w:cs="Arial"/>
          <w:i w:val="0"/>
          <w:color w:val="auto"/>
          <w:sz w:val="20"/>
          <w:szCs w:val="20"/>
        </w:rPr>
      </w:pPr>
      <w:r w:rsidRPr="00402C83">
        <w:rPr>
          <w:rFonts w:ascii="Arial" w:hAnsi="Arial" w:cs="Arial"/>
          <w:i w:val="0"/>
          <w:color w:val="auto"/>
          <w:sz w:val="20"/>
          <w:szCs w:val="20"/>
        </w:rPr>
        <w:t>The application type is Early Retirement (ET/RET) and Replace on Burnout (ROB).</w:t>
      </w:r>
    </w:p>
    <w:p w14:paraId="4AA0DD30" w14:textId="77777777" w:rsidR="00ED5593" w:rsidRDefault="00ED5593" w:rsidP="00C55BED">
      <w:pPr>
        <w:spacing w:after="60"/>
        <w:rPr>
          <w:rFonts w:cs="Arial"/>
          <w:b/>
          <w:sz w:val="20"/>
          <w:szCs w:val="20"/>
        </w:rPr>
      </w:pPr>
    </w:p>
    <w:p w14:paraId="2B3149DD" w14:textId="77777777" w:rsidR="007112FD" w:rsidRPr="007112FD" w:rsidRDefault="007112FD" w:rsidP="00C55BED">
      <w:pPr>
        <w:spacing w:after="60"/>
        <w:rPr>
          <w:rFonts w:cs="Arial"/>
          <w:b/>
          <w:sz w:val="20"/>
          <w:szCs w:val="20"/>
        </w:rPr>
      </w:pPr>
      <w:r w:rsidRPr="007112FD">
        <w:rPr>
          <w:rFonts w:cs="Arial"/>
          <w:b/>
          <w:sz w:val="20"/>
          <w:szCs w:val="20"/>
        </w:rPr>
        <w:t>Program Restrictions and Guidelines</w:t>
      </w:r>
    </w:p>
    <w:p w14:paraId="7C132E7C" w14:textId="77777777" w:rsidR="00F93EA0" w:rsidRDefault="00F93EA0" w:rsidP="00F93EA0">
      <w:pPr>
        <w:pStyle w:val="Reminders"/>
        <w:rPr>
          <w:rFonts w:asciiTheme="minorHAnsi" w:hAnsiTheme="minorHAnsi" w:cstheme="minorHAnsi"/>
          <w:b/>
          <w:i w:val="0"/>
          <w:color w:val="auto"/>
          <w:szCs w:val="22"/>
        </w:rPr>
      </w:pPr>
    </w:p>
    <w:p w14:paraId="5941752A" w14:textId="77777777" w:rsidR="00F93EA0" w:rsidRPr="00F93EA0" w:rsidRDefault="00F93EA0" w:rsidP="00F93EA0">
      <w:pPr>
        <w:pStyle w:val="Reminders"/>
        <w:rPr>
          <w:rFonts w:ascii="Arial" w:hAnsi="Arial" w:cs="Arial"/>
          <w:b/>
          <w:i w:val="0"/>
          <w:color w:val="auto"/>
          <w:sz w:val="20"/>
          <w:szCs w:val="20"/>
        </w:rPr>
      </w:pPr>
      <w:r w:rsidRPr="00F93EA0">
        <w:rPr>
          <w:rFonts w:ascii="Arial" w:hAnsi="Arial" w:cs="Arial"/>
          <w:b/>
          <w:i w:val="0"/>
          <w:color w:val="auto"/>
          <w:sz w:val="20"/>
          <w:szCs w:val="20"/>
        </w:rPr>
        <w:t>Eligibility Requirements</w:t>
      </w:r>
    </w:p>
    <w:p w14:paraId="3F38C3D8" w14:textId="77777777" w:rsidR="00F93EA0" w:rsidRPr="00F93EA0" w:rsidRDefault="00F93EA0" w:rsidP="00F93EA0">
      <w:pPr>
        <w:pStyle w:val="Reminders"/>
        <w:numPr>
          <w:ilvl w:val="0"/>
          <w:numId w:val="16"/>
        </w:numPr>
        <w:rPr>
          <w:rFonts w:ascii="Arial" w:hAnsi="Arial" w:cs="Arial"/>
          <w:i w:val="0"/>
          <w:color w:val="auto"/>
          <w:sz w:val="20"/>
          <w:szCs w:val="20"/>
        </w:rPr>
      </w:pPr>
      <w:r w:rsidRPr="00F93EA0">
        <w:rPr>
          <w:rFonts w:ascii="Arial" w:hAnsi="Arial" w:cs="Arial"/>
          <w:i w:val="0"/>
          <w:color w:val="auto"/>
          <w:sz w:val="20"/>
          <w:szCs w:val="20"/>
        </w:rPr>
        <w:t>Customer cannot install more set top boxes than were previously present.</w:t>
      </w:r>
    </w:p>
    <w:p w14:paraId="7FBE0B68" w14:textId="77777777" w:rsidR="00F93EA0" w:rsidRPr="00F93EA0" w:rsidRDefault="00F93EA0" w:rsidP="00F93EA0">
      <w:pPr>
        <w:pStyle w:val="Reminders"/>
        <w:numPr>
          <w:ilvl w:val="0"/>
          <w:numId w:val="16"/>
        </w:numPr>
        <w:rPr>
          <w:rFonts w:ascii="Arial" w:hAnsi="Arial" w:cs="Arial"/>
          <w:i w:val="0"/>
          <w:color w:val="auto"/>
          <w:sz w:val="20"/>
          <w:szCs w:val="20"/>
        </w:rPr>
      </w:pPr>
      <w:r w:rsidRPr="00F93EA0">
        <w:rPr>
          <w:rFonts w:ascii="Arial" w:hAnsi="Arial" w:cs="Arial"/>
          <w:i w:val="0"/>
          <w:color w:val="auto"/>
          <w:sz w:val="20"/>
          <w:szCs w:val="20"/>
        </w:rPr>
        <w:t>Existing box must be an Energy Star 2.0 or non-Energy Star set top box.</w:t>
      </w:r>
    </w:p>
    <w:p w14:paraId="38C8A219" w14:textId="77777777" w:rsidR="00F93EA0" w:rsidRPr="00F93EA0" w:rsidRDefault="00F93EA0" w:rsidP="00F93EA0">
      <w:pPr>
        <w:pStyle w:val="Reminders"/>
        <w:rPr>
          <w:rFonts w:ascii="Arial" w:hAnsi="Arial" w:cs="Arial"/>
          <w:i w:val="0"/>
          <w:color w:val="auto"/>
          <w:sz w:val="20"/>
          <w:szCs w:val="20"/>
        </w:rPr>
      </w:pPr>
    </w:p>
    <w:p w14:paraId="03FF62BE" w14:textId="77777777" w:rsidR="00F93EA0" w:rsidRPr="00F93EA0" w:rsidRDefault="00F93EA0" w:rsidP="00F93EA0">
      <w:pPr>
        <w:pStyle w:val="Reminders"/>
        <w:rPr>
          <w:rFonts w:ascii="Arial" w:hAnsi="Arial" w:cs="Arial"/>
          <w:b/>
          <w:i w:val="0"/>
          <w:color w:val="auto"/>
          <w:sz w:val="20"/>
          <w:szCs w:val="20"/>
        </w:rPr>
      </w:pPr>
      <w:r w:rsidRPr="00F93EA0">
        <w:rPr>
          <w:rFonts w:ascii="Arial" w:hAnsi="Arial" w:cs="Arial"/>
          <w:b/>
          <w:i w:val="0"/>
          <w:color w:val="auto"/>
          <w:sz w:val="20"/>
          <w:szCs w:val="20"/>
        </w:rPr>
        <w:t>Implementation Requirements</w:t>
      </w:r>
    </w:p>
    <w:p w14:paraId="777BB556" w14:textId="77777777" w:rsidR="00F93EA0" w:rsidRPr="00F93EA0" w:rsidRDefault="00F93EA0" w:rsidP="00F93EA0">
      <w:pPr>
        <w:pStyle w:val="Reminders"/>
        <w:numPr>
          <w:ilvl w:val="0"/>
          <w:numId w:val="17"/>
        </w:numPr>
        <w:rPr>
          <w:rFonts w:ascii="Arial" w:hAnsi="Arial" w:cs="Arial"/>
          <w:i w:val="0"/>
          <w:color w:val="auto"/>
          <w:sz w:val="20"/>
          <w:szCs w:val="20"/>
        </w:rPr>
      </w:pPr>
      <w:r w:rsidRPr="00F93EA0">
        <w:rPr>
          <w:rFonts w:ascii="Arial" w:hAnsi="Arial" w:cs="Arial"/>
          <w:i w:val="0"/>
          <w:color w:val="auto"/>
          <w:sz w:val="20"/>
          <w:szCs w:val="20"/>
        </w:rPr>
        <w:t>If upgrading to a whole home STB (thin clients), the savings are per box. Each existing box will be replaced by a thin client.</w:t>
      </w:r>
    </w:p>
    <w:p w14:paraId="38CB09EC" w14:textId="5FE8ABC9" w:rsidR="00F93EA0" w:rsidRPr="00F93EA0" w:rsidRDefault="00F93EA0" w:rsidP="00F93EA0">
      <w:pPr>
        <w:rPr>
          <w:rFonts w:cs="Arial"/>
          <w:color w:val="FF0000"/>
          <w:sz w:val="20"/>
          <w:szCs w:val="20"/>
        </w:rPr>
      </w:pPr>
      <w:r w:rsidRPr="00F93EA0">
        <w:rPr>
          <w:rFonts w:cs="Arial"/>
          <w:sz w:val="20"/>
          <w:szCs w:val="20"/>
        </w:rPr>
        <w:t xml:space="preserve">These measures are approved the building types shown in </w:t>
      </w:r>
      <w:r w:rsidRPr="00F93EA0">
        <w:rPr>
          <w:rFonts w:cs="Arial"/>
          <w:i/>
          <w:sz w:val="20"/>
          <w:szCs w:val="20"/>
        </w:rPr>
        <w:fldChar w:fldCharType="begin"/>
      </w:r>
      <w:r w:rsidRPr="00F93EA0">
        <w:rPr>
          <w:rFonts w:cs="Arial"/>
          <w:sz w:val="20"/>
          <w:szCs w:val="20"/>
        </w:rPr>
        <w:instrText xml:space="preserve"> REF _Ref296597958 \h  \* MERGEFORMAT </w:instrText>
      </w:r>
      <w:r w:rsidRPr="00F93EA0">
        <w:rPr>
          <w:rFonts w:cs="Arial"/>
          <w:i/>
          <w:sz w:val="20"/>
          <w:szCs w:val="20"/>
        </w:rPr>
      </w:r>
      <w:r w:rsidRPr="00F93EA0">
        <w:rPr>
          <w:rFonts w:cs="Arial"/>
          <w:i/>
          <w:sz w:val="20"/>
          <w:szCs w:val="20"/>
        </w:rPr>
        <w:fldChar w:fldCharType="separate"/>
      </w:r>
      <w:r w:rsidRPr="00F93EA0">
        <w:rPr>
          <w:rFonts w:cs="Arial"/>
          <w:sz w:val="20"/>
          <w:szCs w:val="20"/>
        </w:rPr>
        <w:t xml:space="preserve">Table </w:t>
      </w:r>
      <w:r w:rsidRPr="00F93EA0">
        <w:rPr>
          <w:rFonts w:cs="Arial"/>
          <w:noProof/>
          <w:sz w:val="20"/>
          <w:szCs w:val="20"/>
        </w:rPr>
        <w:t>9</w:t>
      </w:r>
      <w:r w:rsidRPr="00F93EA0">
        <w:rPr>
          <w:rFonts w:cs="Arial"/>
          <w:i/>
          <w:sz w:val="20"/>
          <w:szCs w:val="20"/>
        </w:rPr>
        <w:fldChar w:fldCharType="end"/>
      </w:r>
      <w:r w:rsidRPr="00F93EA0">
        <w:rPr>
          <w:rFonts w:cs="Arial"/>
          <w:sz w:val="20"/>
          <w:szCs w:val="20"/>
        </w:rPr>
        <w:t xml:space="preserve"> for all SCE climate zones.</w:t>
      </w:r>
    </w:p>
    <w:p w14:paraId="732306A8" w14:textId="77777777" w:rsidR="00C17DDD" w:rsidRDefault="00C17DDD" w:rsidP="00C17DDD">
      <w:pPr>
        <w:spacing w:after="60"/>
        <w:rPr>
          <w:rFonts w:cs="Arial"/>
          <w:b/>
          <w:sz w:val="20"/>
          <w:szCs w:val="20"/>
        </w:rPr>
      </w:pPr>
    </w:p>
    <w:p w14:paraId="26284D1D" w14:textId="5D4A02C2" w:rsidR="00C17DDD" w:rsidRPr="007112FD" w:rsidRDefault="00C17DDD" w:rsidP="00C17DDD">
      <w:pPr>
        <w:spacing w:after="60"/>
        <w:rPr>
          <w:rFonts w:cs="Arial"/>
          <w:b/>
          <w:sz w:val="20"/>
          <w:szCs w:val="20"/>
        </w:rPr>
      </w:pPr>
      <w:r>
        <w:rPr>
          <w:rFonts w:cs="Arial"/>
          <w:b/>
          <w:sz w:val="20"/>
          <w:szCs w:val="20"/>
        </w:rPr>
        <w:t>Measure Application Type</w:t>
      </w:r>
    </w:p>
    <w:p w14:paraId="00E32C54" w14:textId="6CB1A0CE" w:rsidR="00C17DDD" w:rsidRPr="00FD1249" w:rsidRDefault="00F93EA0" w:rsidP="007112FD">
      <w:pPr>
        <w:rPr>
          <w:rFonts w:cs="Arial"/>
          <w:color w:val="FF0000"/>
          <w:sz w:val="20"/>
          <w:szCs w:val="20"/>
        </w:rPr>
      </w:pPr>
      <w:r w:rsidRPr="00100207">
        <w:rPr>
          <w:rFonts w:cs="Arial"/>
          <w:sz w:val="20"/>
          <w:szCs w:val="20"/>
        </w:rPr>
        <w:t>See Implementation Methods above.</w:t>
      </w:r>
      <w:r w:rsidR="00FD1249" w:rsidRPr="00FD1249">
        <w:rPr>
          <w:rFonts w:cs="Arial"/>
          <w:color w:val="FF0000"/>
          <w:sz w:val="20"/>
          <w:szCs w:val="20"/>
        </w:rPr>
        <w:t xml:space="preserve">  </w:t>
      </w:r>
    </w:p>
    <w:p w14:paraId="2C8CD3CC" w14:textId="5093A8CB" w:rsidR="003F526B" w:rsidRDefault="001952E6" w:rsidP="00607339">
      <w:pPr>
        <w:pStyle w:val="Heading2-CalTF2"/>
      </w:pPr>
      <w:bookmarkStart w:id="28" w:name="_Toc304800204"/>
      <w:bookmarkStart w:id="29" w:name="_Toc324318340"/>
      <w:bookmarkStart w:id="30" w:name="_Toc324340484"/>
      <w:bookmarkStart w:id="31" w:name="_Toc385592985"/>
      <w:bookmarkEnd w:id="25"/>
      <w:bookmarkEnd w:id="26"/>
      <w:bookmarkEnd w:id="27"/>
      <w:r>
        <w:t>Product Parameter</w:t>
      </w:r>
      <w:r w:rsidR="00806070" w:rsidRPr="00960D9F">
        <w:t xml:space="preserve"> Data</w:t>
      </w:r>
      <w:bookmarkStart w:id="32" w:name="_Toc304800205"/>
      <w:bookmarkStart w:id="33" w:name="_Toc324318341"/>
      <w:bookmarkStart w:id="34" w:name="_Toc324340485"/>
      <w:bookmarkEnd w:id="28"/>
      <w:bookmarkEnd w:id="29"/>
      <w:bookmarkEnd w:id="30"/>
      <w:bookmarkEnd w:id="31"/>
    </w:p>
    <w:p w14:paraId="580255BD" w14:textId="0A1D5B62" w:rsidR="00B10F5F" w:rsidRPr="00F81AAE" w:rsidRDefault="00C069A2" w:rsidP="00F81AAE">
      <w:pPr>
        <w:pStyle w:val="Heading3-CalTFStyle31"/>
      </w:pPr>
      <w:bookmarkStart w:id="35" w:name="_Toc385592986"/>
      <w:r w:rsidRPr="00F81AAE">
        <w:t xml:space="preserve">DEER </w:t>
      </w:r>
      <w:bookmarkEnd w:id="32"/>
      <w:bookmarkEnd w:id="33"/>
      <w:bookmarkEnd w:id="34"/>
      <w:r w:rsidR="00A01F57" w:rsidRPr="00F81AAE">
        <w:t>Data</w:t>
      </w:r>
      <w:bookmarkEnd w:id="35"/>
      <w:r w:rsidR="00A01F57" w:rsidRPr="00F81AAE">
        <w:t xml:space="preserve"> </w:t>
      </w:r>
    </w:p>
    <w:p w14:paraId="3FE61DB8" w14:textId="6DAA8BF3" w:rsidR="00E36C12" w:rsidRPr="00E36C12" w:rsidRDefault="00F93EA0" w:rsidP="00F93EA0">
      <w:pPr>
        <w:ind w:left="630"/>
        <w:rPr>
          <w:rFonts w:cs="Arial"/>
          <w:i/>
          <w:sz w:val="20"/>
          <w:szCs w:val="20"/>
        </w:rPr>
      </w:pPr>
      <w:r w:rsidRPr="00F93EA0">
        <w:rPr>
          <w:rFonts w:cs="Arial"/>
          <w:sz w:val="20"/>
          <w:szCs w:val="20"/>
        </w:rPr>
        <w:t>Currently, DEER does not address this type of measure. Also, the savings for the measures in this work paper are based off of Energy Star specifications (V2.0, V3.0, and V4.1) and a field study performed by SDG&amp;E where monitored data was collected.</w:t>
      </w:r>
    </w:p>
    <w:p w14:paraId="7A0EF395" w14:textId="77777777" w:rsidR="00E36C12" w:rsidRPr="00697868" w:rsidRDefault="00E36C12" w:rsidP="00E36C12">
      <w:pPr>
        <w:rPr>
          <w:rFonts w:asciiTheme="minorHAnsi" w:hAnsiTheme="minorHAnsi" w:cstheme="minorHAnsi"/>
          <w:szCs w:val="22"/>
        </w:rPr>
      </w:pPr>
    </w:p>
    <w:p w14:paraId="2AA38FDE" w14:textId="2B4F5732" w:rsidR="00E36C12" w:rsidRPr="00E36C12" w:rsidRDefault="00E36C12" w:rsidP="00E36C12">
      <w:pPr>
        <w:pStyle w:val="Caption"/>
        <w:keepNext/>
        <w:spacing w:after="60"/>
        <w:ind w:firstLine="630"/>
        <w:rPr>
          <w:rFonts w:cs="Arial"/>
        </w:rPr>
      </w:pPr>
      <w:bookmarkStart w:id="36" w:name="_Toc385592671"/>
      <w:r w:rsidRPr="00E36C12">
        <w:rPr>
          <w:rFonts w:cs="Arial"/>
        </w:rPr>
        <w:t xml:space="preserve">Table </w:t>
      </w:r>
      <w:r w:rsidRPr="00E36C12">
        <w:rPr>
          <w:rFonts w:cs="Arial"/>
        </w:rPr>
        <w:fldChar w:fldCharType="begin"/>
      </w:r>
      <w:r w:rsidRPr="00E36C12">
        <w:rPr>
          <w:rFonts w:cs="Arial"/>
        </w:rPr>
        <w:instrText xml:space="preserve"> SEQ Table \* ARABIC </w:instrText>
      </w:r>
      <w:r w:rsidRPr="00E36C12">
        <w:rPr>
          <w:rFonts w:cs="Arial"/>
        </w:rPr>
        <w:fldChar w:fldCharType="separate"/>
      </w:r>
      <w:r w:rsidR="00F93EA0">
        <w:rPr>
          <w:rFonts w:cs="Arial"/>
          <w:noProof/>
        </w:rPr>
        <w:t>2</w:t>
      </w:r>
      <w:r w:rsidRPr="00E36C12">
        <w:rPr>
          <w:rFonts w:cs="Arial"/>
        </w:rPr>
        <w:fldChar w:fldCharType="end"/>
      </w:r>
      <w:r w:rsidRPr="00E36C12">
        <w:rPr>
          <w:rFonts w:cs="Arial"/>
        </w:rPr>
        <w:t xml:space="preserve">. </w:t>
      </w:r>
      <w:r w:rsidRPr="00E36C12">
        <w:rPr>
          <w:rFonts w:cs="Arial"/>
          <w:b w:val="0"/>
        </w:rPr>
        <w:t>DEER Difference Summary</w:t>
      </w:r>
      <w:bookmarkEnd w:id="36"/>
    </w:p>
    <w:tbl>
      <w:tblPr>
        <w:tblStyle w:val="TableContemporary"/>
        <w:tblW w:w="8686"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5513"/>
      </w:tblGrid>
      <w:tr w:rsidR="00E36C12" w:rsidRPr="00E36C12" w14:paraId="6DCEE0BF" w14:textId="77777777" w:rsidTr="00E36C12">
        <w:trPr>
          <w:cnfStyle w:val="100000000000" w:firstRow="1" w:lastRow="0" w:firstColumn="0" w:lastColumn="0" w:oddVBand="0" w:evenVBand="0" w:oddHBand="0" w:evenHBand="0" w:firstRowFirstColumn="0" w:firstRowLastColumn="0" w:lastRowFirstColumn="0" w:lastRowLastColumn="0"/>
          <w:trHeight w:val="243"/>
        </w:trPr>
        <w:tc>
          <w:tcPr>
            <w:tcW w:w="3173" w:type="dxa"/>
            <w:shd w:val="clear" w:color="auto" w:fill="D9D9D9" w:themeFill="background1" w:themeFillShade="D9"/>
            <w:vAlign w:val="center"/>
          </w:tcPr>
          <w:p w14:paraId="63B99104" w14:textId="5A0074F1" w:rsidR="00E36C12" w:rsidRPr="00E36C12" w:rsidRDefault="003A37EC" w:rsidP="003A37EC">
            <w:pPr>
              <w:spacing w:before="60" w:after="60"/>
              <w:jc w:val="center"/>
              <w:rPr>
                <w:rFonts w:cs="Arial"/>
                <w:b w:val="0"/>
                <w:sz w:val="20"/>
                <w:szCs w:val="20"/>
              </w:rPr>
            </w:pPr>
            <w:r>
              <w:rPr>
                <w:rFonts w:cs="Arial"/>
                <w:b w:val="0"/>
                <w:sz w:val="20"/>
                <w:szCs w:val="20"/>
              </w:rPr>
              <w:t xml:space="preserve">DEER </w:t>
            </w:r>
          </w:p>
        </w:tc>
        <w:tc>
          <w:tcPr>
            <w:tcW w:w="5513" w:type="dxa"/>
            <w:shd w:val="clear" w:color="auto" w:fill="D9D9D9" w:themeFill="background1" w:themeFillShade="D9"/>
            <w:vAlign w:val="center"/>
          </w:tcPr>
          <w:p w14:paraId="60FD3B0A" w14:textId="4E2F23F4" w:rsidR="00E36C12" w:rsidRPr="00E36C12" w:rsidRDefault="00907264" w:rsidP="00E36C12">
            <w:pPr>
              <w:spacing w:before="60" w:after="60"/>
              <w:jc w:val="center"/>
              <w:rPr>
                <w:rFonts w:cs="Arial"/>
                <w:b w:val="0"/>
                <w:sz w:val="20"/>
                <w:szCs w:val="20"/>
              </w:rPr>
            </w:pPr>
            <w:r>
              <w:rPr>
                <w:rFonts w:cs="Arial"/>
                <w:b w:val="0"/>
                <w:sz w:val="20"/>
                <w:szCs w:val="20"/>
              </w:rPr>
              <w:t xml:space="preserve">Used in </w:t>
            </w:r>
            <w:r w:rsidR="003A37EC">
              <w:rPr>
                <w:rFonts w:cs="Arial"/>
                <w:b w:val="0"/>
                <w:sz w:val="20"/>
                <w:szCs w:val="20"/>
              </w:rPr>
              <w:t>Workpaper Approach</w:t>
            </w:r>
            <w:r>
              <w:rPr>
                <w:rFonts w:cs="Arial"/>
                <w:b w:val="0"/>
                <w:sz w:val="20"/>
                <w:szCs w:val="20"/>
              </w:rPr>
              <w:t>?</w:t>
            </w:r>
          </w:p>
        </w:tc>
      </w:tr>
      <w:tr w:rsidR="00F93EA0" w:rsidRPr="00E36C12" w14:paraId="2525C6E8" w14:textId="77777777" w:rsidTr="00907264">
        <w:trPr>
          <w:cnfStyle w:val="000000100000" w:firstRow="0" w:lastRow="0" w:firstColumn="0" w:lastColumn="0" w:oddVBand="0" w:evenVBand="0" w:oddHBand="1" w:evenHBand="0" w:firstRowFirstColumn="0" w:firstRowLastColumn="0" w:lastRowFirstColumn="0" w:lastRowLastColumn="0"/>
          <w:trHeight w:val="243"/>
        </w:trPr>
        <w:tc>
          <w:tcPr>
            <w:tcW w:w="3173" w:type="dxa"/>
            <w:shd w:val="clear" w:color="auto" w:fill="auto"/>
            <w:vAlign w:val="center"/>
          </w:tcPr>
          <w:p w14:paraId="5A6DBDBE" w14:textId="2DE76221" w:rsidR="00F93EA0" w:rsidRPr="00E36C12" w:rsidRDefault="00F93EA0" w:rsidP="00F93EA0">
            <w:pPr>
              <w:spacing w:before="60" w:after="60"/>
              <w:rPr>
                <w:rFonts w:cs="Arial"/>
                <w:sz w:val="20"/>
                <w:szCs w:val="20"/>
              </w:rPr>
            </w:pPr>
            <w:r w:rsidRPr="00E36C12">
              <w:rPr>
                <w:rFonts w:cs="Arial"/>
                <w:sz w:val="20"/>
                <w:szCs w:val="20"/>
              </w:rPr>
              <w:t xml:space="preserve">Modified DEER </w:t>
            </w:r>
            <w:r>
              <w:rPr>
                <w:rFonts w:cs="Arial"/>
                <w:sz w:val="20"/>
                <w:szCs w:val="20"/>
              </w:rPr>
              <w:t>m</w:t>
            </w:r>
            <w:r w:rsidRPr="00E36C12">
              <w:rPr>
                <w:rFonts w:cs="Arial"/>
                <w:sz w:val="20"/>
                <w:szCs w:val="20"/>
              </w:rPr>
              <w:t>ethodology</w:t>
            </w:r>
          </w:p>
        </w:tc>
        <w:tc>
          <w:tcPr>
            <w:tcW w:w="5513" w:type="dxa"/>
            <w:shd w:val="clear" w:color="auto" w:fill="auto"/>
            <w:vAlign w:val="center"/>
          </w:tcPr>
          <w:p w14:paraId="3F1509CD" w14:textId="27DC4CD4" w:rsidR="00F93EA0" w:rsidRPr="003A37EC" w:rsidRDefault="00F93EA0" w:rsidP="00F93EA0">
            <w:pPr>
              <w:spacing w:before="60" w:after="60"/>
              <w:jc w:val="center"/>
              <w:rPr>
                <w:rFonts w:cs="Arial"/>
                <w:b/>
                <w:color w:val="FF0000"/>
                <w:sz w:val="20"/>
                <w:szCs w:val="20"/>
              </w:rPr>
            </w:pPr>
            <w:r w:rsidRPr="00760FB1">
              <w:rPr>
                <w:rFonts w:cs="Arial"/>
                <w:sz w:val="20"/>
                <w:szCs w:val="20"/>
              </w:rPr>
              <w:t>No</w:t>
            </w:r>
          </w:p>
        </w:tc>
      </w:tr>
      <w:tr w:rsidR="00F93EA0" w:rsidRPr="00E36C12" w14:paraId="1C2BEF67" w14:textId="77777777" w:rsidTr="00E36C12">
        <w:trPr>
          <w:cnfStyle w:val="000000010000" w:firstRow="0" w:lastRow="0" w:firstColumn="0" w:lastColumn="0" w:oddVBand="0" w:evenVBand="0" w:oddHBand="0" w:evenHBand="1" w:firstRowFirstColumn="0" w:firstRowLastColumn="0" w:lastRowFirstColumn="0" w:lastRowLastColumn="0"/>
          <w:trHeight w:val="243"/>
        </w:trPr>
        <w:tc>
          <w:tcPr>
            <w:tcW w:w="3173" w:type="dxa"/>
            <w:shd w:val="clear" w:color="auto" w:fill="auto"/>
            <w:vAlign w:val="center"/>
          </w:tcPr>
          <w:p w14:paraId="3490F1BA" w14:textId="13B58A12" w:rsidR="00F93EA0" w:rsidRPr="00E36C12" w:rsidRDefault="00F93EA0" w:rsidP="00F93EA0">
            <w:pPr>
              <w:spacing w:before="60" w:after="60"/>
              <w:rPr>
                <w:rFonts w:cs="Arial"/>
                <w:sz w:val="20"/>
                <w:szCs w:val="20"/>
              </w:rPr>
            </w:pPr>
            <w:r w:rsidRPr="00E36C12">
              <w:rPr>
                <w:rFonts w:cs="Arial"/>
                <w:sz w:val="20"/>
                <w:szCs w:val="20"/>
              </w:rPr>
              <w:t xml:space="preserve">Scaled DEER </w:t>
            </w:r>
            <w:r>
              <w:rPr>
                <w:rFonts w:cs="Arial"/>
                <w:sz w:val="20"/>
                <w:szCs w:val="20"/>
              </w:rPr>
              <w:t>m</w:t>
            </w:r>
            <w:r w:rsidRPr="00E36C12">
              <w:rPr>
                <w:rFonts w:cs="Arial"/>
                <w:sz w:val="20"/>
                <w:szCs w:val="20"/>
              </w:rPr>
              <w:t>easure</w:t>
            </w:r>
          </w:p>
        </w:tc>
        <w:tc>
          <w:tcPr>
            <w:tcW w:w="5513" w:type="dxa"/>
            <w:shd w:val="clear" w:color="auto" w:fill="auto"/>
            <w:vAlign w:val="center"/>
          </w:tcPr>
          <w:p w14:paraId="37964D9A" w14:textId="3DCB16A7" w:rsidR="00F93EA0" w:rsidRPr="003A37EC" w:rsidRDefault="00F93EA0" w:rsidP="00F93EA0">
            <w:pPr>
              <w:spacing w:before="60" w:after="60"/>
              <w:jc w:val="center"/>
              <w:rPr>
                <w:rFonts w:cs="Arial"/>
                <w:color w:val="FF0000"/>
                <w:sz w:val="20"/>
                <w:szCs w:val="20"/>
              </w:rPr>
            </w:pPr>
            <w:r w:rsidRPr="00760FB1">
              <w:rPr>
                <w:rFonts w:cs="Arial"/>
                <w:sz w:val="20"/>
                <w:szCs w:val="20"/>
              </w:rPr>
              <w:t>No</w:t>
            </w:r>
          </w:p>
        </w:tc>
      </w:tr>
      <w:tr w:rsidR="00F93EA0" w:rsidRPr="00E36C12" w14:paraId="6602AB80" w14:textId="77777777" w:rsidTr="00E36C12">
        <w:trPr>
          <w:cnfStyle w:val="000000100000" w:firstRow="0" w:lastRow="0" w:firstColumn="0" w:lastColumn="0" w:oddVBand="0" w:evenVBand="0" w:oddHBand="1" w:evenHBand="0" w:firstRowFirstColumn="0" w:firstRowLastColumn="0" w:lastRowFirstColumn="0" w:lastRowLastColumn="0"/>
          <w:trHeight w:val="243"/>
        </w:trPr>
        <w:tc>
          <w:tcPr>
            <w:tcW w:w="3173" w:type="dxa"/>
            <w:shd w:val="clear" w:color="auto" w:fill="auto"/>
            <w:vAlign w:val="center"/>
          </w:tcPr>
          <w:p w14:paraId="5A8DC53A" w14:textId="0F7A3CEC" w:rsidR="00F93EA0" w:rsidRPr="00E36C12" w:rsidRDefault="00F93EA0" w:rsidP="00F93EA0">
            <w:pPr>
              <w:spacing w:before="60" w:after="60"/>
              <w:rPr>
                <w:rFonts w:cs="Arial"/>
                <w:sz w:val="20"/>
                <w:szCs w:val="20"/>
              </w:rPr>
            </w:pPr>
            <w:r>
              <w:rPr>
                <w:rFonts w:cs="Arial"/>
                <w:sz w:val="20"/>
                <w:szCs w:val="20"/>
              </w:rPr>
              <w:t>DEER base case used</w:t>
            </w:r>
          </w:p>
        </w:tc>
        <w:tc>
          <w:tcPr>
            <w:tcW w:w="5513" w:type="dxa"/>
            <w:shd w:val="clear" w:color="auto" w:fill="auto"/>
            <w:vAlign w:val="center"/>
          </w:tcPr>
          <w:p w14:paraId="0BD42E58" w14:textId="75CF07A5" w:rsidR="00F93EA0" w:rsidRPr="003A37EC" w:rsidRDefault="00F93EA0" w:rsidP="00F93EA0">
            <w:pPr>
              <w:spacing w:before="60" w:after="60"/>
              <w:jc w:val="center"/>
              <w:rPr>
                <w:rFonts w:cs="Arial"/>
                <w:color w:val="FF0000"/>
                <w:sz w:val="20"/>
                <w:szCs w:val="20"/>
              </w:rPr>
            </w:pPr>
            <w:r w:rsidRPr="00760FB1">
              <w:rPr>
                <w:rFonts w:cs="Arial"/>
                <w:sz w:val="20"/>
                <w:szCs w:val="20"/>
              </w:rPr>
              <w:t>No</w:t>
            </w:r>
          </w:p>
        </w:tc>
      </w:tr>
      <w:tr w:rsidR="00F93EA0" w:rsidRPr="00E36C12" w14:paraId="2D83899B" w14:textId="77777777" w:rsidTr="00E36C12">
        <w:trPr>
          <w:cnfStyle w:val="000000010000" w:firstRow="0" w:lastRow="0" w:firstColumn="0" w:lastColumn="0" w:oddVBand="0" w:evenVBand="0" w:oddHBand="0" w:evenHBand="1" w:firstRowFirstColumn="0" w:firstRowLastColumn="0" w:lastRowFirstColumn="0" w:lastRowLastColumn="0"/>
          <w:trHeight w:val="243"/>
        </w:trPr>
        <w:tc>
          <w:tcPr>
            <w:tcW w:w="3173" w:type="dxa"/>
            <w:shd w:val="clear" w:color="auto" w:fill="auto"/>
            <w:vAlign w:val="center"/>
          </w:tcPr>
          <w:p w14:paraId="48DB32B2" w14:textId="2C623B13" w:rsidR="00F93EA0" w:rsidRDefault="00F93EA0" w:rsidP="00F93EA0">
            <w:pPr>
              <w:spacing w:before="60" w:after="60"/>
              <w:rPr>
                <w:rFonts w:cs="Arial"/>
                <w:sz w:val="20"/>
                <w:szCs w:val="20"/>
              </w:rPr>
            </w:pPr>
            <w:r>
              <w:rPr>
                <w:rFonts w:cs="Arial"/>
                <w:sz w:val="20"/>
                <w:szCs w:val="20"/>
              </w:rPr>
              <w:t>DEER measure case used</w:t>
            </w:r>
          </w:p>
        </w:tc>
        <w:tc>
          <w:tcPr>
            <w:tcW w:w="5513" w:type="dxa"/>
            <w:shd w:val="clear" w:color="auto" w:fill="auto"/>
            <w:vAlign w:val="center"/>
          </w:tcPr>
          <w:p w14:paraId="1C34B800" w14:textId="200C65C8" w:rsidR="00F93EA0" w:rsidRPr="003A37EC" w:rsidRDefault="00F93EA0" w:rsidP="00F93EA0">
            <w:pPr>
              <w:spacing w:before="60" w:after="60"/>
              <w:jc w:val="center"/>
              <w:rPr>
                <w:rFonts w:cs="Arial"/>
                <w:color w:val="FF0000"/>
                <w:sz w:val="20"/>
                <w:szCs w:val="20"/>
              </w:rPr>
            </w:pPr>
            <w:r w:rsidRPr="00760FB1">
              <w:rPr>
                <w:rFonts w:cs="Arial"/>
                <w:sz w:val="20"/>
                <w:szCs w:val="20"/>
              </w:rPr>
              <w:t>No</w:t>
            </w:r>
          </w:p>
        </w:tc>
      </w:tr>
      <w:tr w:rsidR="00F93EA0" w:rsidRPr="00E36C12" w14:paraId="4E48CCD8" w14:textId="77777777" w:rsidTr="00E36C12">
        <w:trPr>
          <w:cnfStyle w:val="000000100000" w:firstRow="0" w:lastRow="0" w:firstColumn="0" w:lastColumn="0" w:oddVBand="0" w:evenVBand="0" w:oddHBand="1" w:evenHBand="0" w:firstRowFirstColumn="0" w:firstRowLastColumn="0" w:lastRowFirstColumn="0" w:lastRowLastColumn="0"/>
          <w:trHeight w:val="243"/>
        </w:trPr>
        <w:tc>
          <w:tcPr>
            <w:tcW w:w="3173" w:type="dxa"/>
            <w:shd w:val="clear" w:color="auto" w:fill="auto"/>
            <w:vAlign w:val="center"/>
          </w:tcPr>
          <w:p w14:paraId="5C8C0FD1" w14:textId="2DE5652C" w:rsidR="00F93EA0" w:rsidRPr="00E36C12" w:rsidRDefault="00F93EA0" w:rsidP="00F93EA0">
            <w:pPr>
              <w:spacing w:before="60" w:after="60"/>
              <w:rPr>
                <w:rFonts w:cs="Arial"/>
                <w:sz w:val="20"/>
                <w:szCs w:val="20"/>
              </w:rPr>
            </w:pPr>
            <w:r>
              <w:rPr>
                <w:rFonts w:cs="Arial"/>
                <w:sz w:val="20"/>
                <w:szCs w:val="20"/>
              </w:rPr>
              <w:t xml:space="preserve">DEER building types </w:t>
            </w:r>
            <w:r w:rsidRPr="00E36C12">
              <w:rPr>
                <w:rFonts w:cs="Arial"/>
                <w:sz w:val="20"/>
                <w:szCs w:val="20"/>
              </w:rPr>
              <w:t>Used</w:t>
            </w:r>
          </w:p>
        </w:tc>
        <w:tc>
          <w:tcPr>
            <w:tcW w:w="5513" w:type="dxa"/>
            <w:shd w:val="clear" w:color="auto" w:fill="auto"/>
            <w:vAlign w:val="center"/>
          </w:tcPr>
          <w:p w14:paraId="0447B71F" w14:textId="7E1E2837" w:rsidR="00F93EA0" w:rsidRPr="003A37EC" w:rsidRDefault="00F93EA0" w:rsidP="00F93EA0">
            <w:pPr>
              <w:spacing w:before="60" w:after="60"/>
              <w:jc w:val="center"/>
              <w:rPr>
                <w:rFonts w:cs="Arial"/>
                <w:color w:val="FF0000"/>
                <w:sz w:val="20"/>
                <w:szCs w:val="20"/>
              </w:rPr>
            </w:pPr>
            <w:r w:rsidRPr="00760FB1">
              <w:rPr>
                <w:rFonts w:cs="Arial"/>
                <w:sz w:val="20"/>
                <w:szCs w:val="20"/>
              </w:rPr>
              <w:t>No</w:t>
            </w:r>
          </w:p>
        </w:tc>
      </w:tr>
      <w:tr w:rsidR="00F93EA0" w:rsidRPr="00E36C12" w14:paraId="57B4CE89" w14:textId="77777777" w:rsidTr="00E36C12">
        <w:trPr>
          <w:cnfStyle w:val="000000010000" w:firstRow="0" w:lastRow="0" w:firstColumn="0" w:lastColumn="0" w:oddVBand="0" w:evenVBand="0" w:oddHBand="0" w:evenHBand="1" w:firstRowFirstColumn="0" w:firstRowLastColumn="0" w:lastRowFirstColumn="0" w:lastRowLastColumn="0"/>
          <w:trHeight w:val="243"/>
        </w:trPr>
        <w:tc>
          <w:tcPr>
            <w:tcW w:w="3173" w:type="dxa"/>
            <w:shd w:val="clear" w:color="auto" w:fill="auto"/>
            <w:vAlign w:val="center"/>
          </w:tcPr>
          <w:p w14:paraId="05B09E23" w14:textId="4E643164" w:rsidR="00F93EA0" w:rsidRDefault="00F93EA0" w:rsidP="00F93EA0">
            <w:pPr>
              <w:spacing w:before="60" w:after="60"/>
              <w:rPr>
                <w:rFonts w:cs="Arial"/>
                <w:sz w:val="20"/>
                <w:szCs w:val="20"/>
              </w:rPr>
            </w:pPr>
            <w:r>
              <w:rPr>
                <w:rFonts w:cs="Arial"/>
                <w:sz w:val="20"/>
                <w:szCs w:val="20"/>
              </w:rPr>
              <w:t>DEER operating hours used</w:t>
            </w:r>
          </w:p>
        </w:tc>
        <w:tc>
          <w:tcPr>
            <w:tcW w:w="5513" w:type="dxa"/>
            <w:shd w:val="clear" w:color="auto" w:fill="auto"/>
            <w:vAlign w:val="center"/>
          </w:tcPr>
          <w:p w14:paraId="63AF509F" w14:textId="65F9B060" w:rsidR="00F93EA0" w:rsidRPr="003A37EC" w:rsidRDefault="00F93EA0" w:rsidP="00F93EA0">
            <w:pPr>
              <w:spacing w:before="60" w:after="60"/>
              <w:jc w:val="center"/>
              <w:rPr>
                <w:rFonts w:cs="Arial"/>
                <w:color w:val="FF0000"/>
                <w:sz w:val="20"/>
                <w:szCs w:val="20"/>
              </w:rPr>
            </w:pPr>
            <w:r w:rsidRPr="00760FB1">
              <w:rPr>
                <w:rFonts w:cs="Arial"/>
                <w:sz w:val="20"/>
                <w:szCs w:val="20"/>
              </w:rPr>
              <w:t>No</w:t>
            </w:r>
          </w:p>
        </w:tc>
      </w:tr>
      <w:tr w:rsidR="00F93EA0" w:rsidRPr="00E36C12" w14:paraId="745F33A2" w14:textId="77777777" w:rsidTr="00E36C12">
        <w:trPr>
          <w:cnfStyle w:val="000000100000" w:firstRow="0" w:lastRow="0" w:firstColumn="0" w:lastColumn="0" w:oddVBand="0" w:evenVBand="0" w:oddHBand="1" w:evenHBand="0" w:firstRowFirstColumn="0" w:firstRowLastColumn="0" w:lastRowFirstColumn="0" w:lastRowLastColumn="0"/>
          <w:trHeight w:val="243"/>
        </w:trPr>
        <w:tc>
          <w:tcPr>
            <w:tcW w:w="3173" w:type="dxa"/>
            <w:shd w:val="clear" w:color="auto" w:fill="auto"/>
            <w:vAlign w:val="center"/>
          </w:tcPr>
          <w:p w14:paraId="59E7573B" w14:textId="01832C80" w:rsidR="00F93EA0" w:rsidRPr="00E36C12" w:rsidRDefault="00F93EA0" w:rsidP="00F93EA0">
            <w:pPr>
              <w:spacing w:before="60" w:after="60"/>
              <w:rPr>
                <w:rFonts w:cs="Arial"/>
                <w:sz w:val="20"/>
                <w:szCs w:val="20"/>
              </w:rPr>
            </w:pPr>
            <w:r>
              <w:rPr>
                <w:rFonts w:cs="Arial"/>
                <w:sz w:val="20"/>
                <w:szCs w:val="20"/>
              </w:rPr>
              <w:t xml:space="preserve">Reason for </w:t>
            </w:r>
            <w:r w:rsidRPr="00E36C12">
              <w:rPr>
                <w:rFonts w:cs="Arial"/>
                <w:sz w:val="20"/>
                <w:szCs w:val="20"/>
              </w:rPr>
              <w:t>Deviation from DEER</w:t>
            </w:r>
          </w:p>
        </w:tc>
        <w:tc>
          <w:tcPr>
            <w:tcW w:w="5513" w:type="dxa"/>
            <w:shd w:val="clear" w:color="auto" w:fill="auto"/>
            <w:vAlign w:val="center"/>
          </w:tcPr>
          <w:p w14:paraId="1B0A4754" w14:textId="3C487C98" w:rsidR="00F93EA0" w:rsidRPr="003A37EC" w:rsidRDefault="00F93EA0" w:rsidP="00F93EA0">
            <w:pPr>
              <w:spacing w:before="60" w:after="60"/>
              <w:jc w:val="center"/>
              <w:rPr>
                <w:rFonts w:cs="Arial"/>
                <w:color w:val="FF0000"/>
                <w:sz w:val="20"/>
                <w:szCs w:val="20"/>
              </w:rPr>
            </w:pPr>
            <w:r w:rsidRPr="00760FB1">
              <w:rPr>
                <w:rFonts w:cs="Arial"/>
                <w:sz w:val="20"/>
                <w:szCs w:val="20"/>
              </w:rPr>
              <w:t>DEER does not contain this type of measure.</w:t>
            </w:r>
          </w:p>
        </w:tc>
      </w:tr>
      <w:tr w:rsidR="00F93EA0" w:rsidRPr="00E36C12" w14:paraId="5EB8175D" w14:textId="77777777" w:rsidTr="00E36C12">
        <w:trPr>
          <w:cnfStyle w:val="000000010000" w:firstRow="0" w:lastRow="0" w:firstColumn="0" w:lastColumn="0" w:oddVBand="0" w:evenVBand="0" w:oddHBand="0" w:evenHBand="1" w:firstRowFirstColumn="0" w:firstRowLastColumn="0" w:lastRowFirstColumn="0" w:lastRowLastColumn="0"/>
          <w:trHeight w:val="243"/>
        </w:trPr>
        <w:tc>
          <w:tcPr>
            <w:tcW w:w="3173" w:type="dxa"/>
            <w:shd w:val="clear" w:color="auto" w:fill="auto"/>
            <w:vAlign w:val="center"/>
          </w:tcPr>
          <w:p w14:paraId="034CD10E" w14:textId="77777777" w:rsidR="00F93EA0" w:rsidRPr="00E36C12" w:rsidRDefault="00F93EA0" w:rsidP="00F93EA0">
            <w:pPr>
              <w:spacing w:before="60" w:after="60"/>
              <w:rPr>
                <w:rFonts w:cs="Arial"/>
                <w:sz w:val="20"/>
                <w:szCs w:val="20"/>
              </w:rPr>
            </w:pPr>
            <w:r w:rsidRPr="00E36C12">
              <w:rPr>
                <w:rFonts w:cs="Arial"/>
                <w:sz w:val="20"/>
                <w:szCs w:val="20"/>
              </w:rPr>
              <w:lastRenderedPageBreak/>
              <w:t>DEER Version</w:t>
            </w:r>
          </w:p>
        </w:tc>
        <w:tc>
          <w:tcPr>
            <w:tcW w:w="5513" w:type="dxa"/>
            <w:shd w:val="clear" w:color="auto" w:fill="auto"/>
            <w:vAlign w:val="center"/>
          </w:tcPr>
          <w:p w14:paraId="34FCBBA9" w14:textId="1C8733B2" w:rsidR="00F93EA0" w:rsidRPr="003A37EC" w:rsidRDefault="00F93EA0" w:rsidP="00F93EA0">
            <w:pPr>
              <w:spacing w:before="60" w:after="60"/>
              <w:jc w:val="center"/>
              <w:rPr>
                <w:rFonts w:cs="Arial"/>
                <w:color w:val="FF0000"/>
                <w:sz w:val="20"/>
                <w:szCs w:val="20"/>
              </w:rPr>
            </w:pPr>
            <w:r w:rsidRPr="00760FB1">
              <w:rPr>
                <w:rFonts w:cs="Arial"/>
                <w:sz w:val="20"/>
                <w:szCs w:val="20"/>
              </w:rPr>
              <w:t>N/A</w:t>
            </w:r>
          </w:p>
        </w:tc>
      </w:tr>
      <w:tr w:rsidR="00F93EA0" w:rsidRPr="00E36C12" w14:paraId="03594808" w14:textId="77777777" w:rsidTr="00E36C12">
        <w:trPr>
          <w:cnfStyle w:val="000000100000" w:firstRow="0" w:lastRow="0" w:firstColumn="0" w:lastColumn="0" w:oddVBand="0" w:evenVBand="0" w:oddHBand="1" w:evenHBand="0" w:firstRowFirstColumn="0" w:firstRowLastColumn="0" w:lastRowFirstColumn="0" w:lastRowLastColumn="0"/>
          <w:trHeight w:val="243"/>
        </w:trPr>
        <w:tc>
          <w:tcPr>
            <w:tcW w:w="3173" w:type="dxa"/>
            <w:shd w:val="clear" w:color="auto" w:fill="auto"/>
            <w:vAlign w:val="center"/>
          </w:tcPr>
          <w:p w14:paraId="57653AE0" w14:textId="78C02AD1" w:rsidR="00F93EA0" w:rsidRPr="00E36C12" w:rsidRDefault="00F93EA0" w:rsidP="00F93EA0">
            <w:pPr>
              <w:spacing w:before="60" w:after="60"/>
              <w:rPr>
                <w:rFonts w:cs="Arial"/>
                <w:sz w:val="20"/>
                <w:szCs w:val="20"/>
              </w:rPr>
            </w:pPr>
            <w:r w:rsidRPr="00E36C12">
              <w:rPr>
                <w:rFonts w:cs="Arial"/>
                <w:sz w:val="20"/>
                <w:szCs w:val="20"/>
              </w:rPr>
              <w:t>DEER ID and Measure Name (Sample)</w:t>
            </w:r>
          </w:p>
        </w:tc>
        <w:tc>
          <w:tcPr>
            <w:tcW w:w="5513" w:type="dxa"/>
            <w:shd w:val="clear" w:color="auto" w:fill="auto"/>
            <w:vAlign w:val="center"/>
          </w:tcPr>
          <w:p w14:paraId="61909963" w14:textId="141225E4" w:rsidR="00F93EA0" w:rsidRPr="003A37EC" w:rsidRDefault="00F93EA0" w:rsidP="00F93EA0">
            <w:pPr>
              <w:spacing w:before="60" w:after="60"/>
              <w:jc w:val="center"/>
              <w:rPr>
                <w:rFonts w:cs="Arial"/>
                <w:color w:val="FF0000"/>
                <w:sz w:val="20"/>
                <w:szCs w:val="20"/>
              </w:rPr>
            </w:pPr>
            <w:r w:rsidRPr="00760FB1">
              <w:rPr>
                <w:rFonts w:cs="Arial"/>
                <w:sz w:val="20"/>
                <w:szCs w:val="20"/>
              </w:rPr>
              <w:t>N/A</w:t>
            </w:r>
          </w:p>
        </w:tc>
      </w:tr>
    </w:tbl>
    <w:p w14:paraId="0F8D6EF3" w14:textId="77777777" w:rsidR="00E36C12" w:rsidRPr="00E36C12" w:rsidRDefault="00E36C12" w:rsidP="00364DA3">
      <w:pPr>
        <w:ind w:left="630"/>
        <w:rPr>
          <w:rFonts w:cs="Arial"/>
          <w:color w:val="FF0000"/>
          <w:sz w:val="20"/>
        </w:rPr>
      </w:pPr>
    </w:p>
    <w:p w14:paraId="0A1E9567" w14:textId="77777777" w:rsidR="00757FCE" w:rsidRPr="00E36C12" w:rsidRDefault="009C5CA7" w:rsidP="00757FCE">
      <w:pPr>
        <w:spacing w:after="60"/>
        <w:ind w:left="630"/>
        <w:rPr>
          <w:rFonts w:cs="Arial"/>
          <w:b/>
          <w:color w:val="FF0000"/>
          <w:sz w:val="20"/>
          <w:szCs w:val="20"/>
        </w:rPr>
      </w:pPr>
      <w:bookmarkStart w:id="37" w:name="Net_to_Gross"/>
      <w:r w:rsidRPr="00572817">
        <w:rPr>
          <w:rFonts w:cs="Arial"/>
          <w:b/>
          <w:sz w:val="20"/>
          <w:szCs w:val="20"/>
        </w:rPr>
        <w:t>Net-to-Gross</w:t>
      </w:r>
      <w:bookmarkEnd w:id="37"/>
      <w:r w:rsidR="002F341A" w:rsidRPr="00E36C12">
        <w:rPr>
          <w:rFonts w:cs="Arial"/>
          <w:b/>
          <w:color w:val="FF0000"/>
          <w:sz w:val="20"/>
          <w:szCs w:val="20"/>
        </w:rPr>
        <w:fldChar w:fldCharType="begin"/>
      </w:r>
      <w:r w:rsidR="002F341A" w:rsidRPr="00E36C12">
        <w:rPr>
          <w:rFonts w:cs="Arial"/>
          <w:b/>
          <w:color w:val="FF0000"/>
          <w:sz w:val="20"/>
          <w:szCs w:val="20"/>
        </w:rPr>
        <w:instrText xml:space="preserve"> REF _Ref375573532 \h  \* MERGEFORMAT </w:instrText>
      </w:r>
      <w:r w:rsidR="002F341A" w:rsidRPr="00E36C12">
        <w:rPr>
          <w:rFonts w:cs="Arial"/>
          <w:b/>
          <w:color w:val="FF0000"/>
          <w:sz w:val="20"/>
          <w:szCs w:val="20"/>
        </w:rPr>
      </w:r>
      <w:r w:rsidR="002F341A" w:rsidRPr="00E36C12">
        <w:rPr>
          <w:rFonts w:cs="Arial"/>
          <w:b/>
          <w:color w:val="FF0000"/>
          <w:sz w:val="20"/>
          <w:szCs w:val="20"/>
        </w:rPr>
        <w:fldChar w:fldCharType="separate"/>
      </w:r>
    </w:p>
    <w:p w14:paraId="36E54677" w14:textId="62792D2F" w:rsidR="00ED5593" w:rsidRPr="00E36C12" w:rsidRDefault="002F341A" w:rsidP="00ED5593">
      <w:pPr>
        <w:spacing w:after="200"/>
        <w:ind w:left="630"/>
        <w:rPr>
          <w:rFonts w:cs="Arial"/>
          <w:color w:val="FF0000"/>
          <w:sz w:val="20"/>
          <w:szCs w:val="20"/>
        </w:rPr>
      </w:pPr>
      <w:r w:rsidRPr="00E36C12">
        <w:rPr>
          <w:rFonts w:cs="Arial"/>
          <w:b/>
          <w:color w:val="FF0000"/>
          <w:sz w:val="20"/>
          <w:szCs w:val="20"/>
        </w:rPr>
        <w:fldChar w:fldCharType="end"/>
      </w:r>
      <w:bookmarkStart w:id="38" w:name="_Ref384653625"/>
    </w:p>
    <w:p w14:paraId="393A0C16" w14:textId="14CD2085" w:rsidR="00D719E9" w:rsidRPr="00ED5593" w:rsidRDefault="00757FCE" w:rsidP="00ED5593">
      <w:pPr>
        <w:spacing w:after="60"/>
        <w:ind w:left="630"/>
        <w:rPr>
          <w:rFonts w:cs="Arial"/>
          <w:sz w:val="20"/>
          <w:szCs w:val="20"/>
        </w:rPr>
      </w:pPr>
      <w:bookmarkStart w:id="39" w:name="_Toc385592672"/>
      <w:r w:rsidRPr="00ED5593">
        <w:rPr>
          <w:b/>
          <w:sz w:val="20"/>
          <w:szCs w:val="20"/>
        </w:rPr>
        <w:t xml:space="preserve">Table </w:t>
      </w:r>
      <w:r w:rsidR="003F0CD3" w:rsidRPr="00ED5593">
        <w:rPr>
          <w:b/>
          <w:sz w:val="20"/>
          <w:szCs w:val="20"/>
        </w:rPr>
        <w:fldChar w:fldCharType="begin"/>
      </w:r>
      <w:r w:rsidR="003F0CD3" w:rsidRPr="00ED5593">
        <w:rPr>
          <w:b/>
          <w:sz w:val="20"/>
          <w:szCs w:val="20"/>
        </w:rPr>
        <w:instrText xml:space="preserve"> SEQ Table \* ARABIC </w:instrText>
      </w:r>
      <w:r w:rsidR="003F0CD3" w:rsidRPr="00ED5593">
        <w:rPr>
          <w:b/>
          <w:sz w:val="20"/>
          <w:szCs w:val="20"/>
        </w:rPr>
        <w:fldChar w:fldCharType="separate"/>
      </w:r>
      <w:r w:rsidR="00F93EA0">
        <w:rPr>
          <w:b/>
          <w:noProof/>
          <w:sz w:val="20"/>
          <w:szCs w:val="20"/>
        </w:rPr>
        <w:t>3</w:t>
      </w:r>
      <w:r w:rsidR="003F0CD3" w:rsidRPr="00ED5593">
        <w:rPr>
          <w:b/>
          <w:noProof/>
          <w:sz w:val="20"/>
          <w:szCs w:val="20"/>
        </w:rPr>
        <w:fldChar w:fldCharType="end"/>
      </w:r>
      <w:bookmarkEnd w:id="38"/>
      <w:r w:rsidRPr="00ED5593">
        <w:rPr>
          <w:b/>
          <w:sz w:val="20"/>
          <w:szCs w:val="20"/>
        </w:rPr>
        <w:t>.</w:t>
      </w:r>
      <w:r w:rsidR="00572817" w:rsidRPr="00ED5593">
        <w:rPr>
          <w:rFonts w:cs="Arial"/>
          <w:b/>
          <w:sz w:val="20"/>
          <w:szCs w:val="20"/>
        </w:rPr>
        <w:t xml:space="preserve"> </w:t>
      </w:r>
      <w:r w:rsidR="00437BE1" w:rsidRPr="00ED5593">
        <w:rPr>
          <w:rFonts w:cs="Arial"/>
          <w:b/>
          <w:sz w:val="20"/>
          <w:szCs w:val="20"/>
        </w:rPr>
        <w:t xml:space="preserve"> </w:t>
      </w:r>
      <w:r w:rsidR="00B74917" w:rsidRPr="00ED5593">
        <w:rPr>
          <w:rFonts w:cs="Arial"/>
          <w:sz w:val="20"/>
          <w:szCs w:val="20"/>
        </w:rPr>
        <w:t xml:space="preserve">DEER </w:t>
      </w:r>
      <w:r w:rsidR="00D719E9" w:rsidRPr="00ED5593">
        <w:rPr>
          <w:rFonts w:cs="Arial"/>
          <w:sz w:val="20"/>
          <w:szCs w:val="20"/>
        </w:rPr>
        <w:t>Net-to-Gross Ratios</w:t>
      </w:r>
      <w:bookmarkEnd w:id="39"/>
    </w:p>
    <w:tbl>
      <w:tblPr>
        <w:tblW w:w="4802" w:type="pct"/>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3675"/>
        <w:gridCol w:w="815"/>
        <w:gridCol w:w="951"/>
        <w:gridCol w:w="738"/>
        <w:gridCol w:w="1078"/>
      </w:tblGrid>
      <w:tr w:rsidR="00B87109" w:rsidRPr="003A37EC" w14:paraId="393A0C1F" w14:textId="6F7C2D44" w:rsidTr="00B87109">
        <w:trPr>
          <w:trHeight w:val="215"/>
        </w:trPr>
        <w:tc>
          <w:tcPr>
            <w:tcW w:w="5000" w:type="pct"/>
            <w:gridSpan w:val="6"/>
            <w:shd w:val="clear" w:color="auto" w:fill="D9D9D9" w:themeFill="background1" w:themeFillShade="D9"/>
            <w:vAlign w:val="center"/>
          </w:tcPr>
          <w:p w14:paraId="58D4ED01" w14:textId="21966477" w:rsidR="00B87109" w:rsidRPr="003A37EC" w:rsidRDefault="00B87109" w:rsidP="003A37EC">
            <w:pPr>
              <w:keepNext/>
              <w:spacing w:before="60" w:after="60"/>
              <w:jc w:val="center"/>
              <w:rPr>
                <w:rFonts w:cs="Arial"/>
                <w:sz w:val="20"/>
                <w:szCs w:val="20"/>
              </w:rPr>
            </w:pPr>
            <w:r w:rsidRPr="003A37EC">
              <w:rPr>
                <w:rFonts w:cs="Arial"/>
                <w:sz w:val="20"/>
                <w:szCs w:val="20"/>
              </w:rPr>
              <w:t>From DEER Tables</w:t>
            </w:r>
          </w:p>
        </w:tc>
      </w:tr>
      <w:tr w:rsidR="00F93EA0" w:rsidRPr="003A37EC" w14:paraId="344B0694" w14:textId="2CEA4CBB" w:rsidTr="00F93EA0">
        <w:trPr>
          <w:trHeight w:val="485"/>
        </w:trPr>
        <w:tc>
          <w:tcPr>
            <w:tcW w:w="940" w:type="pct"/>
            <w:shd w:val="clear" w:color="auto" w:fill="D9D9D9" w:themeFill="background1" w:themeFillShade="D9"/>
            <w:vAlign w:val="center"/>
          </w:tcPr>
          <w:p w14:paraId="29F94FDE" w14:textId="46F6DE5E" w:rsidR="00B87109" w:rsidRPr="003A37EC" w:rsidRDefault="00B87109" w:rsidP="003A37EC">
            <w:pPr>
              <w:keepNext/>
              <w:spacing w:before="60" w:after="60"/>
              <w:jc w:val="center"/>
              <w:rPr>
                <w:rFonts w:cs="Arial"/>
                <w:sz w:val="20"/>
                <w:szCs w:val="20"/>
              </w:rPr>
            </w:pPr>
            <w:r w:rsidRPr="003A37EC">
              <w:rPr>
                <w:rFonts w:cs="Arial"/>
                <w:sz w:val="20"/>
                <w:szCs w:val="20"/>
              </w:rPr>
              <w:t xml:space="preserve">NTGR_ID </w:t>
            </w:r>
          </w:p>
        </w:tc>
        <w:tc>
          <w:tcPr>
            <w:tcW w:w="2056" w:type="pct"/>
            <w:shd w:val="clear" w:color="auto" w:fill="D9D9D9" w:themeFill="background1" w:themeFillShade="D9"/>
            <w:vAlign w:val="center"/>
          </w:tcPr>
          <w:p w14:paraId="5C79C832" w14:textId="07BD9265" w:rsidR="00B87109" w:rsidRPr="003A37EC" w:rsidRDefault="00B87109" w:rsidP="003A37EC">
            <w:pPr>
              <w:keepNext/>
              <w:spacing w:before="60" w:after="60"/>
              <w:jc w:val="center"/>
              <w:rPr>
                <w:rFonts w:cs="Arial"/>
                <w:sz w:val="20"/>
                <w:szCs w:val="20"/>
              </w:rPr>
            </w:pPr>
            <w:r w:rsidRPr="003A37EC">
              <w:rPr>
                <w:rFonts w:cs="Arial"/>
                <w:sz w:val="20"/>
                <w:szCs w:val="20"/>
              </w:rPr>
              <w:t xml:space="preserve">Description </w:t>
            </w:r>
          </w:p>
        </w:tc>
        <w:tc>
          <w:tcPr>
            <w:tcW w:w="456" w:type="pct"/>
            <w:shd w:val="clear" w:color="auto" w:fill="D9D9D9" w:themeFill="background1" w:themeFillShade="D9"/>
            <w:vAlign w:val="center"/>
          </w:tcPr>
          <w:p w14:paraId="47020A1E" w14:textId="0EA5E2CB" w:rsidR="00B87109" w:rsidRPr="003A37EC" w:rsidRDefault="00B87109" w:rsidP="003A37EC">
            <w:pPr>
              <w:keepNext/>
              <w:spacing w:before="60" w:after="60"/>
              <w:jc w:val="center"/>
              <w:rPr>
                <w:rFonts w:cs="Arial"/>
                <w:sz w:val="20"/>
                <w:szCs w:val="20"/>
              </w:rPr>
            </w:pPr>
            <w:r w:rsidRPr="003A37EC">
              <w:rPr>
                <w:rFonts w:cs="Arial"/>
                <w:sz w:val="20"/>
                <w:szCs w:val="20"/>
              </w:rPr>
              <w:t xml:space="preserve">Sector </w:t>
            </w:r>
          </w:p>
        </w:tc>
        <w:tc>
          <w:tcPr>
            <w:tcW w:w="532" w:type="pct"/>
            <w:shd w:val="clear" w:color="auto" w:fill="D9D9D9" w:themeFill="background1" w:themeFillShade="D9"/>
            <w:vAlign w:val="center"/>
          </w:tcPr>
          <w:p w14:paraId="266D430E" w14:textId="73B07C1F" w:rsidR="00B87109" w:rsidRPr="003A37EC" w:rsidRDefault="00B87109" w:rsidP="003A37EC">
            <w:pPr>
              <w:keepNext/>
              <w:spacing w:before="60" w:after="60"/>
              <w:jc w:val="center"/>
              <w:rPr>
                <w:rFonts w:cs="Arial"/>
                <w:sz w:val="20"/>
                <w:szCs w:val="20"/>
              </w:rPr>
            </w:pPr>
            <w:r w:rsidRPr="003A37EC">
              <w:rPr>
                <w:rFonts w:cs="Arial"/>
                <w:sz w:val="20"/>
                <w:szCs w:val="20"/>
              </w:rPr>
              <w:t>Building Type</w:t>
            </w:r>
          </w:p>
        </w:tc>
        <w:tc>
          <w:tcPr>
            <w:tcW w:w="413" w:type="pct"/>
            <w:shd w:val="clear" w:color="auto" w:fill="D9D9D9" w:themeFill="background1" w:themeFillShade="D9"/>
            <w:vAlign w:val="center"/>
          </w:tcPr>
          <w:p w14:paraId="61CFF64F" w14:textId="5496A600" w:rsidR="00B87109" w:rsidRPr="003A37EC" w:rsidRDefault="00B87109" w:rsidP="003A37EC">
            <w:pPr>
              <w:keepNext/>
              <w:spacing w:before="60" w:after="60"/>
              <w:jc w:val="center"/>
              <w:rPr>
                <w:rFonts w:cs="Arial"/>
                <w:sz w:val="20"/>
                <w:szCs w:val="20"/>
              </w:rPr>
            </w:pPr>
            <w:r w:rsidRPr="003A37EC">
              <w:rPr>
                <w:rFonts w:cs="Arial"/>
                <w:sz w:val="20"/>
                <w:szCs w:val="20"/>
              </w:rPr>
              <w:t>NTG</w:t>
            </w:r>
          </w:p>
        </w:tc>
        <w:tc>
          <w:tcPr>
            <w:tcW w:w="603" w:type="pct"/>
            <w:shd w:val="clear" w:color="auto" w:fill="D9D9D9" w:themeFill="background1" w:themeFillShade="D9"/>
            <w:vAlign w:val="center"/>
          </w:tcPr>
          <w:p w14:paraId="26869CEE" w14:textId="2198E879" w:rsidR="00B87109" w:rsidRPr="003A37EC" w:rsidRDefault="00B87109" w:rsidP="003A37EC">
            <w:pPr>
              <w:keepNext/>
              <w:spacing w:before="60" w:after="60"/>
              <w:jc w:val="center"/>
              <w:rPr>
                <w:rFonts w:cs="Arial"/>
                <w:sz w:val="20"/>
                <w:szCs w:val="20"/>
              </w:rPr>
            </w:pPr>
            <w:r>
              <w:rPr>
                <w:rFonts w:cs="Arial"/>
                <w:sz w:val="20"/>
                <w:szCs w:val="20"/>
              </w:rPr>
              <w:t>Program Delivery</w:t>
            </w:r>
          </w:p>
        </w:tc>
      </w:tr>
      <w:tr w:rsidR="00814FD0" w:rsidRPr="001F0D38" w14:paraId="393A0C24" w14:textId="797A6BC4" w:rsidTr="00F93EA0">
        <w:trPr>
          <w:trHeight w:val="440"/>
        </w:trPr>
        <w:tc>
          <w:tcPr>
            <w:tcW w:w="940" w:type="pct"/>
            <w:shd w:val="clear" w:color="auto" w:fill="auto"/>
          </w:tcPr>
          <w:p w14:paraId="393A0C20" w14:textId="223DBFD1" w:rsidR="00814FD0" w:rsidRPr="00F93EA0" w:rsidRDefault="00814FD0" w:rsidP="00814FD0">
            <w:pPr>
              <w:spacing w:before="60" w:after="60"/>
              <w:jc w:val="center"/>
              <w:rPr>
                <w:rFonts w:cs="Arial"/>
                <w:color w:val="FF0000"/>
                <w:sz w:val="20"/>
                <w:szCs w:val="20"/>
              </w:rPr>
            </w:pPr>
            <w:r w:rsidRPr="0086671B">
              <w:t>All-Default&lt;=2yrs</w:t>
            </w:r>
          </w:p>
        </w:tc>
        <w:tc>
          <w:tcPr>
            <w:tcW w:w="2056" w:type="pct"/>
            <w:shd w:val="clear" w:color="auto" w:fill="auto"/>
          </w:tcPr>
          <w:p w14:paraId="393A0C21" w14:textId="7C89C6C2" w:rsidR="00814FD0" w:rsidRPr="00F93EA0" w:rsidRDefault="00814FD0" w:rsidP="00814FD0">
            <w:pPr>
              <w:spacing w:before="60" w:after="60"/>
              <w:jc w:val="center"/>
              <w:rPr>
                <w:rFonts w:cs="Arial"/>
                <w:color w:val="FF0000"/>
                <w:sz w:val="20"/>
                <w:szCs w:val="20"/>
              </w:rPr>
            </w:pPr>
            <w:r w:rsidRPr="0086671B">
              <w:t>All other EEM with no evaluated NTGR; new technology in program for 2 or fewer years</w:t>
            </w:r>
          </w:p>
        </w:tc>
        <w:tc>
          <w:tcPr>
            <w:tcW w:w="456" w:type="pct"/>
            <w:shd w:val="clear" w:color="auto" w:fill="auto"/>
          </w:tcPr>
          <w:p w14:paraId="393A0C22" w14:textId="71C66155" w:rsidR="00814FD0" w:rsidRPr="00F93EA0" w:rsidRDefault="00814FD0" w:rsidP="00814FD0">
            <w:pPr>
              <w:spacing w:before="60" w:after="60"/>
              <w:jc w:val="center"/>
              <w:rPr>
                <w:rFonts w:cs="Arial"/>
                <w:color w:val="FF0000"/>
                <w:sz w:val="20"/>
                <w:szCs w:val="20"/>
              </w:rPr>
            </w:pPr>
            <w:r w:rsidRPr="0086671B">
              <w:t>Any</w:t>
            </w:r>
          </w:p>
        </w:tc>
        <w:tc>
          <w:tcPr>
            <w:tcW w:w="532" w:type="pct"/>
          </w:tcPr>
          <w:p w14:paraId="77A03F3C" w14:textId="6FC55EB7" w:rsidR="00814FD0" w:rsidRPr="00F93EA0" w:rsidRDefault="00814FD0" w:rsidP="00814FD0">
            <w:pPr>
              <w:spacing w:before="60" w:after="60"/>
              <w:jc w:val="center"/>
              <w:rPr>
                <w:rFonts w:cs="Arial"/>
                <w:color w:val="FF0000"/>
                <w:sz w:val="20"/>
                <w:szCs w:val="20"/>
              </w:rPr>
            </w:pPr>
            <w:r w:rsidRPr="0086671B">
              <w:t>Any</w:t>
            </w:r>
          </w:p>
        </w:tc>
        <w:tc>
          <w:tcPr>
            <w:tcW w:w="413" w:type="pct"/>
          </w:tcPr>
          <w:p w14:paraId="7C421440" w14:textId="0FFC5AC6" w:rsidR="00814FD0" w:rsidRPr="00F93EA0" w:rsidRDefault="00814FD0" w:rsidP="00814FD0">
            <w:pPr>
              <w:spacing w:before="60" w:after="60"/>
              <w:jc w:val="center"/>
              <w:rPr>
                <w:rFonts w:cs="Arial"/>
                <w:color w:val="FF0000"/>
                <w:sz w:val="20"/>
                <w:szCs w:val="20"/>
              </w:rPr>
            </w:pPr>
            <w:r w:rsidRPr="0086671B">
              <w:t>Any</w:t>
            </w:r>
          </w:p>
        </w:tc>
        <w:tc>
          <w:tcPr>
            <w:tcW w:w="603" w:type="pct"/>
          </w:tcPr>
          <w:p w14:paraId="2FF9BC04" w14:textId="47773134" w:rsidR="00814FD0" w:rsidRPr="00F93EA0" w:rsidRDefault="00814FD0" w:rsidP="00814FD0">
            <w:pPr>
              <w:spacing w:before="60" w:after="60"/>
              <w:jc w:val="center"/>
              <w:rPr>
                <w:rFonts w:cs="Arial"/>
                <w:color w:val="FF0000"/>
                <w:sz w:val="20"/>
                <w:szCs w:val="20"/>
              </w:rPr>
            </w:pPr>
            <w:r w:rsidRPr="0086671B">
              <w:t>0.70</w:t>
            </w:r>
          </w:p>
        </w:tc>
      </w:tr>
    </w:tbl>
    <w:p w14:paraId="02594688" w14:textId="77777777" w:rsidR="00572817" w:rsidRDefault="00572817" w:rsidP="00364DA3">
      <w:pPr>
        <w:ind w:left="630"/>
        <w:rPr>
          <w:rFonts w:cs="Arial"/>
          <w:b/>
          <w:sz w:val="20"/>
          <w:szCs w:val="20"/>
        </w:rPr>
      </w:pPr>
    </w:p>
    <w:p w14:paraId="393A0C2A" w14:textId="1658D9BA" w:rsidR="002F2D19" w:rsidRPr="00364DA3" w:rsidRDefault="009C5CA7" w:rsidP="00364DA3">
      <w:pPr>
        <w:spacing w:before="200" w:after="60"/>
        <w:ind w:left="630"/>
        <w:rPr>
          <w:rFonts w:cs="Arial"/>
          <w:b/>
          <w:sz w:val="20"/>
          <w:szCs w:val="20"/>
        </w:rPr>
      </w:pPr>
      <w:r w:rsidRPr="00364DA3">
        <w:rPr>
          <w:rFonts w:cs="Arial"/>
          <w:b/>
          <w:sz w:val="20"/>
          <w:szCs w:val="20"/>
        </w:rPr>
        <w:t>Effective Useful Life</w:t>
      </w:r>
      <w:r w:rsidR="00D719E9" w:rsidRPr="00364DA3">
        <w:rPr>
          <w:rFonts w:cs="Arial"/>
          <w:b/>
          <w:sz w:val="20"/>
          <w:szCs w:val="20"/>
        </w:rPr>
        <w:t xml:space="preserve"> / Remaining Useful Life</w:t>
      </w:r>
    </w:p>
    <w:p w14:paraId="20A19BBA" w14:textId="77777777" w:rsidR="001F0D38" w:rsidRDefault="001F0D38" w:rsidP="00364DA3">
      <w:pPr>
        <w:ind w:left="630"/>
        <w:rPr>
          <w:rFonts w:cs="Arial"/>
          <w:color w:val="FF0000"/>
          <w:sz w:val="20"/>
          <w:szCs w:val="20"/>
        </w:rPr>
      </w:pPr>
    </w:p>
    <w:p w14:paraId="448B0BCF" w14:textId="3A0C839F" w:rsidR="001F0D38" w:rsidRPr="00ED5593" w:rsidRDefault="001F0D38" w:rsidP="001F0D38">
      <w:pPr>
        <w:spacing w:after="60"/>
        <w:ind w:left="630"/>
        <w:rPr>
          <w:rFonts w:cs="Arial"/>
          <w:sz w:val="20"/>
          <w:szCs w:val="20"/>
        </w:rPr>
      </w:pPr>
      <w:bookmarkStart w:id="40" w:name="_Toc385592673"/>
      <w:r w:rsidRPr="00ED5593">
        <w:rPr>
          <w:b/>
          <w:sz w:val="20"/>
          <w:szCs w:val="20"/>
        </w:rPr>
        <w:t xml:space="preserve">Table </w:t>
      </w:r>
      <w:r w:rsidRPr="00ED5593">
        <w:rPr>
          <w:b/>
          <w:sz w:val="20"/>
          <w:szCs w:val="20"/>
        </w:rPr>
        <w:fldChar w:fldCharType="begin"/>
      </w:r>
      <w:r w:rsidRPr="00ED5593">
        <w:rPr>
          <w:b/>
          <w:sz w:val="20"/>
          <w:szCs w:val="20"/>
        </w:rPr>
        <w:instrText xml:space="preserve"> SEQ Table \* ARABIC </w:instrText>
      </w:r>
      <w:r w:rsidRPr="00ED5593">
        <w:rPr>
          <w:b/>
          <w:sz w:val="20"/>
          <w:szCs w:val="20"/>
        </w:rPr>
        <w:fldChar w:fldCharType="separate"/>
      </w:r>
      <w:r w:rsidR="00F93EA0">
        <w:rPr>
          <w:b/>
          <w:noProof/>
          <w:sz w:val="20"/>
          <w:szCs w:val="20"/>
        </w:rPr>
        <w:t>4</w:t>
      </w:r>
      <w:r w:rsidRPr="00ED5593">
        <w:rPr>
          <w:b/>
          <w:noProof/>
          <w:sz w:val="20"/>
          <w:szCs w:val="20"/>
        </w:rPr>
        <w:fldChar w:fldCharType="end"/>
      </w:r>
      <w:r w:rsidRPr="00ED5593">
        <w:rPr>
          <w:b/>
          <w:sz w:val="20"/>
          <w:szCs w:val="20"/>
        </w:rPr>
        <w:t>.</w:t>
      </w:r>
      <w:r w:rsidRPr="00ED5593">
        <w:rPr>
          <w:rFonts w:cs="Arial"/>
          <w:b/>
          <w:sz w:val="20"/>
          <w:szCs w:val="20"/>
        </w:rPr>
        <w:t xml:space="preserve">  </w:t>
      </w:r>
      <w:r w:rsidRPr="00ED5593">
        <w:rPr>
          <w:rFonts w:cs="Arial"/>
          <w:sz w:val="20"/>
          <w:szCs w:val="20"/>
        </w:rPr>
        <w:t xml:space="preserve">DEER </w:t>
      </w:r>
      <w:r>
        <w:rPr>
          <w:rFonts w:cs="Arial"/>
          <w:sz w:val="20"/>
          <w:szCs w:val="20"/>
        </w:rPr>
        <w:t>EUL Values/Methodology</w:t>
      </w:r>
      <w:bookmarkEnd w:id="40"/>
    </w:p>
    <w:tbl>
      <w:tblPr>
        <w:tblStyle w:val="TableContemporary"/>
        <w:tblW w:w="859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658"/>
        <w:gridCol w:w="1177"/>
        <w:gridCol w:w="2039"/>
        <w:gridCol w:w="1233"/>
        <w:gridCol w:w="1110"/>
      </w:tblGrid>
      <w:tr w:rsidR="001F0D38" w:rsidRPr="001F0D38" w14:paraId="1FEFE76D" w14:textId="77777777" w:rsidTr="001F0D38">
        <w:trPr>
          <w:cnfStyle w:val="100000000000" w:firstRow="1" w:lastRow="0" w:firstColumn="0" w:lastColumn="0" w:oddVBand="0" w:evenVBand="0" w:oddHBand="0" w:evenHBand="0" w:firstRowFirstColumn="0" w:firstRowLastColumn="0" w:lastRowFirstColumn="0" w:lastRowLastColumn="0"/>
        </w:trPr>
        <w:tc>
          <w:tcPr>
            <w:tcW w:w="1376" w:type="dxa"/>
            <w:shd w:val="clear" w:color="auto" w:fill="D9D9D9" w:themeFill="background1" w:themeFillShade="D9"/>
            <w:vAlign w:val="center"/>
          </w:tcPr>
          <w:p w14:paraId="06EC5EC8" w14:textId="77777777" w:rsidR="001F0D38" w:rsidRPr="001F0D38" w:rsidRDefault="001F0D38" w:rsidP="001F0D38">
            <w:pPr>
              <w:spacing w:before="60" w:after="60"/>
              <w:jc w:val="center"/>
              <w:rPr>
                <w:rFonts w:cs="Arial"/>
                <w:b w:val="0"/>
                <w:sz w:val="20"/>
                <w:szCs w:val="20"/>
              </w:rPr>
            </w:pPr>
            <w:r w:rsidRPr="001F0D38">
              <w:rPr>
                <w:rFonts w:cs="Arial"/>
                <w:b w:val="0"/>
                <w:sz w:val="20"/>
                <w:szCs w:val="20"/>
              </w:rPr>
              <w:t>READi EUL ID</w:t>
            </w:r>
          </w:p>
        </w:tc>
        <w:tc>
          <w:tcPr>
            <w:tcW w:w="1658" w:type="dxa"/>
            <w:shd w:val="clear" w:color="auto" w:fill="D9D9D9" w:themeFill="background1" w:themeFillShade="D9"/>
            <w:vAlign w:val="center"/>
          </w:tcPr>
          <w:p w14:paraId="34FCE098" w14:textId="77777777" w:rsidR="001F0D38" w:rsidRPr="001F0D38" w:rsidRDefault="001F0D38" w:rsidP="001F0D38">
            <w:pPr>
              <w:spacing w:before="60" w:after="60"/>
              <w:jc w:val="center"/>
              <w:rPr>
                <w:rFonts w:cs="Arial"/>
                <w:b w:val="0"/>
                <w:sz w:val="20"/>
                <w:szCs w:val="20"/>
              </w:rPr>
            </w:pPr>
            <w:r w:rsidRPr="001F0D38">
              <w:rPr>
                <w:rFonts w:cs="Arial"/>
                <w:b w:val="0"/>
                <w:sz w:val="20"/>
                <w:szCs w:val="20"/>
              </w:rPr>
              <w:t>Market</w:t>
            </w:r>
          </w:p>
        </w:tc>
        <w:tc>
          <w:tcPr>
            <w:tcW w:w="1177" w:type="dxa"/>
            <w:shd w:val="clear" w:color="auto" w:fill="D9D9D9" w:themeFill="background1" w:themeFillShade="D9"/>
            <w:vAlign w:val="center"/>
          </w:tcPr>
          <w:p w14:paraId="6440FB10" w14:textId="2ED09148" w:rsidR="001F0D38" w:rsidRPr="001F0D38" w:rsidRDefault="001F0D38" w:rsidP="001F0D38">
            <w:pPr>
              <w:spacing w:before="60" w:after="60"/>
              <w:jc w:val="center"/>
              <w:rPr>
                <w:rFonts w:cs="Arial"/>
                <w:b w:val="0"/>
                <w:sz w:val="20"/>
                <w:szCs w:val="20"/>
              </w:rPr>
            </w:pPr>
            <w:r>
              <w:rPr>
                <w:rFonts w:cs="Arial"/>
                <w:b w:val="0"/>
                <w:sz w:val="20"/>
                <w:szCs w:val="20"/>
              </w:rPr>
              <w:t>End Use</w:t>
            </w:r>
          </w:p>
        </w:tc>
        <w:tc>
          <w:tcPr>
            <w:tcW w:w="2039" w:type="dxa"/>
            <w:shd w:val="clear" w:color="auto" w:fill="D9D9D9" w:themeFill="background1" w:themeFillShade="D9"/>
            <w:vAlign w:val="center"/>
          </w:tcPr>
          <w:p w14:paraId="2BEC7878" w14:textId="77777777" w:rsidR="001F0D38" w:rsidRPr="001F0D38" w:rsidRDefault="001F0D38" w:rsidP="001F0D38">
            <w:pPr>
              <w:spacing w:before="60" w:after="60"/>
              <w:jc w:val="center"/>
              <w:rPr>
                <w:rFonts w:cs="Arial"/>
                <w:b w:val="0"/>
                <w:sz w:val="20"/>
                <w:szCs w:val="20"/>
              </w:rPr>
            </w:pPr>
            <w:r w:rsidRPr="001F0D38">
              <w:rPr>
                <w:rFonts w:cs="Arial"/>
                <w:b w:val="0"/>
                <w:sz w:val="20"/>
                <w:szCs w:val="20"/>
              </w:rPr>
              <w:t>Measure</w:t>
            </w:r>
          </w:p>
        </w:tc>
        <w:tc>
          <w:tcPr>
            <w:tcW w:w="1233" w:type="dxa"/>
            <w:shd w:val="clear" w:color="auto" w:fill="D9D9D9" w:themeFill="background1" w:themeFillShade="D9"/>
            <w:vAlign w:val="center"/>
          </w:tcPr>
          <w:p w14:paraId="29D65D66" w14:textId="77777777" w:rsidR="001F0D38" w:rsidRPr="001F0D38" w:rsidRDefault="001F0D38" w:rsidP="001F0D38">
            <w:pPr>
              <w:spacing w:before="60" w:after="60"/>
              <w:jc w:val="center"/>
              <w:rPr>
                <w:rFonts w:cs="Arial"/>
                <w:b w:val="0"/>
                <w:sz w:val="20"/>
                <w:szCs w:val="20"/>
              </w:rPr>
            </w:pPr>
            <w:r w:rsidRPr="001F0D38">
              <w:rPr>
                <w:rFonts w:cs="Arial"/>
                <w:b w:val="0"/>
                <w:sz w:val="20"/>
                <w:szCs w:val="20"/>
              </w:rPr>
              <w:t>EUL (Years)</w:t>
            </w:r>
          </w:p>
        </w:tc>
        <w:tc>
          <w:tcPr>
            <w:tcW w:w="1110" w:type="dxa"/>
            <w:shd w:val="clear" w:color="auto" w:fill="D9D9D9" w:themeFill="background1" w:themeFillShade="D9"/>
            <w:vAlign w:val="center"/>
          </w:tcPr>
          <w:p w14:paraId="1FC9E8AD" w14:textId="77777777" w:rsidR="001F0D38" w:rsidRPr="001F0D38" w:rsidRDefault="001F0D38" w:rsidP="001F0D38">
            <w:pPr>
              <w:spacing w:before="60" w:after="60"/>
              <w:jc w:val="center"/>
              <w:rPr>
                <w:rFonts w:cs="Arial"/>
                <w:b w:val="0"/>
                <w:sz w:val="20"/>
                <w:szCs w:val="20"/>
              </w:rPr>
            </w:pPr>
            <w:r w:rsidRPr="001F0D38">
              <w:rPr>
                <w:rFonts w:cs="Arial"/>
                <w:b w:val="0"/>
                <w:sz w:val="20"/>
                <w:szCs w:val="20"/>
              </w:rPr>
              <w:t>RUL (Years)</w:t>
            </w:r>
          </w:p>
        </w:tc>
      </w:tr>
      <w:tr w:rsidR="00F93EA0" w:rsidRPr="001F0D38" w14:paraId="7113BE22" w14:textId="77777777" w:rsidTr="000A3D4E">
        <w:trPr>
          <w:cnfStyle w:val="000000100000" w:firstRow="0" w:lastRow="0" w:firstColumn="0" w:lastColumn="0" w:oddVBand="0" w:evenVBand="0" w:oddHBand="1" w:evenHBand="0" w:firstRowFirstColumn="0" w:firstRowLastColumn="0" w:lastRowFirstColumn="0" w:lastRowLastColumn="0"/>
          <w:trHeight w:val="243"/>
        </w:trPr>
        <w:tc>
          <w:tcPr>
            <w:tcW w:w="1376" w:type="dxa"/>
            <w:shd w:val="clear" w:color="auto" w:fill="auto"/>
          </w:tcPr>
          <w:p w14:paraId="518E0B60" w14:textId="2665D45D" w:rsidR="00F93EA0" w:rsidRPr="00F93EA0" w:rsidRDefault="00F93EA0" w:rsidP="00F93EA0">
            <w:pPr>
              <w:spacing w:before="60" w:after="60"/>
              <w:jc w:val="center"/>
              <w:rPr>
                <w:rFonts w:cs="Arial"/>
                <w:color w:val="FF0000"/>
                <w:sz w:val="20"/>
                <w:szCs w:val="20"/>
              </w:rPr>
            </w:pPr>
            <w:r w:rsidRPr="00F93EA0">
              <w:rPr>
                <w:rFonts w:cs="Arial"/>
                <w:color w:val="FF0000"/>
                <w:sz w:val="20"/>
                <w:szCs w:val="20"/>
              </w:rPr>
              <w:t>To Be Requested</w:t>
            </w:r>
          </w:p>
        </w:tc>
        <w:tc>
          <w:tcPr>
            <w:tcW w:w="1658" w:type="dxa"/>
            <w:shd w:val="clear" w:color="auto" w:fill="auto"/>
          </w:tcPr>
          <w:p w14:paraId="5157465A" w14:textId="6B24FC34" w:rsidR="00F93EA0" w:rsidRPr="00F93EA0" w:rsidRDefault="00F93EA0" w:rsidP="00F93EA0">
            <w:pPr>
              <w:spacing w:before="60" w:after="60"/>
              <w:jc w:val="center"/>
              <w:rPr>
                <w:rFonts w:cs="Arial"/>
                <w:color w:val="FF0000"/>
                <w:sz w:val="20"/>
                <w:szCs w:val="20"/>
              </w:rPr>
            </w:pPr>
            <w:r w:rsidRPr="00F93EA0">
              <w:rPr>
                <w:rFonts w:cs="Arial"/>
                <w:sz w:val="20"/>
                <w:szCs w:val="20"/>
              </w:rPr>
              <w:t>Set Top Box</w:t>
            </w:r>
          </w:p>
        </w:tc>
        <w:tc>
          <w:tcPr>
            <w:tcW w:w="1177" w:type="dxa"/>
            <w:shd w:val="clear" w:color="auto" w:fill="auto"/>
          </w:tcPr>
          <w:p w14:paraId="1C32DACA" w14:textId="76918B05" w:rsidR="00F93EA0" w:rsidRPr="00F93EA0" w:rsidRDefault="00F93EA0" w:rsidP="00F93EA0">
            <w:pPr>
              <w:spacing w:before="60" w:after="60"/>
              <w:jc w:val="center"/>
              <w:rPr>
                <w:rFonts w:cs="Arial"/>
                <w:color w:val="FF0000"/>
                <w:sz w:val="20"/>
                <w:szCs w:val="20"/>
              </w:rPr>
            </w:pPr>
            <w:r w:rsidRPr="00F93EA0">
              <w:rPr>
                <w:rFonts w:cs="Arial"/>
                <w:sz w:val="20"/>
                <w:szCs w:val="20"/>
              </w:rPr>
              <w:t>RES</w:t>
            </w:r>
          </w:p>
        </w:tc>
        <w:tc>
          <w:tcPr>
            <w:tcW w:w="2039" w:type="dxa"/>
            <w:shd w:val="clear" w:color="auto" w:fill="auto"/>
          </w:tcPr>
          <w:p w14:paraId="66004708" w14:textId="3BDE8437" w:rsidR="00F93EA0" w:rsidRPr="00F93EA0" w:rsidRDefault="00F93EA0" w:rsidP="00F93EA0">
            <w:pPr>
              <w:spacing w:before="60" w:after="60"/>
              <w:jc w:val="center"/>
              <w:rPr>
                <w:rFonts w:cs="Arial"/>
                <w:color w:val="FF0000"/>
                <w:sz w:val="20"/>
                <w:szCs w:val="20"/>
              </w:rPr>
            </w:pPr>
            <w:r w:rsidRPr="00F93EA0">
              <w:rPr>
                <w:rFonts w:cs="Arial"/>
                <w:sz w:val="20"/>
                <w:szCs w:val="20"/>
              </w:rPr>
              <w:t>Plug Load</w:t>
            </w:r>
          </w:p>
        </w:tc>
        <w:tc>
          <w:tcPr>
            <w:tcW w:w="1233" w:type="dxa"/>
            <w:shd w:val="clear" w:color="auto" w:fill="auto"/>
          </w:tcPr>
          <w:p w14:paraId="33B1DAF8" w14:textId="56BCFC3B" w:rsidR="00F93EA0" w:rsidRPr="00F93EA0" w:rsidRDefault="00F93EA0" w:rsidP="00F93EA0">
            <w:pPr>
              <w:spacing w:before="60" w:after="60"/>
              <w:jc w:val="center"/>
              <w:rPr>
                <w:rFonts w:cs="Arial"/>
                <w:color w:val="FF0000"/>
                <w:sz w:val="20"/>
                <w:szCs w:val="20"/>
              </w:rPr>
            </w:pPr>
            <w:r w:rsidRPr="00F93EA0">
              <w:rPr>
                <w:rFonts w:cs="Arial"/>
                <w:sz w:val="20"/>
                <w:szCs w:val="20"/>
              </w:rPr>
              <w:t>6</w:t>
            </w:r>
          </w:p>
        </w:tc>
        <w:tc>
          <w:tcPr>
            <w:tcW w:w="1110" w:type="dxa"/>
            <w:shd w:val="clear" w:color="auto" w:fill="auto"/>
          </w:tcPr>
          <w:p w14:paraId="492A267F" w14:textId="4EA3D87D" w:rsidR="00F93EA0" w:rsidRPr="00F93EA0" w:rsidRDefault="00F93EA0" w:rsidP="00F93EA0">
            <w:pPr>
              <w:spacing w:before="60" w:after="60"/>
              <w:jc w:val="center"/>
              <w:rPr>
                <w:rFonts w:cs="Arial"/>
                <w:color w:val="FF0000"/>
                <w:sz w:val="20"/>
                <w:szCs w:val="20"/>
              </w:rPr>
            </w:pPr>
            <w:r w:rsidRPr="00F93EA0">
              <w:rPr>
                <w:rFonts w:cs="Arial"/>
                <w:sz w:val="20"/>
                <w:szCs w:val="20"/>
              </w:rPr>
              <w:t>2</w:t>
            </w:r>
          </w:p>
        </w:tc>
      </w:tr>
    </w:tbl>
    <w:p w14:paraId="65D18FFB" w14:textId="77777777" w:rsidR="001F0D38" w:rsidRPr="00ED5593" w:rsidRDefault="001F0D38" w:rsidP="00364DA3">
      <w:pPr>
        <w:ind w:left="630"/>
        <w:rPr>
          <w:rFonts w:cs="Arial"/>
          <w:color w:val="FF0000"/>
          <w:sz w:val="20"/>
          <w:szCs w:val="20"/>
        </w:rPr>
      </w:pPr>
    </w:p>
    <w:p w14:paraId="08A65AAF" w14:textId="77777777" w:rsidR="00572817" w:rsidRPr="001D4579" w:rsidRDefault="00572817" w:rsidP="00364DA3">
      <w:pPr>
        <w:ind w:left="630"/>
        <w:rPr>
          <w:rFonts w:cs="Arial"/>
          <w:sz w:val="20"/>
          <w:szCs w:val="20"/>
        </w:rPr>
      </w:pPr>
    </w:p>
    <w:p w14:paraId="7628DCB6" w14:textId="07AF7F30" w:rsidR="0064211E" w:rsidRPr="00364DA3" w:rsidRDefault="00EA172F" w:rsidP="00364DA3">
      <w:pPr>
        <w:spacing w:after="60"/>
        <w:ind w:left="630"/>
        <w:rPr>
          <w:rFonts w:cs="Arial"/>
          <w:b/>
          <w:sz w:val="20"/>
          <w:szCs w:val="20"/>
        </w:rPr>
      </w:pPr>
      <w:r>
        <w:rPr>
          <w:rFonts w:cs="Arial"/>
          <w:b/>
          <w:sz w:val="20"/>
          <w:szCs w:val="20"/>
        </w:rPr>
        <w:t>In-Service R</w:t>
      </w:r>
      <w:r w:rsidR="00020042" w:rsidRPr="00364DA3">
        <w:rPr>
          <w:rFonts w:cs="Arial"/>
          <w:b/>
          <w:sz w:val="20"/>
          <w:szCs w:val="20"/>
        </w:rPr>
        <w:t>ate</w:t>
      </w:r>
      <w:r>
        <w:rPr>
          <w:rFonts w:cs="Arial"/>
          <w:b/>
          <w:sz w:val="20"/>
          <w:szCs w:val="20"/>
        </w:rPr>
        <w:t xml:space="preserve"> </w:t>
      </w:r>
      <w:r w:rsidR="00806070" w:rsidRPr="00364DA3">
        <w:rPr>
          <w:rFonts w:cs="Arial"/>
          <w:b/>
          <w:sz w:val="20"/>
          <w:szCs w:val="20"/>
        </w:rPr>
        <w:t>/</w:t>
      </w:r>
      <w:r>
        <w:rPr>
          <w:rFonts w:cs="Arial"/>
          <w:b/>
          <w:sz w:val="20"/>
          <w:szCs w:val="20"/>
        </w:rPr>
        <w:t xml:space="preserve"> F</w:t>
      </w:r>
      <w:r w:rsidR="00806070" w:rsidRPr="00364DA3">
        <w:rPr>
          <w:rFonts w:cs="Arial"/>
          <w:b/>
          <w:sz w:val="20"/>
          <w:szCs w:val="20"/>
        </w:rPr>
        <w:t xml:space="preserve">irst </w:t>
      </w:r>
      <w:r>
        <w:rPr>
          <w:rFonts w:cs="Arial"/>
          <w:b/>
          <w:sz w:val="20"/>
          <w:szCs w:val="20"/>
        </w:rPr>
        <w:t>Y</w:t>
      </w:r>
      <w:r w:rsidR="00806070" w:rsidRPr="00364DA3">
        <w:rPr>
          <w:rFonts w:cs="Arial"/>
          <w:b/>
          <w:sz w:val="20"/>
          <w:szCs w:val="20"/>
        </w:rPr>
        <w:t xml:space="preserve">ear </w:t>
      </w:r>
      <w:r>
        <w:rPr>
          <w:rFonts w:cs="Arial"/>
          <w:b/>
          <w:sz w:val="20"/>
          <w:szCs w:val="20"/>
        </w:rPr>
        <w:t>Installation R</w:t>
      </w:r>
      <w:r w:rsidR="00806070" w:rsidRPr="00364DA3">
        <w:rPr>
          <w:rFonts w:cs="Arial"/>
          <w:b/>
          <w:sz w:val="20"/>
          <w:szCs w:val="20"/>
        </w:rPr>
        <w:t>ate:</w:t>
      </w:r>
    </w:p>
    <w:p w14:paraId="1915A0E8" w14:textId="77777777" w:rsidR="00F93EA0" w:rsidRDefault="00F93EA0" w:rsidP="009F0DDC">
      <w:pPr>
        <w:spacing w:after="60"/>
        <w:ind w:firstLine="630"/>
        <w:rPr>
          <w:rFonts w:cs="Arial"/>
          <w:color w:val="FF0000"/>
          <w:sz w:val="20"/>
          <w:szCs w:val="20"/>
        </w:rPr>
      </w:pPr>
      <w:bookmarkStart w:id="41" w:name="_Toc385592674"/>
    </w:p>
    <w:p w14:paraId="5DC1F07F" w14:textId="41727413" w:rsidR="003A37EC" w:rsidRPr="00ED5593" w:rsidRDefault="003A37EC" w:rsidP="009F0DDC">
      <w:pPr>
        <w:spacing w:after="60"/>
        <w:ind w:firstLine="630"/>
        <w:rPr>
          <w:rFonts w:cs="Arial"/>
          <w:sz w:val="20"/>
          <w:szCs w:val="20"/>
        </w:rPr>
      </w:pPr>
      <w:r w:rsidRPr="00ED5593">
        <w:rPr>
          <w:b/>
          <w:sz w:val="20"/>
          <w:szCs w:val="20"/>
        </w:rPr>
        <w:t xml:space="preserve">Table </w:t>
      </w:r>
      <w:r w:rsidRPr="00ED5593">
        <w:rPr>
          <w:b/>
          <w:sz w:val="20"/>
          <w:szCs w:val="20"/>
        </w:rPr>
        <w:fldChar w:fldCharType="begin"/>
      </w:r>
      <w:r w:rsidRPr="00ED5593">
        <w:rPr>
          <w:b/>
          <w:sz w:val="20"/>
          <w:szCs w:val="20"/>
        </w:rPr>
        <w:instrText xml:space="preserve"> SEQ Table \* ARABIC </w:instrText>
      </w:r>
      <w:r w:rsidRPr="00ED5593">
        <w:rPr>
          <w:b/>
          <w:sz w:val="20"/>
          <w:szCs w:val="20"/>
        </w:rPr>
        <w:fldChar w:fldCharType="separate"/>
      </w:r>
      <w:r w:rsidR="00F6505E">
        <w:rPr>
          <w:b/>
          <w:noProof/>
          <w:sz w:val="20"/>
          <w:szCs w:val="20"/>
        </w:rPr>
        <w:t>5</w:t>
      </w:r>
      <w:r w:rsidRPr="00ED5593">
        <w:rPr>
          <w:b/>
          <w:noProof/>
          <w:sz w:val="20"/>
          <w:szCs w:val="20"/>
        </w:rPr>
        <w:fldChar w:fldCharType="end"/>
      </w:r>
      <w:r w:rsidRPr="00ED5593">
        <w:rPr>
          <w:b/>
          <w:sz w:val="20"/>
          <w:szCs w:val="20"/>
        </w:rPr>
        <w:t>.</w:t>
      </w:r>
      <w:r w:rsidRPr="00ED5593">
        <w:rPr>
          <w:rFonts w:cs="Arial"/>
          <w:b/>
          <w:sz w:val="20"/>
          <w:szCs w:val="20"/>
        </w:rPr>
        <w:t xml:space="preserve"> </w:t>
      </w:r>
      <w:r>
        <w:rPr>
          <w:rFonts w:cs="Arial"/>
          <w:sz w:val="20"/>
          <w:szCs w:val="20"/>
        </w:rPr>
        <w:t>Installation Rate</w:t>
      </w:r>
      <w:bookmarkEnd w:id="41"/>
    </w:p>
    <w:tbl>
      <w:tblPr>
        <w:tblW w:w="4801" w:type="pct"/>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1249"/>
        <w:gridCol w:w="1507"/>
        <w:gridCol w:w="1499"/>
        <w:gridCol w:w="1499"/>
        <w:gridCol w:w="1498"/>
      </w:tblGrid>
      <w:tr w:rsidR="00B87109" w:rsidRPr="003A37EC" w14:paraId="6BAD0509" w14:textId="77777777" w:rsidTr="00B87109">
        <w:trPr>
          <w:trHeight w:val="215"/>
        </w:trPr>
        <w:tc>
          <w:tcPr>
            <w:tcW w:w="5000" w:type="pct"/>
            <w:gridSpan w:val="6"/>
            <w:shd w:val="clear" w:color="auto" w:fill="D9D9D9" w:themeFill="background1" w:themeFillShade="D9"/>
            <w:vAlign w:val="center"/>
          </w:tcPr>
          <w:p w14:paraId="6F5514A6" w14:textId="2AB29805" w:rsidR="00B87109" w:rsidRPr="003A37EC" w:rsidRDefault="00B87109" w:rsidP="00907264">
            <w:pPr>
              <w:keepNext/>
              <w:spacing w:before="60" w:after="60"/>
              <w:jc w:val="center"/>
              <w:rPr>
                <w:rFonts w:cs="Arial"/>
                <w:sz w:val="20"/>
                <w:szCs w:val="20"/>
              </w:rPr>
            </w:pPr>
            <w:r w:rsidRPr="003A37EC">
              <w:rPr>
                <w:rFonts w:cs="Arial"/>
                <w:sz w:val="20"/>
                <w:szCs w:val="20"/>
              </w:rPr>
              <w:t>From DEER Tables</w:t>
            </w:r>
          </w:p>
        </w:tc>
      </w:tr>
      <w:tr w:rsidR="00B87109" w:rsidRPr="003A37EC" w14:paraId="50E0557C" w14:textId="77777777" w:rsidTr="00B87109">
        <w:trPr>
          <w:trHeight w:val="485"/>
        </w:trPr>
        <w:tc>
          <w:tcPr>
            <w:tcW w:w="942" w:type="pct"/>
            <w:shd w:val="clear" w:color="auto" w:fill="D9D9D9" w:themeFill="background1" w:themeFillShade="D9"/>
            <w:vAlign w:val="center"/>
          </w:tcPr>
          <w:p w14:paraId="67A709A7" w14:textId="4C7738F2" w:rsidR="00B87109" w:rsidRPr="003A37EC" w:rsidRDefault="00B87109" w:rsidP="00B87109">
            <w:pPr>
              <w:keepNext/>
              <w:spacing w:before="60" w:after="60"/>
              <w:jc w:val="center"/>
              <w:rPr>
                <w:rFonts w:cs="Arial"/>
                <w:sz w:val="20"/>
                <w:szCs w:val="20"/>
              </w:rPr>
            </w:pPr>
            <w:r>
              <w:rPr>
                <w:rFonts w:cs="Arial"/>
                <w:sz w:val="20"/>
                <w:szCs w:val="20"/>
              </w:rPr>
              <w:t>GSIA_ID</w:t>
            </w:r>
            <w:r w:rsidRPr="003A37EC">
              <w:rPr>
                <w:rFonts w:cs="Arial"/>
                <w:sz w:val="20"/>
                <w:szCs w:val="20"/>
              </w:rPr>
              <w:t xml:space="preserve"> </w:t>
            </w:r>
          </w:p>
        </w:tc>
        <w:tc>
          <w:tcPr>
            <w:tcW w:w="699" w:type="pct"/>
            <w:shd w:val="clear" w:color="auto" w:fill="D9D9D9" w:themeFill="background1" w:themeFillShade="D9"/>
            <w:vAlign w:val="center"/>
          </w:tcPr>
          <w:p w14:paraId="0E2A2E5A" w14:textId="77777777" w:rsidR="00B87109" w:rsidRPr="003A37EC" w:rsidRDefault="00B87109" w:rsidP="00B87109">
            <w:pPr>
              <w:keepNext/>
              <w:spacing w:before="60" w:after="60"/>
              <w:jc w:val="center"/>
              <w:rPr>
                <w:rFonts w:cs="Arial"/>
                <w:sz w:val="20"/>
                <w:szCs w:val="20"/>
              </w:rPr>
            </w:pPr>
            <w:r w:rsidRPr="003A37EC">
              <w:rPr>
                <w:rFonts w:cs="Arial"/>
                <w:sz w:val="20"/>
                <w:szCs w:val="20"/>
              </w:rPr>
              <w:t xml:space="preserve">Description </w:t>
            </w:r>
          </w:p>
        </w:tc>
        <w:tc>
          <w:tcPr>
            <w:tcW w:w="843" w:type="pct"/>
            <w:shd w:val="clear" w:color="auto" w:fill="D9D9D9" w:themeFill="background1" w:themeFillShade="D9"/>
            <w:vAlign w:val="center"/>
          </w:tcPr>
          <w:p w14:paraId="0340EEA4" w14:textId="77777777" w:rsidR="00B87109" w:rsidRPr="003A37EC" w:rsidRDefault="00B87109" w:rsidP="00B87109">
            <w:pPr>
              <w:keepNext/>
              <w:spacing w:before="60" w:after="60"/>
              <w:jc w:val="center"/>
              <w:rPr>
                <w:rFonts w:cs="Arial"/>
                <w:sz w:val="20"/>
                <w:szCs w:val="20"/>
              </w:rPr>
            </w:pPr>
            <w:r w:rsidRPr="003A37EC">
              <w:rPr>
                <w:rFonts w:cs="Arial"/>
                <w:sz w:val="20"/>
                <w:szCs w:val="20"/>
              </w:rPr>
              <w:t xml:space="preserve">Sector </w:t>
            </w:r>
          </w:p>
        </w:tc>
        <w:tc>
          <w:tcPr>
            <w:tcW w:w="839" w:type="pct"/>
            <w:shd w:val="clear" w:color="auto" w:fill="D9D9D9" w:themeFill="background1" w:themeFillShade="D9"/>
            <w:vAlign w:val="center"/>
          </w:tcPr>
          <w:p w14:paraId="6D0FC90A" w14:textId="77777777" w:rsidR="00B87109" w:rsidRPr="003A37EC" w:rsidRDefault="00B87109" w:rsidP="00B87109">
            <w:pPr>
              <w:keepNext/>
              <w:spacing w:before="60" w:after="60"/>
              <w:jc w:val="center"/>
              <w:rPr>
                <w:rFonts w:cs="Arial"/>
                <w:sz w:val="20"/>
                <w:szCs w:val="20"/>
              </w:rPr>
            </w:pPr>
            <w:r w:rsidRPr="003A37EC">
              <w:rPr>
                <w:rFonts w:cs="Arial"/>
                <w:sz w:val="20"/>
                <w:szCs w:val="20"/>
              </w:rPr>
              <w:t>Building Type</w:t>
            </w:r>
          </w:p>
        </w:tc>
        <w:tc>
          <w:tcPr>
            <w:tcW w:w="839" w:type="pct"/>
            <w:shd w:val="clear" w:color="auto" w:fill="D9D9D9" w:themeFill="background1" w:themeFillShade="D9"/>
            <w:vAlign w:val="center"/>
          </w:tcPr>
          <w:p w14:paraId="11A07F12" w14:textId="1BF1C269" w:rsidR="00B87109" w:rsidRPr="003A37EC" w:rsidRDefault="00B87109" w:rsidP="00B87109">
            <w:pPr>
              <w:keepNext/>
              <w:spacing w:before="60" w:after="60"/>
              <w:jc w:val="center"/>
              <w:rPr>
                <w:rFonts w:cs="Arial"/>
                <w:sz w:val="20"/>
                <w:szCs w:val="20"/>
              </w:rPr>
            </w:pPr>
            <w:r>
              <w:rPr>
                <w:rFonts w:cs="Arial"/>
                <w:sz w:val="20"/>
                <w:szCs w:val="20"/>
              </w:rPr>
              <w:t>GSIA Value</w:t>
            </w:r>
          </w:p>
        </w:tc>
        <w:tc>
          <w:tcPr>
            <w:tcW w:w="838" w:type="pct"/>
            <w:shd w:val="clear" w:color="auto" w:fill="D9D9D9" w:themeFill="background1" w:themeFillShade="D9"/>
            <w:vAlign w:val="center"/>
          </w:tcPr>
          <w:p w14:paraId="3C7703C4" w14:textId="3A306C5D" w:rsidR="00B87109" w:rsidRPr="003A37EC" w:rsidRDefault="00B87109" w:rsidP="00B87109">
            <w:pPr>
              <w:keepNext/>
              <w:spacing w:before="60" w:after="60"/>
              <w:jc w:val="center"/>
              <w:rPr>
                <w:rFonts w:cs="Arial"/>
                <w:sz w:val="20"/>
                <w:szCs w:val="20"/>
              </w:rPr>
            </w:pPr>
            <w:r w:rsidRPr="003A37EC">
              <w:rPr>
                <w:rFonts w:cs="Arial"/>
                <w:sz w:val="20"/>
                <w:szCs w:val="20"/>
              </w:rPr>
              <w:t>Program Delivery</w:t>
            </w:r>
          </w:p>
        </w:tc>
      </w:tr>
      <w:tr w:rsidR="00F93EA0" w:rsidRPr="003A37EC" w14:paraId="1ABB1A2A" w14:textId="77777777" w:rsidTr="00B87109">
        <w:trPr>
          <w:trHeight w:val="440"/>
        </w:trPr>
        <w:tc>
          <w:tcPr>
            <w:tcW w:w="942" w:type="pct"/>
            <w:shd w:val="clear" w:color="auto" w:fill="auto"/>
            <w:vAlign w:val="center"/>
          </w:tcPr>
          <w:p w14:paraId="493C4A7E" w14:textId="27434199" w:rsidR="00F93EA0" w:rsidRPr="003A37EC" w:rsidRDefault="00F93EA0" w:rsidP="00F93EA0">
            <w:pPr>
              <w:spacing w:before="60" w:after="60"/>
              <w:jc w:val="center"/>
              <w:rPr>
                <w:rFonts w:cs="Arial"/>
                <w:sz w:val="20"/>
                <w:szCs w:val="20"/>
              </w:rPr>
            </w:pPr>
            <w:r w:rsidRPr="001F46FF">
              <w:rPr>
                <w:sz w:val="20"/>
                <w:szCs w:val="20"/>
              </w:rPr>
              <w:t>Def-GSIA</w:t>
            </w:r>
          </w:p>
        </w:tc>
        <w:tc>
          <w:tcPr>
            <w:tcW w:w="699" w:type="pct"/>
            <w:shd w:val="clear" w:color="auto" w:fill="auto"/>
            <w:vAlign w:val="center"/>
          </w:tcPr>
          <w:p w14:paraId="29029273" w14:textId="3BFF081F" w:rsidR="00F93EA0" w:rsidRPr="003A37EC" w:rsidRDefault="00F93EA0" w:rsidP="00F93EA0">
            <w:pPr>
              <w:spacing w:before="60" w:after="60"/>
              <w:jc w:val="center"/>
              <w:rPr>
                <w:rFonts w:cs="Arial"/>
                <w:sz w:val="20"/>
                <w:szCs w:val="20"/>
              </w:rPr>
            </w:pPr>
            <w:r w:rsidRPr="001F46FF">
              <w:rPr>
                <w:sz w:val="20"/>
                <w:szCs w:val="20"/>
              </w:rPr>
              <w:t>Default GSIA values</w:t>
            </w:r>
          </w:p>
        </w:tc>
        <w:tc>
          <w:tcPr>
            <w:tcW w:w="843" w:type="pct"/>
            <w:shd w:val="clear" w:color="auto" w:fill="auto"/>
            <w:vAlign w:val="center"/>
          </w:tcPr>
          <w:p w14:paraId="62B914FA" w14:textId="62B3816A" w:rsidR="00F93EA0" w:rsidRPr="003A37EC" w:rsidRDefault="00F93EA0" w:rsidP="00F93EA0">
            <w:pPr>
              <w:spacing w:before="60" w:after="60"/>
              <w:jc w:val="center"/>
              <w:rPr>
                <w:rFonts w:cs="Arial"/>
                <w:sz w:val="20"/>
                <w:szCs w:val="20"/>
              </w:rPr>
            </w:pPr>
            <w:r w:rsidRPr="001F46FF">
              <w:rPr>
                <w:sz w:val="20"/>
                <w:szCs w:val="20"/>
              </w:rPr>
              <w:t>Any</w:t>
            </w:r>
          </w:p>
        </w:tc>
        <w:tc>
          <w:tcPr>
            <w:tcW w:w="839" w:type="pct"/>
            <w:vAlign w:val="center"/>
          </w:tcPr>
          <w:p w14:paraId="7166946F" w14:textId="7C88BE09" w:rsidR="00F93EA0" w:rsidRPr="003A37EC" w:rsidRDefault="00F93EA0" w:rsidP="00F93EA0">
            <w:pPr>
              <w:spacing w:before="60" w:after="60"/>
              <w:jc w:val="center"/>
              <w:rPr>
                <w:rFonts w:cs="Arial"/>
                <w:sz w:val="20"/>
                <w:szCs w:val="20"/>
              </w:rPr>
            </w:pPr>
            <w:r w:rsidRPr="001F46FF">
              <w:rPr>
                <w:sz w:val="20"/>
                <w:szCs w:val="20"/>
              </w:rPr>
              <w:t>Any</w:t>
            </w:r>
          </w:p>
        </w:tc>
        <w:tc>
          <w:tcPr>
            <w:tcW w:w="839" w:type="pct"/>
            <w:vAlign w:val="center"/>
          </w:tcPr>
          <w:p w14:paraId="07594975" w14:textId="0D4E40CB" w:rsidR="00F93EA0" w:rsidRPr="003A37EC" w:rsidRDefault="00F93EA0" w:rsidP="00F93EA0">
            <w:pPr>
              <w:spacing w:before="60" w:after="60"/>
              <w:jc w:val="center"/>
              <w:rPr>
                <w:rFonts w:cs="Arial"/>
                <w:sz w:val="20"/>
                <w:szCs w:val="20"/>
              </w:rPr>
            </w:pPr>
            <w:r w:rsidRPr="001F46FF">
              <w:rPr>
                <w:sz w:val="20"/>
                <w:szCs w:val="20"/>
              </w:rPr>
              <w:t>1.0</w:t>
            </w:r>
          </w:p>
        </w:tc>
        <w:tc>
          <w:tcPr>
            <w:tcW w:w="838" w:type="pct"/>
            <w:vAlign w:val="center"/>
          </w:tcPr>
          <w:p w14:paraId="4F41C1A9" w14:textId="5B319B09" w:rsidR="00F93EA0" w:rsidRPr="003A37EC" w:rsidRDefault="00F93EA0" w:rsidP="00F93EA0">
            <w:pPr>
              <w:spacing w:before="60" w:after="60"/>
              <w:jc w:val="center"/>
              <w:rPr>
                <w:rFonts w:cs="Arial"/>
                <w:sz w:val="20"/>
                <w:szCs w:val="20"/>
              </w:rPr>
            </w:pPr>
            <w:r w:rsidRPr="001F46FF">
              <w:rPr>
                <w:sz w:val="20"/>
                <w:szCs w:val="20"/>
              </w:rPr>
              <w:t>Any</w:t>
            </w:r>
          </w:p>
        </w:tc>
      </w:tr>
    </w:tbl>
    <w:p w14:paraId="1998E428" w14:textId="77777777" w:rsidR="003A37EC" w:rsidRDefault="003A37EC" w:rsidP="00364DA3">
      <w:pPr>
        <w:ind w:left="630"/>
        <w:rPr>
          <w:rFonts w:cs="Arial"/>
          <w:color w:val="FF0000"/>
          <w:sz w:val="20"/>
          <w:szCs w:val="20"/>
        </w:rPr>
      </w:pPr>
    </w:p>
    <w:p w14:paraId="6B289C6E" w14:textId="41747AFB" w:rsidR="003A37EC" w:rsidRDefault="003A37EC">
      <w:pPr>
        <w:rPr>
          <w:rFonts w:cs="Arial"/>
          <w:b/>
          <w:sz w:val="20"/>
          <w:szCs w:val="20"/>
        </w:rPr>
      </w:pPr>
    </w:p>
    <w:p w14:paraId="57D1634D" w14:textId="116BAF16" w:rsidR="003A37EC" w:rsidRPr="003A37EC" w:rsidRDefault="003A37EC" w:rsidP="003A37EC">
      <w:pPr>
        <w:spacing w:after="60"/>
        <w:ind w:left="630"/>
        <w:rPr>
          <w:rFonts w:cs="Arial"/>
          <w:b/>
          <w:sz w:val="20"/>
          <w:szCs w:val="20"/>
        </w:rPr>
      </w:pPr>
      <w:r w:rsidRPr="003A37EC">
        <w:rPr>
          <w:rFonts w:cs="Arial"/>
          <w:b/>
          <w:sz w:val="20"/>
          <w:szCs w:val="20"/>
        </w:rPr>
        <w:t>READi Technology Fields</w:t>
      </w:r>
    </w:p>
    <w:p w14:paraId="46CC4571" w14:textId="77777777" w:rsidR="001F0D38" w:rsidRDefault="001F0D38" w:rsidP="001F0D38">
      <w:pPr>
        <w:pStyle w:val="Caption"/>
        <w:rPr>
          <w:rFonts w:asciiTheme="minorHAnsi" w:hAnsiTheme="minorHAnsi" w:cstheme="minorHAnsi"/>
          <w:sz w:val="22"/>
          <w:szCs w:val="22"/>
        </w:rPr>
      </w:pPr>
    </w:p>
    <w:p w14:paraId="1FF9A218" w14:textId="3E51F08A" w:rsidR="001F0D38" w:rsidRPr="001F0D38" w:rsidRDefault="001F0D38" w:rsidP="001F0D38">
      <w:pPr>
        <w:pStyle w:val="Caption"/>
        <w:spacing w:after="60"/>
        <w:ind w:firstLine="576"/>
        <w:rPr>
          <w:rFonts w:cs="Arial"/>
        </w:rPr>
      </w:pPr>
      <w:bookmarkStart w:id="42" w:name="_Toc385592675"/>
      <w:r w:rsidRPr="001F0D38">
        <w:rPr>
          <w:rFonts w:cs="Arial"/>
        </w:rPr>
        <w:t xml:space="preserve">Table </w:t>
      </w:r>
      <w:r w:rsidRPr="001F0D38">
        <w:rPr>
          <w:rFonts w:cs="Arial"/>
        </w:rPr>
        <w:fldChar w:fldCharType="begin"/>
      </w:r>
      <w:r w:rsidRPr="001F0D38">
        <w:rPr>
          <w:rFonts w:cs="Arial"/>
        </w:rPr>
        <w:instrText xml:space="preserve"> SEQ Table \* ARABIC </w:instrText>
      </w:r>
      <w:r w:rsidRPr="001F0D38">
        <w:rPr>
          <w:rFonts w:cs="Arial"/>
        </w:rPr>
        <w:fldChar w:fldCharType="separate"/>
      </w:r>
      <w:r w:rsidR="00F6505E">
        <w:rPr>
          <w:rFonts w:cs="Arial"/>
          <w:noProof/>
        </w:rPr>
        <w:t>6</w:t>
      </w:r>
      <w:r w:rsidRPr="001F0D38">
        <w:rPr>
          <w:rFonts w:cs="Arial"/>
        </w:rPr>
        <w:fldChar w:fldCharType="end"/>
      </w:r>
      <w:r w:rsidRPr="001F0D38">
        <w:rPr>
          <w:rFonts w:cs="Arial"/>
        </w:rPr>
        <w:t xml:space="preserve">. </w:t>
      </w:r>
      <w:r w:rsidRPr="001F0D38">
        <w:rPr>
          <w:rFonts w:cs="Arial"/>
          <w:b w:val="0"/>
        </w:rPr>
        <w:t>READi Tech IDs</w:t>
      </w:r>
      <w:bookmarkEnd w:id="42"/>
    </w:p>
    <w:tbl>
      <w:tblPr>
        <w:tblStyle w:val="TableContemporary"/>
        <w:tblW w:w="883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030"/>
      </w:tblGrid>
      <w:tr w:rsidR="001F0D38" w:rsidRPr="001F0D38" w14:paraId="0564FE77" w14:textId="77777777" w:rsidTr="001F0D38">
        <w:trPr>
          <w:cnfStyle w:val="100000000000" w:firstRow="1" w:lastRow="0" w:firstColumn="0" w:lastColumn="0" w:oddVBand="0" w:evenVBand="0" w:oddHBand="0" w:evenHBand="0" w:firstRowFirstColumn="0" w:firstRowLastColumn="0" w:lastRowFirstColumn="0" w:lastRowLastColumn="0"/>
        </w:trPr>
        <w:tc>
          <w:tcPr>
            <w:tcW w:w="2808" w:type="dxa"/>
            <w:shd w:val="clear" w:color="auto" w:fill="BFBFBF" w:themeFill="background1" w:themeFillShade="BF"/>
          </w:tcPr>
          <w:p w14:paraId="47E262B2" w14:textId="77777777" w:rsidR="001F0D38" w:rsidRPr="001F0D38" w:rsidRDefault="001F0D38" w:rsidP="001F0D38">
            <w:pPr>
              <w:pStyle w:val="Reminders"/>
              <w:jc w:val="center"/>
              <w:rPr>
                <w:rFonts w:ascii="Arial" w:hAnsi="Arial" w:cs="Arial"/>
                <w:b w:val="0"/>
                <w:i w:val="0"/>
                <w:color w:val="auto"/>
                <w:sz w:val="20"/>
                <w:szCs w:val="22"/>
              </w:rPr>
            </w:pPr>
            <w:r w:rsidRPr="001F0D38">
              <w:rPr>
                <w:rFonts w:ascii="Arial" w:hAnsi="Arial" w:cs="Arial"/>
                <w:b w:val="0"/>
                <w:i w:val="0"/>
                <w:color w:val="auto"/>
                <w:sz w:val="20"/>
                <w:szCs w:val="22"/>
              </w:rPr>
              <w:t>READi Field Name</w:t>
            </w:r>
          </w:p>
        </w:tc>
        <w:tc>
          <w:tcPr>
            <w:tcW w:w="6030" w:type="dxa"/>
            <w:shd w:val="clear" w:color="auto" w:fill="BFBFBF" w:themeFill="background1" w:themeFillShade="BF"/>
          </w:tcPr>
          <w:p w14:paraId="52F112A4" w14:textId="77777777" w:rsidR="001F0D38" w:rsidRPr="001F0D38" w:rsidRDefault="001F0D38" w:rsidP="001F0D38">
            <w:pPr>
              <w:pStyle w:val="Reminders"/>
              <w:jc w:val="center"/>
              <w:rPr>
                <w:rFonts w:ascii="Arial" w:hAnsi="Arial" w:cs="Arial"/>
                <w:b w:val="0"/>
                <w:i w:val="0"/>
                <w:color w:val="auto"/>
                <w:sz w:val="20"/>
                <w:szCs w:val="22"/>
              </w:rPr>
            </w:pPr>
            <w:r w:rsidRPr="001F0D38">
              <w:rPr>
                <w:rFonts w:ascii="Arial" w:hAnsi="Arial" w:cs="Arial"/>
                <w:b w:val="0"/>
                <w:i w:val="0"/>
                <w:color w:val="auto"/>
                <w:sz w:val="20"/>
                <w:szCs w:val="22"/>
              </w:rPr>
              <w:t>Values included in this workpaper</w:t>
            </w:r>
          </w:p>
        </w:tc>
      </w:tr>
      <w:tr w:rsidR="00F93EA0" w:rsidRPr="001F0D38" w14:paraId="79A81BBF" w14:textId="77777777" w:rsidTr="001F0D38">
        <w:trPr>
          <w:cnfStyle w:val="000000100000" w:firstRow="0" w:lastRow="0" w:firstColumn="0" w:lastColumn="0" w:oddVBand="0" w:evenVBand="0" w:oddHBand="1" w:evenHBand="0" w:firstRowFirstColumn="0" w:firstRowLastColumn="0" w:lastRowFirstColumn="0" w:lastRowLastColumn="0"/>
        </w:trPr>
        <w:tc>
          <w:tcPr>
            <w:tcW w:w="2808" w:type="dxa"/>
            <w:shd w:val="clear" w:color="auto" w:fill="auto"/>
          </w:tcPr>
          <w:p w14:paraId="0E82C964" w14:textId="77777777" w:rsidR="00F93EA0" w:rsidRPr="001F0D38" w:rsidRDefault="00F93EA0" w:rsidP="00F93EA0">
            <w:pPr>
              <w:pStyle w:val="Reminders"/>
              <w:rPr>
                <w:rFonts w:ascii="Arial" w:hAnsi="Arial" w:cs="Arial"/>
                <w:i w:val="0"/>
                <w:color w:val="auto"/>
                <w:sz w:val="20"/>
                <w:szCs w:val="22"/>
              </w:rPr>
            </w:pPr>
            <w:r w:rsidRPr="001F0D38">
              <w:rPr>
                <w:rFonts w:ascii="Arial" w:hAnsi="Arial" w:cs="Arial"/>
                <w:i w:val="0"/>
                <w:color w:val="auto"/>
                <w:sz w:val="20"/>
                <w:szCs w:val="22"/>
              </w:rPr>
              <w:t>Measue Case UseCategory</w:t>
            </w:r>
          </w:p>
        </w:tc>
        <w:tc>
          <w:tcPr>
            <w:tcW w:w="6030" w:type="dxa"/>
            <w:shd w:val="clear" w:color="auto" w:fill="auto"/>
          </w:tcPr>
          <w:p w14:paraId="4A74B09C" w14:textId="06D97399" w:rsidR="00F93EA0" w:rsidRPr="00F93EA0" w:rsidRDefault="00F93EA0" w:rsidP="00F93EA0">
            <w:pPr>
              <w:pStyle w:val="Reminders"/>
              <w:rPr>
                <w:rFonts w:ascii="Arial" w:hAnsi="Arial" w:cs="Arial"/>
                <w:i w:val="0"/>
                <w:color w:val="auto"/>
                <w:sz w:val="20"/>
                <w:szCs w:val="20"/>
              </w:rPr>
            </w:pPr>
            <w:r w:rsidRPr="00F93EA0">
              <w:rPr>
                <w:rFonts w:ascii="Arial" w:hAnsi="Arial" w:cs="Arial"/>
                <w:i w:val="0"/>
                <w:color w:val="auto"/>
                <w:sz w:val="20"/>
                <w:szCs w:val="20"/>
              </w:rPr>
              <w:t>Appliance or Plug Load</w:t>
            </w:r>
          </w:p>
        </w:tc>
      </w:tr>
      <w:tr w:rsidR="00F93EA0" w:rsidRPr="001F0D38" w14:paraId="3BEE9016" w14:textId="77777777" w:rsidTr="001F0D38">
        <w:trPr>
          <w:cnfStyle w:val="000000010000" w:firstRow="0" w:lastRow="0" w:firstColumn="0" w:lastColumn="0" w:oddVBand="0" w:evenVBand="0" w:oddHBand="0" w:evenHBand="1" w:firstRowFirstColumn="0" w:firstRowLastColumn="0" w:lastRowFirstColumn="0" w:lastRowLastColumn="0"/>
        </w:trPr>
        <w:tc>
          <w:tcPr>
            <w:tcW w:w="2808" w:type="dxa"/>
            <w:shd w:val="clear" w:color="auto" w:fill="auto"/>
          </w:tcPr>
          <w:p w14:paraId="413D6EBD" w14:textId="77777777" w:rsidR="00F93EA0" w:rsidRPr="001F0D38" w:rsidRDefault="00F93EA0" w:rsidP="00F93EA0">
            <w:pPr>
              <w:pStyle w:val="Reminders"/>
              <w:rPr>
                <w:rFonts w:ascii="Arial" w:hAnsi="Arial" w:cs="Arial"/>
                <w:i w:val="0"/>
                <w:color w:val="auto"/>
                <w:sz w:val="20"/>
                <w:szCs w:val="22"/>
              </w:rPr>
            </w:pPr>
            <w:r w:rsidRPr="001F0D38">
              <w:rPr>
                <w:rFonts w:ascii="Arial" w:hAnsi="Arial" w:cs="Arial"/>
                <w:i w:val="0"/>
                <w:color w:val="auto"/>
                <w:sz w:val="20"/>
                <w:szCs w:val="22"/>
              </w:rPr>
              <w:t>Measure Case UseSubCats</w:t>
            </w:r>
          </w:p>
        </w:tc>
        <w:tc>
          <w:tcPr>
            <w:tcW w:w="6030" w:type="dxa"/>
            <w:shd w:val="clear" w:color="auto" w:fill="auto"/>
          </w:tcPr>
          <w:p w14:paraId="6CCE2857" w14:textId="5F34570C" w:rsidR="00F93EA0" w:rsidRPr="00F93EA0" w:rsidRDefault="00F93EA0" w:rsidP="00F93EA0">
            <w:pPr>
              <w:pStyle w:val="Reminders"/>
              <w:rPr>
                <w:rFonts w:ascii="Arial" w:hAnsi="Arial" w:cs="Arial"/>
                <w:i w:val="0"/>
                <w:color w:val="auto"/>
                <w:sz w:val="20"/>
                <w:szCs w:val="20"/>
              </w:rPr>
            </w:pPr>
            <w:r w:rsidRPr="00F93EA0">
              <w:rPr>
                <w:rFonts w:ascii="Arial" w:hAnsi="Arial" w:cs="Arial"/>
                <w:i w:val="0"/>
                <w:color w:val="auto"/>
                <w:sz w:val="20"/>
                <w:szCs w:val="20"/>
              </w:rPr>
              <w:t>Consumer Electronics</w:t>
            </w:r>
          </w:p>
        </w:tc>
      </w:tr>
      <w:tr w:rsidR="00F93EA0" w:rsidRPr="001F0D38" w14:paraId="798197FA" w14:textId="77777777" w:rsidTr="001F0D38">
        <w:trPr>
          <w:cnfStyle w:val="000000100000" w:firstRow="0" w:lastRow="0" w:firstColumn="0" w:lastColumn="0" w:oddVBand="0" w:evenVBand="0" w:oddHBand="1" w:evenHBand="0" w:firstRowFirstColumn="0" w:firstRowLastColumn="0" w:lastRowFirstColumn="0" w:lastRowLastColumn="0"/>
        </w:trPr>
        <w:tc>
          <w:tcPr>
            <w:tcW w:w="2808" w:type="dxa"/>
            <w:shd w:val="clear" w:color="auto" w:fill="auto"/>
          </w:tcPr>
          <w:p w14:paraId="4A1A66D8" w14:textId="77777777" w:rsidR="00F93EA0" w:rsidRPr="001F0D38" w:rsidRDefault="00F93EA0" w:rsidP="00F93EA0">
            <w:pPr>
              <w:pStyle w:val="Reminders"/>
              <w:rPr>
                <w:rFonts w:ascii="Arial" w:hAnsi="Arial" w:cs="Arial"/>
                <w:i w:val="0"/>
                <w:color w:val="auto"/>
                <w:sz w:val="20"/>
                <w:szCs w:val="22"/>
              </w:rPr>
            </w:pPr>
            <w:r w:rsidRPr="001F0D38">
              <w:rPr>
                <w:rFonts w:ascii="Arial" w:hAnsi="Arial" w:cs="Arial"/>
                <w:i w:val="0"/>
                <w:color w:val="auto"/>
                <w:sz w:val="20"/>
                <w:szCs w:val="22"/>
              </w:rPr>
              <w:t>Measure Case TechGroups</w:t>
            </w:r>
          </w:p>
        </w:tc>
        <w:tc>
          <w:tcPr>
            <w:tcW w:w="6030" w:type="dxa"/>
            <w:shd w:val="clear" w:color="auto" w:fill="auto"/>
          </w:tcPr>
          <w:p w14:paraId="71E857EA" w14:textId="75FC567A" w:rsidR="00F93EA0" w:rsidRPr="00F93EA0" w:rsidRDefault="00F93EA0" w:rsidP="00F93EA0">
            <w:pPr>
              <w:pStyle w:val="Reminders"/>
              <w:rPr>
                <w:rFonts w:ascii="Arial" w:hAnsi="Arial" w:cs="Arial"/>
                <w:i w:val="0"/>
                <w:color w:val="auto"/>
                <w:sz w:val="20"/>
                <w:szCs w:val="20"/>
              </w:rPr>
            </w:pPr>
            <w:r w:rsidRPr="00F93EA0">
              <w:rPr>
                <w:rFonts w:ascii="Arial" w:hAnsi="Arial" w:cs="Arial"/>
                <w:i w:val="0"/>
                <w:color w:val="auto"/>
                <w:sz w:val="20"/>
                <w:szCs w:val="20"/>
              </w:rPr>
              <w:t>Business and Consumer Electronics</w:t>
            </w:r>
          </w:p>
        </w:tc>
      </w:tr>
      <w:tr w:rsidR="00F93EA0" w:rsidRPr="001F0D38" w14:paraId="708E7BBE" w14:textId="77777777" w:rsidTr="001F0D38">
        <w:trPr>
          <w:cnfStyle w:val="000000010000" w:firstRow="0" w:lastRow="0" w:firstColumn="0" w:lastColumn="0" w:oddVBand="0" w:evenVBand="0" w:oddHBand="0" w:evenHBand="1" w:firstRowFirstColumn="0" w:firstRowLastColumn="0" w:lastRowFirstColumn="0" w:lastRowLastColumn="0"/>
        </w:trPr>
        <w:tc>
          <w:tcPr>
            <w:tcW w:w="2808" w:type="dxa"/>
            <w:shd w:val="clear" w:color="auto" w:fill="auto"/>
          </w:tcPr>
          <w:p w14:paraId="7BB04847" w14:textId="77777777" w:rsidR="00F93EA0" w:rsidRPr="001F0D38" w:rsidRDefault="00F93EA0" w:rsidP="00F93EA0">
            <w:pPr>
              <w:pStyle w:val="Reminders"/>
              <w:rPr>
                <w:rFonts w:ascii="Arial" w:hAnsi="Arial" w:cs="Arial"/>
                <w:i w:val="0"/>
                <w:color w:val="auto"/>
                <w:sz w:val="20"/>
                <w:szCs w:val="22"/>
              </w:rPr>
            </w:pPr>
            <w:r w:rsidRPr="001F0D38">
              <w:rPr>
                <w:rFonts w:ascii="Arial" w:hAnsi="Arial" w:cs="Arial"/>
                <w:i w:val="0"/>
                <w:color w:val="auto"/>
                <w:sz w:val="20"/>
                <w:szCs w:val="22"/>
              </w:rPr>
              <w:t>Measure Case TechTypes</w:t>
            </w:r>
          </w:p>
        </w:tc>
        <w:tc>
          <w:tcPr>
            <w:tcW w:w="6030" w:type="dxa"/>
            <w:shd w:val="clear" w:color="auto" w:fill="auto"/>
          </w:tcPr>
          <w:p w14:paraId="34D1D2BD" w14:textId="6C8E6E78" w:rsidR="00F93EA0" w:rsidRPr="00F93EA0" w:rsidRDefault="00F93EA0" w:rsidP="00F93EA0">
            <w:pPr>
              <w:pStyle w:val="Reminders"/>
              <w:rPr>
                <w:rFonts w:ascii="Arial" w:hAnsi="Arial" w:cs="Arial"/>
                <w:i w:val="0"/>
                <w:color w:val="auto"/>
                <w:sz w:val="20"/>
                <w:szCs w:val="20"/>
              </w:rPr>
            </w:pPr>
            <w:r w:rsidRPr="00F93EA0">
              <w:rPr>
                <w:rFonts w:ascii="Arial" w:hAnsi="Arial" w:cs="Arial"/>
                <w:i w:val="0"/>
                <w:color w:val="auto"/>
                <w:sz w:val="20"/>
                <w:szCs w:val="20"/>
              </w:rPr>
              <w:t>All Equipment</w:t>
            </w:r>
          </w:p>
        </w:tc>
      </w:tr>
      <w:tr w:rsidR="00F93EA0" w:rsidRPr="001F0D38" w14:paraId="67E77A4B" w14:textId="77777777" w:rsidTr="001F0D38">
        <w:trPr>
          <w:cnfStyle w:val="000000100000" w:firstRow="0" w:lastRow="0" w:firstColumn="0" w:lastColumn="0" w:oddVBand="0" w:evenVBand="0" w:oddHBand="1" w:evenHBand="0" w:firstRowFirstColumn="0" w:firstRowLastColumn="0" w:lastRowFirstColumn="0" w:lastRowLastColumn="0"/>
        </w:trPr>
        <w:tc>
          <w:tcPr>
            <w:tcW w:w="2808" w:type="dxa"/>
            <w:shd w:val="clear" w:color="auto" w:fill="auto"/>
          </w:tcPr>
          <w:p w14:paraId="252E151F" w14:textId="77777777" w:rsidR="00F93EA0" w:rsidRPr="001F0D38" w:rsidRDefault="00F93EA0" w:rsidP="00F93EA0">
            <w:pPr>
              <w:pStyle w:val="Reminders"/>
              <w:rPr>
                <w:rFonts w:ascii="Arial" w:hAnsi="Arial" w:cs="Arial"/>
                <w:i w:val="0"/>
                <w:color w:val="auto"/>
                <w:sz w:val="20"/>
                <w:szCs w:val="22"/>
              </w:rPr>
            </w:pPr>
            <w:r w:rsidRPr="001F0D38">
              <w:rPr>
                <w:rFonts w:ascii="Arial" w:hAnsi="Arial" w:cs="Arial"/>
                <w:i w:val="0"/>
                <w:color w:val="auto"/>
                <w:sz w:val="20"/>
                <w:szCs w:val="22"/>
              </w:rPr>
              <w:t>Base Case TechGroups</w:t>
            </w:r>
          </w:p>
        </w:tc>
        <w:tc>
          <w:tcPr>
            <w:tcW w:w="6030" w:type="dxa"/>
            <w:shd w:val="clear" w:color="auto" w:fill="auto"/>
          </w:tcPr>
          <w:p w14:paraId="73ED0BB8" w14:textId="2F30DE04" w:rsidR="00F93EA0" w:rsidRPr="00F93EA0" w:rsidRDefault="00F93EA0" w:rsidP="00F93EA0">
            <w:pPr>
              <w:pStyle w:val="Reminders"/>
              <w:rPr>
                <w:rFonts w:ascii="Arial" w:hAnsi="Arial" w:cs="Arial"/>
                <w:i w:val="0"/>
                <w:color w:val="auto"/>
                <w:sz w:val="20"/>
                <w:szCs w:val="20"/>
              </w:rPr>
            </w:pPr>
            <w:r w:rsidRPr="00F93EA0">
              <w:rPr>
                <w:rFonts w:ascii="Arial" w:hAnsi="Arial" w:cs="Arial"/>
                <w:i w:val="0"/>
                <w:color w:val="auto"/>
                <w:sz w:val="20"/>
                <w:szCs w:val="20"/>
              </w:rPr>
              <w:t>Business and Consumer Electronics</w:t>
            </w:r>
          </w:p>
        </w:tc>
      </w:tr>
      <w:tr w:rsidR="00F93EA0" w:rsidRPr="001F0D38" w14:paraId="7EBDF956" w14:textId="77777777" w:rsidTr="001F0D38">
        <w:trPr>
          <w:cnfStyle w:val="000000010000" w:firstRow="0" w:lastRow="0" w:firstColumn="0" w:lastColumn="0" w:oddVBand="0" w:evenVBand="0" w:oddHBand="0" w:evenHBand="1" w:firstRowFirstColumn="0" w:firstRowLastColumn="0" w:lastRowFirstColumn="0" w:lastRowLastColumn="0"/>
        </w:trPr>
        <w:tc>
          <w:tcPr>
            <w:tcW w:w="2808" w:type="dxa"/>
            <w:shd w:val="clear" w:color="auto" w:fill="auto"/>
          </w:tcPr>
          <w:p w14:paraId="364B712E" w14:textId="77777777" w:rsidR="00F93EA0" w:rsidRPr="001F0D38" w:rsidRDefault="00F93EA0" w:rsidP="00F93EA0">
            <w:pPr>
              <w:pStyle w:val="Reminders"/>
              <w:rPr>
                <w:rFonts w:ascii="Arial" w:hAnsi="Arial" w:cs="Arial"/>
                <w:i w:val="0"/>
                <w:color w:val="auto"/>
                <w:sz w:val="20"/>
                <w:szCs w:val="22"/>
              </w:rPr>
            </w:pPr>
            <w:r w:rsidRPr="001F0D38">
              <w:rPr>
                <w:rFonts w:ascii="Arial" w:hAnsi="Arial" w:cs="Arial"/>
                <w:i w:val="0"/>
                <w:color w:val="auto"/>
                <w:sz w:val="20"/>
                <w:szCs w:val="22"/>
              </w:rPr>
              <w:lastRenderedPageBreak/>
              <w:t>Base Case TechTypes</w:t>
            </w:r>
          </w:p>
        </w:tc>
        <w:tc>
          <w:tcPr>
            <w:tcW w:w="6030" w:type="dxa"/>
            <w:shd w:val="clear" w:color="auto" w:fill="auto"/>
          </w:tcPr>
          <w:p w14:paraId="0741B4B3" w14:textId="00C21301" w:rsidR="00F93EA0" w:rsidRPr="00F93EA0" w:rsidRDefault="00F93EA0" w:rsidP="00F93EA0">
            <w:pPr>
              <w:pStyle w:val="Reminders"/>
              <w:rPr>
                <w:rFonts w:ascii="Arial" w:hAnsi="Arial" w:cs="Arial"/>
                <w:i w:val="0"/>
                <w:color w:val="auto"/>
                <w:sz w:val="20"/>
                <w:szCs w:val="20"/>
              </w:rPr>
            </w:pPr>
            <w:r w:rsidRPr="00F93EA0">
              <w:rPr>
                <w:rFonts w:ascii="Arial" w:hAnsi="Arial" w:cs="Arial"/>
                <w:i w:val="0"/>
                <w:color w:val="auto"/>
                <w:sz w:val="20"/>
                <w:szCs w:val="20"/>
              </w:rPr>
              <w:t>All Equipment</w:t>
            </w:r>
          </w:p>
        </w:tc>
      </w:tr>
    </w:tbl>
    <w:p w14:paraId="7CC705C6" w14:textId="4A4B8B12" w:rsidR="00777C1F" w:rsidRPr="00FB6F32" w:rsidRDefault="00E71EF1" w:rsidP="00F81AAE">
      <w:pPr>
        <w:pStyle w:val="Heading3-CalTFStyle31"/>
      </w:pPr>
      <w:bookmarkStart w:id="43" w:name="_Toc304800206"/>
      <w:bookmarkStart w:id="44" w:name="_Toc324318342"/>
      <w:bookmarkStart w:id="45" w:name="_Toc324340486"/>
      <w:bookmarkStart w:id="46" w:name="_Toc385592987"/>
      <w:r w:rsidRPr="00FB6F32">
        <w:t xml:space="preserve">Codes &amp; Standards Requirements </w:t>
      </w:r>
      <w:r w:rsidR="009C5CA7" w:rsidRPr="00FB6F32">
        <w:t>Base Case and Measure Information</w:t>
      </w:r>
      <w:bookmarkEnd w:id="43"/>
      <w:bookmarkEnd w:id="44"/>
      <w:bookmarkEnd w:id="45"/>
      <w:bookmarkEnd w:id="46"/>
    </w:p>
    <w:p w14:paraId="17280654" w14:textId="77777777" w:rsidR="00F93EA0" w:rsidRPr="00F93EA0" w:rsidRDefault="00F93EA0" w:rsidP="00F93EA0">
      <w:pPr>
        <w:ind w:left="630"/>
        <w:rPr>
          <w:rFonts w:cs="Arial"/>
          <w:sz w:val="20"/>
          <w:szCs w:val="20"/>
        </w:rPr>
      </w:pPr>
      <w:r w:rsidRPr="00F93EA0">
        <w:rPr>
          <w:rFonts w:cs="Arial"/>
          <w:b/>
          <w:sz w:val="20"/>
          <w:szCs w:val="20"/>
        </w:rPr>
        <w:t xml:space="preserve">Title 20: </w:t>
      </w:r>
      <w:r w:rsidRPr="00F93EA0">
        <w:rPr>
          <w:rFonts w:cs="Arial"/>
          <w:sz w:val="20"/>
          <w:szCs w:val="20"/>
        </w:rPr>
        <w:t>The measures in this work paper are not covered by the 2014 Title 20 code [422].</w:t>
      </w:r>
    </w:p>
    <w:p w14:paraId="7587857A" w14:textId="77777777" w:rsidR="00F93EA0" w:rsidRPr="00F93EA0" w:rsidRDefault="00F93EA0" w:rsidP="00F93EA0">
      <w:pPr>
        <w:ind w:left="630"/>
        <w:rPr>
          <w:rFonts w:cs="Arial"/>
          <w:sz w:val="20"/>
          <w:szCs w:val="20"/>
        </w:rPr>
      </w:pPr>
    </w:p>
    <w:p w14:paraId="393A0CA2" w14:textId="6B1885AA" w:rsidR="00640BB6" w:rsidRPr="00F93EA0" w:rsidRDefault="00F93EA0" w:rsidP="00F93EA0">
      <w:pPr>
        <w:ind w:left="630"/>
        <w:rPr>
          <w:rFonts w:cs="Arial"/>
          <w:sz w:val="20"/>
          <w:szCs w:val="20"/>
        </w:rPr>
      </w:pPr>
      <w:r w:rsidRPr="00F93EA0">
        <w:rPr>
          <w:rFonts w:cs="Arial"/>
          <w:b/>
          <w:sz w:val="20"/>
          <w:szCs w:val="20"/>
        </w:rPr>
        <w:t xml:space="preserve">Title 24: </w:t>
      </w:r>
      <w:r w:rsidRPr="00F93EA0">
        <w:rPr>
          <w:rFonts w:cs="Arial"/>
          <w:sz w:val="20"/>
          <w:szCs w:val="20"/>
        </w:rPr>
        <w:t>The measures in this work paper are not covered by the 2013 Title 24 code [355].</w:t>
      </w:r>
    </w:p>
    <w:p w14:paraId="73EA9A4E" w14:textId="77777777" w:rsidR="00086F2F" w:rsidRPr="00572817" w:rsidRDefault="00086F2F" w:rsidP="00364DA3">
      <w:pPr>
        <w:ind w:left="630"/>
        <w:rPr>
          <w:rFonts w:cs="Arial"/>
          <w:sz w:val="20"/>
          <w:szCs w:val="20"/>
        </w:rPr>
      </w:pPr>
    </w:p>
    <w:p w14:paraId="60D6FFE7" w14:textId="77777777" w:rsidR="00F93EA0" w:rsidRPr="00F93EA0" w:rsidRDefault="00086F2F" w:rsidP="00F93EA0">
      <w:pPr>
        <w:pStyle w:val="Reminders"/>
        <w:ind w:left="630"/>
        <w:rPr>
          <w:rFonts w:ascii="Arial" w:hAnsi="Arial" w:cs="Arial"/>
          <w:i w:val="0"/>
          <w:color w:val="auto"/>
          <w:sz w:val="20"/>
          <w:szCs w:val="20"/>
        </w:rPr>
      </w:pPr>
      <w:r w:rsidRPr="00F93EA0">
        <w:rPr>
          <w:rFonts w:ascii="Arial" w:eastAsia="Times New Roman" w:hAnsi="Arial" w:cs="Arial"/>
          <w:b/>
          <w:i w:val="0"/>
          <w:color w:val="auto"/>
          <w:sz w:val="20"/>
          <w:szCs w:val="20"/>
        </w:rPr>
        <w:t>Federal Standards:</w:t>
      </w:r>
      <w:r w:rsidRPr="00572817">
        <w:rPr>
          <w:rFonts w:cs="Arial"/>
          <w:sz w:val="20"/>
          <w:szCs w:val="20"/>
        </w:rPr>
        <w:t xml:space="preserve"> </w:t>
      </w:r>
      <w:r w:rsidR="00F93EA0" w:rsidRPr="00F93EA0">
        <w:rPr>
          <w:rFonts w:ascii="Arial" w:hAnsi="Arial" w:cs="Arial"/>
          <w:i w:val="0"/>
          <w:color w:val="auto"/>
          <w:sz w:val="20"/>
          <w:szCs w:val="20"/>
        </w:rPr>
        <w:t>Energy Star does, however, set Total Energy Consumption limits on different types of set top boxes along with the features listed above. These TEC values are found in their specifications (V4.1, V3.0, and V2.0). As an example, the TEC values from Energy Star V4.1 can be seen below:</w:t>
      </w:r>
    </w:p>
    <w:p w14:paraId="332430C9" w14:textId="77777777" w:rsidR="00F93EA0" w:rsidRPr="00F93EA0" w:rsidRDefault="00F93EA0" w:rsidP="00F93EA0">
      <w:pPr>
        <w:pStyle w:val="Reminders"/>
        <w:rPr>
          <w:rFonts w:ascii="Arial" w:hAnsi="Arial" w:cs="Arial"/>
          <w:i w:val="0"/>
          <w:color w:val="auto"/>
          <w:sz w:val="20"/>
          <w:szCs w:val="20"/>
        </w:rPr>
      </w:pPr>
    </w:p>
    <w:p w14:paraId="0E707021" w14:textId="77777777" w:rsidR="00F93EA0" w:rsidRPr="00F93EA0" w:rsidRDefault="00F93EA0" w:rsidP="00F93EA0">
      <w:pPr>
        <w:pStyle w:val="Reminders"/>
        <w:rPr>
          <w:rFonts w:ascii="Arial" w:hAnsi="Arial" w:cs="Arial"/>
          <w:i w:val="0"/>
          <w:sz w:val="20"/>
          <w:szCs w:val="20"/>
        </w:rPr>
      </w:pPr>
    </w:p>
    <w:p w14:paraId="0A8A650D" w14:textId="77777777" w:rsidR="00F93EA0" w:rsidRPr="00F93EA0" w:rsidRDefault="00F93EA0" w:rsidP="00F93EA0">
      <w:pPr>
        <w:pStyle w:val="Reminders"/>
        <w:keepNext/>
        <w:jc w:val="center"/>
        <w:rPr>
          <w:rFonts w:ascii="Arial" w:hAnsi="Arial" w:cs="Arial"/>
          <w:sz w:val="20"/>
          <w:szCs w:val="20"/>
        </w:rPr>
      </w:pPr>
      <w:r w:rsidRPr="00F93EA0">
        <w:rPr>
          <w:rFonts w:ascii="Arial" w:hAnsi="Arial" w:cs="Arial"/>
          <w:i w:val="0"/>
          <w:noProof/>
          <w:sz w:val="20"/>
          <w:szCs w:val="20"/>
        </w:rPr>
        <w:drawing>
          <wp:inline distT="0" distB="0" distL="0" distR="0" wp14:anchorId="45721E79" wp14:editId="4607EB16">
            <wp:extent cx="3716593" cy="1976284"/>
            <wp:effectExtent l="0" t="0" r="0" b="508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25">
                      <a:extLst>
                        <a:ext uri="{28A0092B-C50C-407E-A947-70E740481C1C}">
                          <a14:useLocalDpi xmlns:a14="http://schemas.microsoft.com/office/drawing/2010/main" val="0"/>
                        </a:ext>
                      </a:extLst>
                    </a:blip>
                    <a:srcRect l="35045" t="40659" r="36391" b="30840"/>
                    <a:stretch/>
                  </pic:blipFill>
                  <pic:spPr bwMode="auto">
                    <a:xfrm>
                      <a:off x="0" y="0"/>
                      <a:ext cx="3716593" cy="1976284"/>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7A536D00" w14:textId="77777777" w:rsidR="00F93EA0" w:rsidRPr="00F93EA0" w:rsidRDefault="00F93EA0" w:rsidP="00F93EA0">
      <w:pPr>
        <w:pStyle w:val="Caption"/>
        <w:jc w:val="center"/>
        <w:rPr>
          <w:rFonts w:cs="Arial"/>
          <w:i/>
        </w:rPr>
      </w:pPr>
      <w:bookmarkStart w:id="47" w:name="_Ref416678948"/>
      <w:r w:rsidRPr="00F93EA0">
        <w:rPr>
          <w:rFonts w:cs="Arial"/>
        </w:rPr>
        <w:t xml:space="preserve">Figure </w:t>
      </w:r>
      <w:r w:rsidRPr="00F93EA0">
        <w:rPr>
          <w:rFonts w:cs="Arial"/>
        </w:rPr>
        <w:fldChar w:fldCharType="begin"/>
      </w:r>
      <w:r w:rsidRPr="00F93EA0">
        <w:rPr>
          <w:rFonts w:cs="Arial"/>
        </w:rPr>
        <w:instrText xml:space="preserve"> SEQ Figure \* ARABIC </w:instrText>
      </w:r>
      <w:r w:rsidRPr="00F93EA0">
        <w:rPr>
          <w:rFonts w:cs="Arial"/>
        </w:rPr>
        <w:fldChar w:fldCharType="separate"/>
      </w:r>
      <w:r w:rsidRPr="00F93EA0">
        <w:rPr>
          <w:rFonts w:cs="Arial"/>
          <w:noProof/>
        </w:rPr>
        <w:t>1</w:t>
      </w:r>
      <w:r w:rsidRPr="00F93EA0">
        <w:rPr>
          <w:rFonts w:cs="Arial"/>
          <w:noProof/>
        </w:rPr>
        <w:fldChar w:fldCharType="end"/>
      </w:r>
      <w:bookmarkEnd w:id="47"/>
      <w:r w:rsidRPr="00F93EA0">
        <w:rPr>
          <w:rFonts w:cs="Arial"/>
        </w:rPr>
        <w:t xml:space="preserve"> Energy Star 4.0 Base Type TEC Allowance</w:t>
      </w:r>
    </w:p>
    <w:p w14:paraId="6D898B90" w14:textId="77777777" w:rsidR="00F93EA0" w:rsidRPr="00F93EA0" w:rsidRDefault="00F93EA0" w:rsidP="00F93EA0">
      <w:pPr>
        <w:pStyle w:val="Reminders"/>
        <w:rPr>
          <w:rFonts w:ascii="Arial" w:hAnsi="Arial" w:cs="Arial"/>
          <w:i w:val="0"/>
          <w:sz w:val="20"/>
          <w:szCs w:val="20"/>
        </w:rPr>
      </w:pPr>
    </w:p>
    <w:p w14:paraId="50BC092D" w14:textId="77777777" w:rsidR="00F93EA0" w:rsidRPr="00F93EA0" w:rsidRDefault="00F93EA0" w:rsidP="00F93EA0">
      <w:pPr>
        <w:pStyle w:val="Reminders"/>
        <w:keepNext/>
        <w:jc w:val="center"/>
        <w:rPr>
          <w:rFonts w:ascii="Arial" w:hAnsi="Arial" w:cs="Arial"/>
          <w:sz w:val="20"/>
          <w:szCs w:val="20"/>
        </w:rPr>
      </w:pPr>
      <w:r w:rsidRPr="00F93EA0">
        <w:rPr>
          <w:rFonts w:ascii="Arial" w:hAnsi="Arial" w:cs="Arial"/>
          <w:i w:val="0"/>
          <w:noProof/>
          <w:sz w:val="20"/>
          <w:szCs w:val="20"/>
        </w:rPr>
        <w:lastRenderedPageBreak/>
        <w:drawing>
          <wp:inline distT="0" distB="0" distL="0" distR="0" wp14:anchorId="38D290BF" wp14:editId="0107BC7E">
            <wp:extent cx="4026309" cy="4350775"/>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26">
                      <a:extLst>
                        <a:ext uri="{28A0092B-C50C-407E-A947-70E740481C1C}">
                          <a14:useLocalDpi xmlns:a14="http://schemas.microsoft.com/office/drawing/2010/main" val="0"/>
                        </a:ext>
                      </a:extLst>
                    </a:blip>
                    <a:srcRect l="33911" t="20461" r="35144" b="16795"/>
                    <a:stretch/>
                  </pic:blipFill>
                  <pic:spPr bwMode="auto">
                    <a:xfrm>
                      <a:off x="0" y="0"/>
                      <a:ext cx="4026309" cy="43507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58B8D28C" w14:textId="77777777" w:rsidR="00F93EA0" w:rsidRPr="00F93EA0" w:rsidRDefault="00F93EA0" w:rsidP="00F93EA0">
      <w:pPr>
        <w:pStyle w:val="Caption"/>
        <w:jc w:val="center"/>
        <w:rPr>
          <w:rFonts w:cs="Arial"/>
          <w:i/>
        </w:rPr>
      </w:pPr>
      <w:bookmarkStart w:id="48" w:name="_Ref416678950"/>
      <w:r w:rsidRPr="00F93EA0">
        <w:rPr>
          <w:rFonts w:cs="Arial"/>
        </w:rPr>
        <w:t xml:space="preserve">Figure </w:t>
      </w:r>
      <w:r w:rsidRPr="00F93EA0">
        <w:rPr>
          <w:rFonts w:cs="Arial"/>
        </w:rPr>
        <w:fldChar w:fldCharType="begin"/>
      </w:r>
      <w:r w:rsidRPr="00F93EA0">
        <w:rPr>
          <w:rFonts w:cs="Arial"/>
        </w:rPr>
        <w:instrText xml:space="preserve"> SEQ Figure \* ARABIC </w:instrText>
      </w:r>
      <w:r w:rsidRPr="00F93EA0">
        <w:rPr>
          <w:rFonts w:cs="Arial"/>
        </w:rPr>
        <w:fldChar w:fldCharType="separate"/>
      </w:r>
      <w:r w:rsidRPr="00F93EA0">
        <w:rPr>
          <w:rFonts w:cs="Arial"/>
          <w:noProof/>
        </w:rPr>
        <w:t>2</w:t>
      </w:r>
      <w:r w:rsidRPr="00F93EA0">
        <w:rPr>
          <w:rFonts w:cs="Arial"/>
          <w:noProof/>
        </w:rPr>
        <w:fldChar w:fldCharType="end"/>
      </w:r>
      <w:bookmarkEnd w:id="48"/>
      <w:r w:rsidRPr="00F93EA0">
        <w:rPr>
          <w:rFonts w:cs="Arial"/>
        </w:rPr>
        <w:t xml:space="preserve"> Energy Star 4.0 Additional Functionality TEC Allowance</w:t>
      </w:r>
    </w:p>
    <w:p w14:paraId="66C06BF2" w14:textId="4C688584" w:rsidR="00F93EA0" w:rsidRDefault="00F93EA0" w:rsidP="00364DA3">
      <w:pPr>
        <w:ind w:left="630"/>
        <w:rPr>
          <w:rFonts w:cs="Arial"/>
          <w:sz w:val="20"/>
          <w:szCs w:val="20"/>
        </w:rPr>
      </w:pPr>
    </w:p>
    <w:p w14:paraId="393A0DB6" w14:textId="450B193F" w:rsidR="00432C65" w:rsidRPr="00271E01" w:rsidRDefault="00F84BD3" w:rsidP="00F81AAE">
      <w:pPr>
        <w:pStyle w:val="Heading3-CalTFStyle31"/>
      </w:pPr>
      <w:bookmarkStart w:id="49" w:name="_Toc385592988"/>
      <w:r w:rsidRPr="00271E01">
        <w:t>Relevant EM&amp;V Studies</w:t>
      </w:r>
      <w:bookmarkEnd w:id="49"/>
    </w:p>
    <w:p w14:paraId="3975C569" w14:textId="77777777" w:rsidR="00F67D57" w:rsidRDefault="00F67D57" w:rsidP="00F67D57">
      <w:pPr>
        <w:ind w:left="630"/>
        <w:rPr>
          <w:rFonts w:cs="Arial"/>
          <w:sz w:val="20"/>
          <w:szCs w:val="20"/>
        </w:rPr>
      </w:pPr>
      <w:r w:rsidRPr="00F67D57">
        <w:rPr>
          <w:rFonts w:cs="Arial"/>
          <w:sz w:val="20"/>
          <w:szCs w:val="20"/>
        </w:rPr>
        <w:t>Another study was performed by SCE’s M&amp;E team [B], wherein Research into Action investigated the market to gauge the potential of offering incentives in order to increase the adoption of Energy Star 3.0 and Energy Star 4.0 boxes. The study had three research objectives:</w:t>
      </w:r>
    </w:p>
    <w:p w14:paraId="0BA2E607" w14:textId="77777777" w:rsidR="00F67D57" w:rsidRPr="00F67D57" w:rsidRDefault="00F67D57" w:rsidP="00F67D57">
      <w:pPr>
        <w:ind w:left="630"/>
        <w:rPr>
          <w:rFonts w:cs="Arial"/>
          <w:sz w:val="20"/>
          <w:szCs w:val="20"/>
        </w:rPr>
      </w:pPr>
    </w:p>
    <w:p w14:paraId="762331B2" w14:textId="77777777" w:rsidR="00F67D57" w:rsidRPr="00F67D57" w:rsidRDefault="00F67D57" w:rsidP="00F67D57">
      <w:pPr>
        <w:ind w:left="630"/>
        <w:rPr>
          <w:rFonts w:cs="Arial"/>
          <w:sz w:val="20"/>
          <w:szCs w:val="20"/>
        </w:rPr>
      </w:pPr>
      <w:r w:rsidRPr="00F67D57">
        <w:rPr>
          <w:rFonts w:cs="Arial"/>
          <w:sz w:val="20"/>
          <w:szCs w:val="20"/>
        </w:rPr>
        <w:t>•</w:t>
      </w:r>
      <w:r w:rsidRPr="00F67D57">
        <w:rPr>
          <w:rFonts w:cs="Arial"/>
          <w:sz w:val="20"/>
          <w:szCs w:val="20"/>
        </w:rPr>
        <w:tab/>
        <w:t xml:space="preserve">Evaluating the performance of the experimental pilot; </w:t>
      </w:r>
    </w:p>
    <w:p w14:paraId="3F3670BA" w14:textId="77777777" w:rsidR="00F67D57" w:rsidRPr="00F67D57" w:rsidRDefault="00F67D57" w:rsidP="00F67D57">
      <w:pPr>
        <w:ind w:left="630"/>
        <w:rPr>
          <w:rFonts w:cs="Arial"/>
          <w:sz w:val="20"/>
          <w:szCs w:val="20"/>
        </w:rPr>
      </w:pPr>
      <w:r w:rsidRPr="00F67D57">
        <w:rPr>
          <w:rFonts w:cs="Arial"/>
          <w:sz w:val="20"/>
          <w:szCs w:val="20"/>
        </w:rPr>
        <w:t>•</w:t>
      </w:r>
      <w:r w:rsidRPr="00F67D57">
        <w:rPr>
          <w:rFonts w:cs="Arial"/>
          <w:sz w:val="20"/>
          <w:szCs w:val="20"/>
        </w:rPr>
        <w:tab/>
        <w:t xml:space="preserve">Examining literature and available data on the STB market in California and SCE territory; and </w:t>
      </w:r>
    </w:p>
    <w:p w14:paraId="268F5B2D" w14:textId="77777777" w:rsidR="00F67D57" w:rsidRPr="00F67D57" w:rsidRDefault="00F67D57" w:rsidP="00F67D57">
      <w:pPr>
        <w:ind w:left="630"/>
        <w:rPr>
          <w:rFonts w:cs="Arial"/>
          <w:sz w:val="20"/>
          <w:szCs w:val="20"/>
        </w:rPr>
      </w:pPr>
      <w:r w:rsidRPr="00F67D57">
        <w:rPr>
          <w:rFonts w:cs="Arial"/>
          <w:sz w:val="20"/>
          <w:szCs w:val="20"/>
        </w:rPr>
        <w:t>•</w:t>
      </w:r>
      <w:r w:rsidRPr="00F67D57">
        <w:rPr>
          <w:rFonts w:cs="Arial"/>
          <w:sz w:val="20"/>
          <w:szCs w:val="20"/>
        </w:rPr>
        <w:tab/>
        <w:t>Estimate the technical and achievable energy savings potential of replacing less efficient STBs with energy-efficient models in installed base of STBs in SCE territory.</w:t>
      </w:r>
    </w:p>
    <w:p w14:paraId="64A98B63" w14:textId="77777777" w:rsidR="00F67D57" w:rsidRPr="00F67D57" w:rsidRDefault="00F67D57" w:rsidP="00F67D57">
      <w:pPr>
        <w:ind w:left="630"/>
        <w:rPr>
          <w:rFonts w:cs="Arial"/>
          <w:sz w:val="20"/>
          <w:szCs w:val="20"/>
        </w:rPr>
      </w:pPr>
    </w:p>
    <w:p w14:paraId="55F11612" w14:textId="57553E17" w:rsidR="00F67D57" w:rsidRPr="00F67D57" w:rsidRDefault="00F67D57" w:rsidP="00F67D57">
      <w:pPr>
        <w:ind w:left="630"/>
        <w:rPr>
          <w:rFonts w:cs="Arial"/>
          <w:sz w:val="20"/>
          <w:szCs w:val="20"/>
        </w:rPr>
      </w:pPr>
      <w:r w:rsidRPr="00F67D57">
        <w:rPr>
          <w:rFonts w:cs="Arial"/>
          <w:sz w:val="20"/>
          <w:szCs w:val="20"/>
        </w:rPr>
        <w:t>One of the key findings of the study was that SCE’s Set Top Box pilot upgrade offer was effective in stimulating update of efficient boxes. It was found that the experimental group (those which received the set top box upgrade offer) upgraded their STBs at an eleven times higher rate than the control group. This finding shows that SCE’s program did motivate customers to upgrade their equipment to more energy efficient models.</w:t>
      </w:r>
    </w:p>
    <w:p w14:paraId="1CE891F3" w14:textId="77777777" w:rsidR="00F67D57" w:rsidRDefault="00F67D57" w:rsidP="00364DA3">
      <w:pPr>
        <w:ind w:left="630"/>
        <w:rPr>
          <w:rFonts w:cs="Arial"/>
          <w:color w:val="FF0000"/>
          <w:sz w:val="20"/>
          <w:szCs w:val="20"/>
        </w:rPr>
      </w:pPr>
    </w:p>
    <w:p w14:paraId="3BBE0050" w14:textId="4D892665" w:rsidR="00364DA3" w:rsidRPr="00271E01" w:rsidRDefault="00785970" w:rsidP="00F81AAE">
      <w:pPr>
        <w:pStyle w:val="Heading3-CalTFStyle31"/>
      </w:pPr>
      <w:bookmarkStart w:id="50" w:name="_Toc385592989"/>
      <w:r w:rsidRPr="00271E01">
        <w:t>Relevant</w:t>
      </w:r>
      <w:r w:rsidR="00364DA3" w:rsidRPr="00271E01">
        <w:t xml:space="preserve"> Workpaper Dispositions</w:t>
      </w:r>
      <w:bookmarkEnd w:id="50"/>
    </w:p>
    <w:p w14:paraId="51F90426" w14:textId="242665B8" w:rsidR="00364DA3" w:rsidRPr="001F0D38" w:rsidRDefault="00F67D57" w:rsidP="00364DA3">
      <w:pPr>
        <w:ind w:left="630"/>
        <w:rPr>
          <w:rFonts w:cs="Arial"/>
          <w:color w:val="FF0000"/>
          <w:sz w:val="20"/>
          <w:szCs w:val="20"/>
        </w:rPr>
      </w:pPr>
      <w:r w:rsidRPr="00733F3C">
        <w:rPr>
          <w:rFonts w:cs="Arial"/>
          <w:sz w:val="20"/>
          <w:szCs w:val="20"/>
        </w:rPr>
        <w:t>There have been no dispositions on this work paper or any similar work paper.</w:t>
      </w:r>
      <w:r w:rsidR="00785970" w:rsidRPr="001F0D38">
        <w:rPr>
          <w:rFonts w:cs="Arial"/>
          <w:color w:val="FF0000"/>
          <w:sz w:val="20"/>
          <w:szCs w:val="20"/>
        </w:rPr>
        <w:t xml:space="preserve"> </w:t>
      </w:r>
    </w:p>
    <w:p w14:paraId="0198E52B" w14:textId="2E23BE28" w:rsidR="00364DA3" w:rsidRPr="00271E01" w:rsidRDefault="00785970" w:rsidP="00F81AAE">
      <w:pPr>
        <w:pStyle w:val="Heading3-CalTFStyle31"/>
      </w:pPr>
      <w:bookmarkStart w:id="51" w:name="_Toc385592990"/>
      <w:r w:rsidRPr="00271E01">
        <w:lastRenderedPageBreak/>
        <w:t>Other Sources</w:t>
      </w:r>
      <w:r w:rsidR="001F0D38">
        <w:t xml:space="preserve"> for non-DEER Methods</w:t>
      </w:r>
      <w:bookmarkEnd w:id="51"/>
    </w:p>
    <w:p w14:paraId="02BF5399" w14:textId="770D1C8F" w:rsidR="00F67D57" w:rsidRDefault="00F67D57" w:rsidP="001F0D38">
      <w:pPr>
        <w:pStyle w:val="Reminder"/>
        <w:ind w:left="576"/>
        <w:rPr>
          <w:rFonts w:ascii="Arial" w:eastAsia="Times New Roman" w:hAnsi="Arial" w:cs="Arial"/>
          <w:i w:val="0"/>
          <w:color w:val="auto"/>
          <w:sz w:val="20"/>
          <w:szCs w:val="20"/>
        </w:rPr>
      </w:pPr>
      <w:r w:rsidRPr="00F67D57">
        <w:rPr>
          <w:rFonts w:ascii="Arial" w:eastAsia="Times New Roman" w:hAnsi="Arial" w:cs="Arial"/>
          <w:i w:val="0"/>
          <w:color w:val="auto"/>
          <w:sz w:val="20"/>
          <w:szCs w:val="20"/>
        </w:rPr>
        <w:t xml:space="preserve">The energy usage for non-Energy Star 4.1 or 3.0 satellite set top boxes are based upon an SDG&amp;E field study </w:t>
      </w:r>
      <w:r w:rsidR="00EE0F15">
        <w:rPr>
          <w:rFonts w:ascii="Arial" w:eastAsia="Times New Roman" w:hAnsi="Arial" w:cs="Arial"/>
          <w:i w:val="0"/>
          <w:color w:val="auto"/>
          <w:sz w:val="20"/>
          <w:szCs w:val="20"/>
        </w:rPr>
        <w:t xml:space="preserve">for </w:t>
      </w:r>
      <w:r w:rsidR="00EE0F15" w:rsidRPr="005B720F">
        <w:rPr>
          <w:rFonts w:ascii="Arial" w:eastAsia="Times New Roman" w:hAnsi="Arial" w:cs="Arial"/>
          <w:i w:val="0"/>
          <w:color w:val="auto"/>
          <w:sz w:val="20"/>
          <w:szCs w:val="20"/>
        </w:rPr>
        <w:t>advanced power strips</w:t>
      </w:r>
      <w:r w:rsidRPr="00F67D57">
        <w:rPr>
          <w:rFonts w:ascii="Arial" w:eastAsia="Times New Roman" w:hAnsi="Arial" w:cs="Arial"/>
          <w:i w:val="0"/>
          <w:color w:val="auto"/>
          <w:sz w:val="20"/>
          <w:szCs w:val="20"/>
        </w:rPr>
        <w:t>. The study involved the pre and post monitoring of 22 different homes in SDG&amp;E territory where the focus was the energy consumption and active/inactive hours of the existing set top boxes. The energy consumption in active and inactive, as well as the hours in each mode are used to determine the yearly energy usage for non-Energy Star 4.1 or 3.0 boxes. This information can be found in the attachment section.</w:t>
      </w:r>
    </w:p>
    <w:p w14:paraId="2C72683A" w14:textId="77777777" w:rsidR="00814FD0" w:rsidRDefault="00814FD0" w:rsidP="001F0D38">
      <w:pPr>
        <w:pStyle w:val="Reminder"/>
        <w:ind w:left="576"/>
        <w:rPr>
          <w:rFonts w:ascii="Arial" w:eastAsia="Times New Roman" w:hAnsi="Arial" w:cs="Arial"/>
          <w:i w:val="0"/>
          <w:color w:val="auto"/>
          <w:sz w:val="20"/>
          <w:szCs w:val="20"/>
        </w:rPr>
      </w:pPr>
    </w:p>
    <w:p w14:paraId="3C1552C3" w14:textId="02EC5BEA" w:rsidR="00814FD0" w:rsidRPr="00F67D57" w:rsidRDefault="00814FD0" w:rsidP="001F0D38">
      <w:pPr>
        <w:pStyle w:val="Reminder"/>
        <w:ind w:left="576"/>
        <w:rPr>
          <w:rFonts w:ascii="Arial" w:eastAsia="Times New Roman" w:hAnsi="Arial" w:cs="Arial"/>
          <w:i w:val="0"/>
          <w:color w:val="auto"/>
          <w:sz w:val="20"/>
          <w:szCs w:val="20"/>
        </w:rPr>
      </w:pPr>
      <w:r w:rsidRPr="00814FD0">
        <w:rPr>
          <w:rFonts w:ascii="Arial" w:eastAsia="Times New Roman" w:hAnsi="Arial" w:cs="Arial"/>
          <w:i w:val="0"/>
          <w:color w:val="auto"/>
          <w:sz w:val="20"/>
          <w:szCs w:val="20"/>
        </w:rPr>
        <w:t>The basis for the EUL is taken from a consumer electronics study performed by ECOVA [A], and submitted to the California Energy Commission, wherein the effective useful life is found to be between 5-7 years. An average gives the life as 6 years.</w:t>
      </w:r>
    </w:p>
    <w:p w14:paraId="56E2F390" w14:textId="7F9F0F2D" w:rsidR="001F0D38" w:rsidRPr="001F0D38" w:rsidRDefault="001F0D38" w:rsidP="001F0D38">
      <w:pPr>
        <w:pStyle w:val="Reminder"/>
        <w:ind w:left="576"/>
        <w:rPr>
          <w:rFonts w:ascii="Arial" w:eastAsia="Times New Roman" w:hAnsi="Arial" w:cs="Arial"/>
          <w:i w:val="0"/>
          <w:sz w:val="20"/>
          <w:szCs w:val="20"/>
        </w:rPr>
      </w:pPr>
    </w:p>
    <w:p w14:paraId="23BFA6D3" w14:textId="77777777" w:rsidR="00327347" w:rsidRDefault="00C069A2" w:rsidP="00327347">
      <w:pPr>
        <w:pStyle w:val="Heading1-CalTF"/>
      </w:pPr>
      <w:bookmarkStart w:id="52" w:name="_Toc304800210"/>
      <w:bookmarkStart w:id="53" w:name="_Toc324340489"/>
      <w:bookmarkStart w:id="54" w:name="_Toc385592992"/>
      <w:r w:rsidRPr="00607339">
        <w:t>Calculation Methods</w:t>
      </w:r>
      <w:bookmarkStart w:id="55" w:name="_Ref379207748"/>
      <w:bookmarkEnd w:id="52"/>
      <w:bookmarkEnd w:id="53"/>
      <w:bookmarkEnd w:id="54"/>
    </w:p>
    <w:p w14:paraId="2E765309" w14:textId="17601EAC" w:rsidR="00327347" w:rsidRDefault="00327347" w:rsidP="00327347">
      <w:pPr>
        <w:pStyle w:val="Heading2-CalTF2"/>
      </w:pPr>
      <w:bookmarkStart w:id="56" w:name="_Toc385592993"/>
      <w:r>
        <w:t>Program Implementation Analysis</w:t>
      </w:r>
      <w:bookmarkEnd w:id="56"/>
    </w:p>
    <w:p w14:paraId="30462C9D" w14:textId="77777777" w:rsidR="00200DD0" w:rsidRDefault="00200DD0" w:rsidP="00200DD0">
      <w:pPr>
        <w:pStyle w:val="Caption"/>
        <w:spacing w:before="300" w:after="60"/>
        <w:rPr>
          <w:rFonts w:cs="Arial"/>
          <w:b w:val="0"/>
        </w:rPr>
      </w:pPr>
      <w:bookmarkStart w:id="57" w:name="_Toc385592676"/>
      <w:r w:rsidRPr="001D4579">
        <w:rPr>
          <w:rFonts w:cs="Arial"/>
        </w:rPr>
        <w:t xml:space="preserve">Table </w:t>
      </w:r>
      <w:r w:rsidRPr="001D4579">
        <w:rPr>
          <w:rFonts w:cs="Arial"/>
        </w:rPr>
        <w:fldChar w:fldCharType="begin"/>
      </w:r>
      <w:r w:rsidRPr="001D4579">
        <w:rPr>
          <w:rFonts w:cs="Arial"/>
        </w:rPr>
        <w:instrText xml:space="preserve"> SEQ Table \* ARABIC </w:instrText>
      </w:r>
      <w:r w:rsidRPr="001D4579">
        <w:rPr>
          <w:rFonts w:cs="Arial"/>
        </w:rPr>
        <w:fldChar w:fldCharType="separate"/>
      </w:r>
      <w:r w:rsidR="00F6505E">
        <w:rPr>
          <w:rFonts w:cs="Arial"/>
          <w:noProof/>
        </w:rPr>
        <w:t>7</w:t>
      </w:r>
      <w:r w:rsidRPr="001D4579">
        <w:rPr>
          <w:rFonts w:cs="Arial"/>
          <w:noProof/>
        </w:rPr>
        <w:fldChar w:fldCharType="end"/>
      </w:r>
      <w:r>
        <w:rPr>
          <w:rFonts w:cs="Arial"/>
          <w:noProof/>
        </w:rPr>
        <w:t>.</w:t>
      </w:r>
      <w:r w:rsidRPr="001D4579">
        <w:rPr>
          <w:rFonts w:cs="Arial"/>
        </w:rPr>
        <w:t xml:space="preserve"> </w:t>
      </w:r>
      <w:r w:rsidRPr="00607339">
        <w:rPr>
          <w:rFonts w:cs="Arial"/>
          <w:b w:val="0"/>
        </w:rPr>
        <w:t>Baseline by Measure Application Type</w:t>
      </w:r>
      <w:bookmarkEnd w:id="57"/>
    </w:p>
    <w:tbl>
      <w:tblPr>
        <w:tblStyle w:val="TableGrid"/>
        <w:tblW w:w="9085" w:type="dxa"/>
        <w:tblLook w:val="04A0" w:firstRow="1" w:lastRow="0" w:firstColumn="1" w:lastColumn="0" w:noHBand="0" w:noVBand="1"/>
      </w:tblPr>
      <w:tblGrid>
        <w:gridCol w:w="1885"/>
        <w:gridCol w:w="1620"/>
        <w:gridCol w:w="3330"/>
        <w:gridCol w:w="2250"/>
      </w:tblGrid>
      <w:tr w:rsidR="007D047B" w:rsidRPr="00817D29" w14:paraId="45C09C64" w14:textId="77777777" w:rsidTr="00DC4423">
        <w:tc>
          <w:tcPr>
            <w:tcW w:w="1885" w:type="dxa"/>
            <w:tcBorders>
              <w:top w:val="single" w:sz="4" w:space="0" w:color="auto"/>
              <w:left w:val="single" w:sz="4" w:space="0" w:color="auto"/>
            </w:tcBorders>
            <w:shd w:val="clear" w:color="auto" w:fill="D9D9D9" w:themeFill="background1" w:themeFillShade="D9"/>
            <w:vAlign w:val="center"/>
          </w:tcPr>
          <w:p w14:paraId="2F03158F" w14:textId="77777777" w:rsidR="007D047B" w:rsidRPr="00817D29" w:rsidRDefault="007D047B" w:rsidP="00471494">
            <w:pPr>
              <w:spacing w:before="60" w:after="60"/>
              <w:jc w:val="center"/>
              <w:rPr>
                <w:sz w:val="20"/>
                <w:szCs w:val="20"/>
              </w:rPr>
            </w:pPr>
            <w:r w:rsidRPr="00817D29">
              <w:rPr>
                <w:sz w:val="20"/>
                <w:szCs w:val="20"/>
              </w:rPr>
              <w:t>Measure Application Type</w:t>
            </w:r>
          </w:p>
        </w:tc>
        <w:tc>
          <w:tcPr>
            <w:tcW w:w="1620" w:type="dxa"/>
            <w:tcBorders>
              <w:top w:val="single" w:sz="4" w:space="0" w:color="auto"/>
              <w:bottom w:val="single" w:sz="4" w:space="0" w:color="auto"/>
            </w:tcBorders>
            <w:shd w:val="clear" w:color="auto" w:fill="D9D9D9" w:themeFill="background1" w:themeFillShade="D9"/>
            <w:vAlign w:val="center"/>
          </w:tcPr>
          <w:p w14:paraId="245ED29D" w14:textId="77777777" w:rsidR="007D047B" w:rsidRPr="00817D29" w:rsidRDefault="007D047B" w:rsidP="00471494">
            <w:pPr>
              <w:spacing w:before="60" w:after="60"/>
              <w:jc w:val="center"/>
              <w:rPr>
                <w:sz w:val="20"/>
                <w:szCs w:val="20"/>
              </w:rPr>
            </w:pPr>
            <w:r w:rsidRPr="00817D29">
              <w:rPr>
                <w:sz w:val="20"/>
                <w:szCs w:val="20"/>
              </w:rPr>
              <w:t>Baseline</w:t>
            </w:r>
          </w:p>
        </w:tc>
        <w:tc>
          <w:tcPr>
            <w:tcW w:w="3330" w:type="dxa"/>
            <w:tcBorders>
              <w:top w:val="single" w:sz="4" w:space="0" w:color="auto"/>
              <w:bottom w:val="single" w:sz="4" w:space="0" w:color="auto"/>
            </w:tcBorders>
            <w:shd w:val="clear" w:color="auto" w:fill="D9D9D9" w:themeFill="background1" w:themeFillShade="D9"/>
            <w:vAlign w:val="center"/>
          </w:tcPr>
          <w:p w14:paraId="64C28555" w14:textId="77777777" w:rsidR="007D047B" w:rsidRPr="00817D29" w:rsidRDefault="007D047B" w:rsidP="00471494">
            <w:pPr>
              <w:spacing w:before="60" w:after="60"/>
              <w:jc w:val="center"/>
              <w:rPr>
                <w:sz w:val="20"/>
                <w:szCs w:val="20"/>
              </w:rPr>
            </w:pPr>
            <w:r w:rsidRPr="00817D29">
              <w:rPr>
                <w:sz w:val="20"/>
                <w:szCs w:val="20"/>
              </w:rPr>
              <w:t xml:space="preserve">Baseline Technology </w:t>
            </w:r>
          </w:p>
        </w:tc>
        <w:tc>
          <w:tcPr>
            <w:tcW w:w="2250" w:type="dxa"/>
            <w:tcBorders>
              <w:top w:val="single" w:sz="4" w:space="0" w:color="auto"/>
              <w:bottom w:val="single" w:sz="4" w:space="0" w:color="auto"/>
              <w:right w:val="single" w:sz="4" w:space="0" w:color="auto"/>
            </w:tcBorders>
            <w:shd w:val="clear" w:color="auto" w:fill="D9D9D9" w:themeFill="background1" w:themeFillShade="D9"/>
            <w:vAlign w:val="center"/>
          </w:tcPr>
          <w:p w14:paraId="3826DB87" w14:textId="77777777" w:rsidR="007D047B" w:rsidRPr="00817D29" w:rsidRDefault="007D047B" w:rsidP="00471494">
            <w:pPr>
              <w:spacing w:before="60" w:after="60"/>
              <w:jc w:val="center"/>
              <w:rPr>
                <w:sz w:val="20"/>
                <w:szCs w:val="20"/>
              </w:rPr>
            </w:pPr>
            <w:r w:rsidRPr="00817D29">
              <w:rPr>
                <w:sz w:val="20"/>
                <w:szCs w:val="20"/>
              </w:rPr>
              <w:t>Duration</w:t>
            </w:r>
          </w:p>
        </w:tc>
      </w:tr>
      <w:tr w:rsidR="007D047B" w:rsidRPr="00817D29" w14:paraId="291999DF" w14:textId="77777777" w:rsidTr="00DC4423">
        <w:tc>
          <w:tcPr>
            <w:tcW w:w="1885" w:type="dxa"/>
            <w:vMerge w:val="restart"/>
            <w:tcBorders>
              <w:left w:val="single" w:sz="4" w:space="0" w:color="auto"/>
            </w:tcBorders>
            <w:vAlign w:val="center"/>
          </w:tcPr>
          <w:p w14:paraId="093C73B6" w14:textId="04B3BB85" w:rsidR="007D047B" w:rsidRPr="00F6505E" w:rsidRDefault="00F6505E" w:rsidP="00471494">
            <w:pPr>
              <w:spacing w:before="60" w:after="60"/>
              <w:jc w:val="center"/>
              <w:rPr>
                <w:b/>
                <w:sz w:val="20"/>
                <w:szCs w:val="20"/>
              </w:rPr>
            </w:pPr>
            <w:r>
              <w:rPr>
                <w:rStyle w:val="Strong"/>
                <w:rFonts w:cs="Arial"/>
                <w:b w:val="0"/>
              </w:rPr>
              <w:t>ET/</w:t>
            </w:r>
            <w:r w:rsidRPr="00F6505E">
              <w:rPr>
                <w:rStyle w:val="Strong"/>
                <w:rFonts w:cs="Arial"/>
                <w:b w:val="0"/>
              </w:rPr>
              <w:t>RET</w:t>
            </w:r>
          </w:p>
        </w:tc>
        <w:tc>
          <w:tcPr>
            <w:tcW w:w="1620" w:type="dxa"/>
            <w:tcBorders>
              <w:bottom w:val="nil"/>
            </w:tcBorders>
            <w:vAlign w:val="center"/>
          </w:tcPr>
          <w:p w14:paraId="6F2FB640" w14:textId="77777777" w:rsidR="007D047B" w:rsidRPr="00817D29" w:rsidRDefault="007D047B" w:rsidP="00471494">
            <w:pPr>
              <w:spacing w:before="60" w:after="60"/>
              <w:jc w:val="center"/>
              <w:rPr>
                <w:sz w:val="20"/>
                <w:szCs w:val="20"/>
              </w:rPr>
            </w:pPr>
            <w:r w:rsidRPr="00817D29">
              <w:rPr>
                <w:sz w:val="20"/>
                <w:szCs w:val="20"/>
              </w:rPr>
              <w:t>First</w:t>
            </w:r>
          </w:p>
        </w:tc>
        <w:tc>
          <w:tcPr>
            <w:tcW w:w="3330" w:type="dxa"/>
            <w:tcBorders>
              <w:bottom w:val="nil"/>
            </w:tcBorders>
            <w:vAlign w:val="center"/>
          </w:tcPr>
          <w:p w14:paraId="146FAABE" w14:textId="746EBD18" w:rsidR="007D047B" w:rsidRPr="00817D29" w:rsidRDefault="00F6505E" w:rsidP="007D047B">
            <w:pPr>
              <w:spacing w:before="60" w:after="60"/>
              <w:jc w:val="center"/>
              <w:rPr>
                <w:sz w:val="20"/>
                <w:szCs w:val="20"/>
              </w:rPr>
            </w:pPr>
            <w:r>
              <w:rPr>
                <w:sz w:val="20"/>
                <w:szCs w:val="20"/>
              </w:rPr>
              <w:t>Existing</w:t>
            </w:r>
          </w:p>
        </w:tc>
        <w:tc>
          <w:tcPr>
            <w:tcW w:w="2250" w:type="dxa"/>
            <w:tcBorders>
              <w:bottom w:val="nil"/>
              <w:right w:val="single" w:sz="4" w:space="0" w:color="auto"/>
            </w:tcBorders>
            <w:vAlign w:val="center"/>
          </w:tcPr>
          <w:p w14:paraId="66B78296" w14:textId="6D03CF56" w:rsidR="007D047B" w:rsidRPr="00817D29" w:rsidRDefault="00F6505E" w:rsidP="002942F8">
            <w:pPr>
              <w:spacing w:before="60" w:after="60"/>
              <w:jc w:val="center"/>
              <w:rPr>
                <w:sz w:val="20"/>
                <w:szCs w:val="20"/>
              </w:rPr>
            </w:pPr>
            <w:r>
              <w:rPr>
                <w:sz w:val="20"/>
                <w:szCs w:val="20"/>
              </w:rPr>
              <w:t>2</w:t>
            </w:r>
          </w:p>
        </w:tc>
      </w:tr>
      <w:tr w:rsidR="007D047B" w:rsidRPr="00817D29" w14:paraId="2B9B9656" w14:textId="77777777" w:rsidTr="00F6505E">
        <w:tc>
          <w:tcPr>
            <w:tcW w:w="1885" w:type="dxa"/>
            <w:vMerge/>
            <w:tcBorders>
              <w:left w:val="single" w:sz="4" w:space="0" w:color="auto"/>
            </w:tcBorders>
            <w:vAlign w:val="center"/>
          </w:tcPr>
          <w:p w14:paraId="5630D0A2" w14:textId="77777777" w:rsidR="007D047B" w:rsidRPr="00817D29" w:rsidRDefault="007D047B" w:rsidP="00471494">
            <w:pPr>
              <w:spacing w:before="60" w:after="60"/>
              <w:jc w:val="center"/>
              <w:rPr>
                <w:sz w:val="20"/>
                <w:szCs w:val="20"/>
              </w:rPr>
            </w:pPr>
          </w:p>
        </w:tc>
        <w:tc>
          <w:tcPr>
            <w:tcW w:w="1620" w:type="dxa"/>
            <w:tcBorders>
              <w:top w:val="nil"/>
              <w:bottom w:val="single" w:sz="4" w:space="0" w:color="auto"/>
            </w:tcBorders>
            <w:shd w:val="clear" w:color="auto" w:fill="F2F2F2" w:themeFill="background1" w:themeFillShade="F2"/>
            <w:vAlign w:val="center"/>
          </w:tcPr>
          <w:p w14:paraId="29C0C1C7" w14:textId="77777777" w:rsidR="007D047B" w:rsidRPr="00817D29" w:rsidRDefault="007D047B" w:rsidP="00471494">
            <w:pPr>
              <w:spacing w:before="60" w:after="60"/>
              <w:jc w:val="center"/>
              <w:rPr>
                <w:sz w:val="20"/>
                <w:szCs w:val="20"/>
              </w:rPr>
            </w:pPr>
            <w:r w:rsidRPr="00817D29">
              <w:rPr>
                <w:sz w:val="20"/>
                <w:szCs w:val="20"/>
              </w:rPr>
              <w:t>Second</w:t>
            </w:r>
          </w:p>
        </w:tc>
        <w:tc>
          <w:tcPr>
            <w:tcW w:w="3330" w:type="dxa"/>
            <w:tcBorders>
              <w:top w:val="nil"/>
              <w:bottom w:val="single" w:sz="4" w:space="0" w:color="auto"/>
            </w:tcBorders>
            <w:shd w:val="clear" w:color="auto" w:fill="F2F2F2" w:themeFill="background1" w:themeFillShade="F2"/>
            <w:vAlign w:val="center"/>
          </w:tcPr>
          <w:p w14:paraId="62D6AA7C" w14:textId="41CE7C41" w:rsidR="007D047B" w:rsidRPr="00817D29" w:rsidRDefault="00F6505E" w:rsidP="00471494">
            <w:pPr>
              <w:spacing w:before="60" w:after="60"/>
              <w:jc w:val="center"/>
              <w:rPr>
                <w:sz w:val="20"/>
                <w:szCs w:val="20"/>
              </w:rPr>
            </w:pPr>
            <w:r>
              <w:rPr>
                <w:sz w:val="20"/>
                <w:szCs w:val="20"/>
              </w:rPr>
              <w:t>Existing</w:t>
            </w:r>
          </w:p>
        </w:tc>
        <w:tc>
          <w:tcPr>
            <w:tcW w:w="2250" w:type="dxa"/>
            <w:tcBorders>
              <w:top w:val="nil"/>
              <w:bottom w:val="single" w:sz="4" w:space="0" w:color="auto"/>
              <w:right w:val="single" w:sz="4" w:space="0" w:color="auto"/>
            </w:tcBorders>
            <w:shd w:val="clear" w:color="auto" w:fill="F2F2F2" w:themeFill="background1" w:themeFillShade="F2"/>
            <w:vAlign w:val="center"/>
          </w:tcPr>
          <w:p w14:paraId="0ED5654B" w14:textId="229515EC" w:rsidR="007D047B" w:rsidRPr="00817D29" w:rsidRDefault="00F6505E" w:rsidP="009135CF">
            <w:pPr>
              <w:spacing w:before="60" w:after="60"/>
              <w:jc w:val="center"/>
              <w:rPr>
                <w:sz w:val="20"/>
                <w:szCs w:val="20"/>
              </w:rPr>
            </w:pPr>
            <w:r>
              <w:rPr>
                <w:sz w:val="20"/>
                <w:szCs w:val="20"/>
              </w:rPr>
              <w:t>4</w:t>
            </w:r>
          </w:p>
        </w:tc>
      </w:tr>
      <w:tr w:rsidR="00F6505E" w:rsidRPr="00817D29" w14:paraId="1874F50B" w14:textId="77777777" w:rsidTr="00F6505E">
        <w:tc>
          <w:tcPr>
            <w:tcW w:w="1885" w:type="dxa"/>
            <w:vMerge w:val="restart"/>
            <w:tcBorders>
              <w:left w:val="single" w:sz="4" w:space="0" w:color="auto"/>
            </w:tcBorders>
            <w:vAlign w:val="center"/>
          </w:tcPr>
          <w:p w14:paraId="134DB001" w14:textId="1C867100" w:rsidR="00F6505E" w:rsidRPr="00817D29" w:rsidRDefault="00F6505E" w:rsidP="00F6505E">
            <w:pPr>
              <w:spacing w:before="60" w:after="60"/>
              <w:jc w:val="center"/>
              <w:rPr>
                <w:sz w:val="20"/>
                <w:szCs w:val="20"/>
              </w:rPr>
            </w:pPr>
            <w:r>
              <w:rPr>
                <w:sz w:val="20"/>
                <w:szCs w:val="20"/>
              </w:rPr>
              <w:t>ROB</w:t>
            </w:r>
          </w:p>
        </w:tc>
        <w:tc>
          <w:tcPr>
            <w:tcW w:w="1620" w:type="dxa"/>
            <w:tcBorders>
              <w:top w:val="single" w:sz="4" w:space="0" w:color="auto"/>
              <w:bottom w:val="nil"/>
            </w:tcBorders>
            <w:shd w:val="clear" w:color="auto" w:fill="FFFFFF" w:themeFill="background1"/>
            <w:vAlign w:val="center"/>
          </w:tcPr>
          <w:p w14:paraId="2665D5C1" w14:textId="0A1AE96E" w:rsidR="00F6505E" w:rsidRPr="00817D29" w:rsidRDefault="00F6505E" w:rsidP="00F6505E">
            <w:pPr>
              <w:spacing w:before="60" w:after="60"/>
              <w:jc w:val="center"/>
              <w:rPr>
                <w:sz w:val="20"/>
                <w:szCs w:val="20"/>
              </w:rPr>
            </w:pPr>
            <w:r w:rsidRPr="00817D29">
              <w:rPr>
                <w:sz w:val="20"/>
                <w:szCs w:val="20"/>
              </w:rPr>
              <w:t>First</w:t>
            </w:r>
          </w:p>
        </w:tc>
        <w:tc>
          <w:tcPr>
            <w:tcW w:w="3330" w:type="dxa"/>
            <w:tcBorders>
              <w:top w:val="single" w:sz="4" w:space="0" w:color="auto"/>
              <w:bottom w:val="nil"/>
            </w:tcBorders>
            <w:shd w:val="clear" w:color="auto" w:fill="FFFFFF" w:themeFill="background1"/>
            <w:vAlign w:val="center"/>
          </w:tcPr>
          <w:p w14:paraId="2BC61A37" w14:textId="4579DC9B" w:rsidR="00F6505E" w:rsidRDefault="00F6505E" w:rsidP="00F6505E">
            <w:pPr>
              <w:spacing w:before="60" w:after="60"/>
              <w:jc w:val="center"/>
              <w:rPr>
                <w:sz w:val="20"/>
                <w:szCs w:val="20"/>
              </w:rPr>
            </w:pPr>
            <w:r>
              <w:rPr>
                <w:sz w:val="20"/>
                <w:szCs w:val="20"/>
              </w:rPr>
              <w:t>Existing</w:t>
            </w:r>
          </w:p>
        </w:tc>
        <w:tc>
          <w:tcPr>
            <w:tcW w:w="2250" w:type="dxa"/>
            <w:tcBorders>
              <w:top w:val="single" w:sz="4" w:space="0" w:color="auto"/>
              <w:bottom w:val="nil"/>
              <w:right w:val="single" w:sz="4" w:space="0" w:color="auto"/>
            </w:tcBorders>
            <w:shd w:val="clear" w:color="auto" w:fill="FFFFFF" w:themeFill="background1"/>
            <w:vAlign w:val="center"/>
          </w:tcPr>
          <w:p w14:paraId="69E8864C" w14:textId="41BED297" w:rsidR="00F6505E" w:rsidRDefault="00F6505E" w:rsidP="00F6505E">
            <w:pPr>
              <w:spacing w:before="60" w:after="60"/>
              <w:jc w:val="center"/>
              <w:rPr>
                <w:sz w:val="20"/>
                <w:szCs w:val="20"/>
              </w:rPr>
            </w:pPr>
            <w:r>
              <w:rPr>
                <w:sz w:val="20"/>
                <w:szCs w:val="20"/>
              </w:rPr>
              <w:t>6</w:t>
            </w:r>
          </w:p>
        </w:tc>
      </w:tr>
      <w:tr w:rsidR="00F6505E" w:rsidRPr="00817D29" w14:paraId="63DF946B" w14:textId="77777777" w:rsidTr="00DC4423">
        <w:tc>
          <w:tcPr>
            <w:tcW w:w="1885" w:type="dxa"/>
            <w:vMerge/>
            <w:tcBorders>
              <w:left w:val="single" w:sz="4" w:space="0" w:color="auto"/>
              <w:bottom w:val="single" w:sz="4" w:space="0" w:color="auto"/>
            </w:tcBorders>
            <w:vAlign w:val="center"/>
          </w:tcPr>
          <w:p w14:paraId="6F519E20" w14:textId="77777777" w:rsidR="00F6505E" w:rsidRPr="00817D29" w:rsidRDefault="00F6505E" w:rsidP="00F6505E">
            <w:pPr>
              <w:spacing w:before="60" w:after="60"/>
              <w:jc w:val="center"/>
              <w:rPr>
                <w:sz w:val="20"/>
                <w:szCs w:val="20"/>
              </w:rPr>
            </w:pPr>
          </w:p>
        </w:tc>
        <w:tc>
          <w:tcPr>
            <w:tcW w:w="1620" w:type="dxa"/>
            <w:tcBorders>
              <w:top w:val="nil"/>
              <w:bottom w:val="single" w:sz="4" w:space="0" w:color="auto"/>
            </w:tcBorders>
            <w:shd w:val="clear" w:color="auto" w:fill="F2F2F2" w:themeFill="background1" w:themeFillShade="F2"/>
            <w:vAlign w:val="center"/>
          </w:tcPr>
          <w:p w14:paraId="292C1668" w14:textId="77DE1EE4" w:rsidR="00F6505E" w:rsidRPr="00817D29" w:rsidRDefault="00F6505E" w:rsidP="00F6505E">
            <w:pPr>
              <w:spacing w:before="60" w:after="60"/>
              <w:jc w:val="center"/>
              <w:rPr>
                <w:sz w:val="20"/>
                <w:szCs w:val="20"/>
              </w:rPr>
            </w:pPr>
            <w:r w:rsidRPr="00817D29">
              <w:rPr>
                <w:sz w:val="20"/>
                <w:szCs w:val="20"/>
              </w:rPr>
              <w:t>Second</w:t>
            </w:r>
          </w:p>
        </w:tc>
        <w:tc>
          <w:tcPr>
            <w:tcW w:w="3330" w:type="dxa"/>
            <w:tcBorders>
              <w:top w:val="nil"/>
              <w:bottom w:val="single" w:sz="4" w:space="0" w:color="auto"/>
            </w:tcBorders>
            <w:shd w:val="clear" w:color="auto" w:fill="F2F2F2" w:themeFill="background1" w:themeFillShade="F2"/>
            <w:vAlign w:val="center"/>
          </w:tcPr>
          <w:p w14:paraId="1B645319" w14:textId="53BD89E5" w:rsidR="00F6505E" w:rsidRDefault="00F6505E" w:rsidP="00F6505E">
            <w:pPr>
              <w:spacing w:before="60" w:after="60"/>
              <w:jc w:val="center"/>
              <w:rPr>
                <w:sz w:val="20"/>
                <w:szCs w:val="20"/>
              </w:rPr>
            </w:pPr>
            <w:r>
              <w:rPr>
                <w:sz w:val="20"/>
                <w:szCs w:val="20"/>
              </w:rPr>
              <w:t>N/A</w:t>
            </w:r>
          </w:p>
        </w:tc>
        <w:tc>
          <w:tcPr>
            <w:tcW w:w="2250" w:type="dxa"/>
            <w:tcBorders>
              <w:top w:val="nil"/>
              <w:bottom w:val="single" w:sz="4" w:space="0" w:color="auto"/>
              <w:right w:val="single" w:sz="4" w:space="0" w:color="auto"/>
            </w:tcBorders>
            <w:shd w:val="clear" w:color="auto" w:fill="F2F2F2" w:themeFill="background1" w:themeFillShade="F2"/>
            <w:vAlign w:val="center"/>
          </w:tcPr>
          <w:p w14:paraId="72D4AC36" w14:textId="6AF955DB" w:rsidR="00F6505E" w:rsidRDefault="00F6505E" w:rsidP="00F6505E">
            <w:pPr>
              <w:spacing w:before="60" w:after="60"/>
              <w:jc w:val="center"/>
              <w:rPr>
                <w:sz w:val="20"/>
                <w:szCs w:val="20"/>
              </w:rPr>
            </w:pPr>
            <w:r>
              <w:rPr>
                <w:sz w:val="20"/>
                <w:szCs w:val="20"/>
              </w:rPr>
              <w:t>N/A</w:t>
            </w:r>
          </w:p>
        </w:tc>
      </w:tr>
    </w:tbl>
    <w:p w14:paraId="233BB20A" w14:textId="2E1E1C9B" w:rsidR="00F11785" w:rsidRPr="001D4579" w:rsidRDefault="007878B9" w:rsidP="00695C6D">
      <w:pPr>
        <w:pStyle w:val="Heading2-CalTF2"/>
      </w:pPr>
      <w:bookmarkStart w:id="58" w:name="_Toc304800211"/>
      <w:bookmarkStart w:id="59" w:name="_Toc324318365"/>
      <w:bookmarkStart w:id="60" w:name="_Toc324340494"/>
      <w:bookmarkStart w:id="61" w:name="_Toc385592994"/>
      <w:bookmarkEnd w:id="55"/>
      <w:r w:rsidRPr="001D4579">
        <w:t xml:space="preserve">Electric </w:t>
      </w:r>
      <w:r w:rsidR="00C069A2" w:rsidRPr="001D4579">
        <w:t>Energy Savings Estimation Methodologies</w:t>
      </w:r>
      <w:bookmarkStart w:id="62" w:name="_Toc304800212"/>
      <w:bookmarkStart w:id="63" w:name="_Toc324318366"/>
      <w:bookmarkStart w:id="64" w:name="_Toc324340495"/>
      <w:bookmarkEnd w:id="58"/>
      <w:bookmarkEnd w:id="59"/>
      <w:bookmarkEnd w:id="60"/>
      <w:bookmarkEnd w:id="61"/>
    </w:p>
    <w:p w14:paraId="6125211F" w14:textId="77777777" w:rsidR="00F6505E" w:rsidRPr="00F6505E" w:rsidRDefault="00F6505E" w:rsidP="00F6505E">
      <w:pPr>
        <w:pStyle w:val="Reminder"/>
        <w:rPr>
          <w:rFonts w:ascii="Arial" w:hAnsi="Arial" w:cs="Arial"/>
          <w:i w:val="0"/>
          <w:color w:val="auto"/>
          <w:sz w:val="20"/>
          <w:szCs w:val="20"/>
        </w:rPr>
      </w:pPr>
      <w:r w:rsidRPr="00F6505E">
        <w:rPr>
          <w:rFonts w:ascii="Arial" w:hAnsi="Arial" w:cs="Arial"/>
          <w:i w:val="0"/>
          <w:color w:val="auto"/>
          <w:sz w:val="20"/>
          <w:szCs w:val="20"/>
        </w:rPr>
        <w:t>The energy savings for the measures contained within this work paper are found from a combination of field monitored data and Energy Star spec total energy consumption allowances. The monitored data was used to establish the baseline while the Energy Star specs were used to establish the allowed measure usage.</w:t>
      </w:r>
    </w:p>
    <w:p w14:paraId="68749ABF" w14:textId="77777777" w:rsidR="00F6505E" w:rsidRPr="00F6505E" w:rsidRDefault="00F6505E" w:rsidP="00F6505E">
      <w:pPr>
        <w:pStyle w:val="Reminder"/>
        <w:rPr>
          <w:rFonts w:ascii="Arial" w:hAnsi="Arial" w:cs="Arial"/>
          <w:i w:val="0"/>
          <w:color w:val="auto"/>
          <w:sz w:val="20"/>
          <w:szCs w:val="20"/>
        </w:rPr>
      </w:pPr>
    </w:p>
    <w:p w14:paraId="5C616E39" w14:textId="77777777" w:rsidR="00F6505E" w:rsidRPr="00F6505E" w:rsidRDefault="00F6505E" w:rsidP="00F6505E">
      <w:pPr>
        <w:pStyle w:val="Reminder"/>
        <w:rPr>
          <w:rFonts w:ascii="Arial" w:hAnsi="Arial" w:cs="Arial"/>
          <w:i w:val="0"/>
          <w:color w:val="auto"/>
          <w:sz w:val="20"/>
          <w:szCs w:val="20"/>
        </w:rPr>
      </w:pPr>
      <w:r w:rsidRPr="00F6505E">
        <w:rPr>
          <w:rFonts w:ascii="Arial" w:hAnsi="Arial" w:cs="Arial"/>
          <w:i w:val="0"/>
          <w:color w:val="auto"/>
          <w:sz w:val="20"/>
          <w:szCs w:val="20"/>
        </w:rPr>
        <w:t>The filed monitored data included 22 different sites where 6 sites had existing satellite boxes. It was these sites that were relied upon to gather the following metrics:</w:t>
      </w:r>
    </w:p>
    <w:p w14:paraId="20CE5C92" w14:textId="77777777" w:rsidR="00F6505E" w:rsidRPr="00F6505E" w:rsidRDefault="00F6505E" w:rsidP="00F6505E">
      <w:pPr>
        <w:pStyle w:val="Reminder"/>
        <w:rPr>
          <w:rFonts w:ascii="Arial" w:hAnsi="Arial" w:cs="Arial"/>
          <w:i w:val="0"/>
          <w:color w:val="auto"/>
          <w:sz w:val="20"/>
          <w:szCs w:val="20"/>
        </w:rPr>
      </w:pPr>
    </w:p>
    <w:p w14:paraId="27C21B0B" w14:textId="77777777" w:rsidR="00F6505E" w:rsidRPr="00F6505E" w:rsidRDefault="00F6505E" w:rsidP="00F6505E">
      <w:pPr>
        <w:pStyle w:val="Reminder"/>
        <w:numPr>
          <w:ilvl w:val="0"/>
          <w:numId w:val="18"/>
        </w:numPr>
        <w:rPr>
          <w:rFonts w:ascii="Arial" w:hAnsi="Arial" w:cs="Arial"/>
          <w:i w:val="0"/>
          <w:color w:val="auto"/>
          <w:sz w:val="20"/>
          <w:szCs w:val="20"/>
        </w:rPr>
      </w:pPr>
      <w:r w:rsidRPr="00F6505E">
        <w:rPr>
          <w:rFonts w:ascii="Arial" w:hAnsi="Arial" w:cs="Arial"/>
          <w:i w:val="0"/>
          <w:color w:val="auto"/>
          <w:sz w:val="20"/>
          <w:szCs w:val="20"/>
        </w:rPr>
        <w:t>Average Active STB Power</w:t>
      </w:r>
    </w:p>
    <w:p w14:paraId="5C942BD8" w14:textId="77777777" w:rsidR="00F6505E" w:rsidRPr="00F6505E" w:rsidRDefault="00F6505E" w:rsidP="00F6505E">
      <w:pPr>
        <w:pStyle w:val="Reminder"/>
        <w:numPr>
          <w:ilvl w:val="0"/>
          <w:numId w:val="18"/>
        </w:numPr>
        <w:rPr>
          <w:rFonts w:ascii="Arial" w:hAnsi="Arial" w:cs="Arial"/>
          <w:i w:val="0"/>
          <w:color w:val="auto"/>
          <w:sz w:val="20"/>
          <w:szCs w:val="20"/>
        </w:rPr>
      </w:pPr>
      <w:r w:rsidRPr="00F6505E">
        <w:rPr>
          <w:rFonts w:ascii="Arial" w:hAnsi="Arial" w:cs="Arial"/>
          <w:i w:val="0"/>
          <w:color w:val="auto"/>
          <w:sz w:val="20"/>
          <w:szCs w:val="20"/>
        </w:rPr>
        <w:t>Average Inactive STB Power</w:t>
      </w:r>
    </w:p>
    <w:p w14:paraId="3B62D5CF" w14:textId="77777777" w:rsidR="00F6505E" w:rsidRPr="00F6505E" w:rsidRDefault="00F6505E" w:rsidP="00F6505E">
      <w:pPr>
        <w:pStyle w:val="Reminder"/>
        <w:numPr>
          <w:ilvl w:val="0"/>
          <w:numId w:val="18"/>
        </w:numPr>
        <w:rPr>
          <w:rFonts w:ascii="Arial" w:hAnsi="Arial" w:cs="Arial"/>
          <w:i w:val="0"/>
          <w:color w:val="auto"/>
          <w:sz w:val="20"/>
          <w:szCs w:val="20"/>
        </w:rPr>
      </w:pPr>
      <w:r w:rsidRPr="00F6505E">
        <w:rPr>
          <w:rFonts w:ascii="Arial" w:hAnsi="Arial" w:cs="Arial"/>
          <w:i w:val="0"/>
          <w:color w:val="auto"/>
          <w:sz w:val="20"/>
          <w:szCs w:val="20"/>
        </w:rPr>
        <w:t>Hours Watched Per Day</w:t>
      </w:r>
    </w:p>
    <w:p w14:paraId="59B145F5" w14:textId="77777777" w:rsidR="00F6505E" w:rsidRPr="00F6505E" w:rsidRDefault="00F6505E" w:rsidP="00F6505E">
      <w:pPr>
        <w:pStyle w:val="Reminder"/>
        <w:rPr>
          <w:rFonts w:ascii="Arial" w:hAnsi="Arial" w:cs="Arial"/>
          <w:i w:val="0"/>
          <w:color w:val="auto"/>
          <w:sz w:val="20"/>
          <w:szCs w:val="20"/>
        </w:rPr>
      </w:pPr>
    </w:p>
    <w:p w14:paraId="00D5A718" w14:textId="77777777" w:rsidR="00F6505E" w:rsidRPr="00F6505E" w:rsidRDefault="00F6505E" w:rsidP="00F6505E">
      <w:pPr>
        <w:pStyle w:val="Reminder"/>
        <w:rPr>
          <w:rFonts w:ascii="Arial" w:hAnsi="Arial" w:cs="Arial"/>
          <w:i w:val="0"/>
          <w:color w:val="auto"/>
          <w:sz w:val="20"/>
          <w:szCs w:val="20"/>
        </w:rPr>
      </w:pPr>
      <w:r w:rsidRPr="00F6505E">
        <w:rPr>
          <w:rFonts w:ascii="Arial" w:hAnsi="Arial" w:cs="Arial"/>
          <w:i w:val="0"/>
          <w:color w:val="auto"/>
          <w:sz w:val="20"/>
          <w:szCs w:val="20"/>
        </w:rPr>
        <w:t>With the above information, the baseline was determined for the following types of boxes:</w:t>
      </w:r>
    </w:p>
    <w:p w14:paraId="1F77E417" w14:textId="77777777" w:rsidR="00F6505E" w:rsidRPr="00F6505E" w:rsidRDefault="00F6505E" w:rsidP="00F6505E">
      <w:pPr>
        <w:pStyle w:val="Reminder"/>
        <w:rPr>
          <w:rFonts w:ascii="Arial" w:hAnsi="Arial" w:cs="Arial"/>
          <w:i w:val="0"/>
          <w:color w:val="auto"/>
          <w:sz w:val="20"/>
          <w:szCs w:val="20"/>
        </w:rPr>
      </w:pPr>
    </w:p>
    <w:p w14:paraId="55760BD0" w14:textId="77777777" w:rsidR="00F6505E" w:rsidRPr="00F6505E" w:rsidRDefault="00F6505E" w:rsidP="00F6505E">
      <w:pPr>
        <w:pStyle w:val="Reminder"/>
        <w:numPr>
          <w:ilvl w:val="0"/>
          <w:numId w:val="19"/>
        </w:numPr>
        <w:rPr>
          <w:rFonts w:ascii="Arial" w:hAnsi="Arial" w:cs="Arial"/>
          <w:i w:val="0"/>
          <w:color w:val="auto"/>
          <w:sz w:val="20"/>
          <w:szCs w:val="20"/>
        </w:rPr>
      </w:pPr>
      <w:r w:rsidRPr="00F6505E">
        <w:rPr>
          <w:rFonts w:ascii="Arial" w:hAnsi="Arial" w:cs="Arial"/>
          <w:i w:val="0"/>
          <w:color w:val="auto"/>
          <w:sz w:val="20"/>
          <w:szCs w:val="20"/>
        </w:rPr>
        <w:t>Satellite Standard Definition (SD) with Digital Video Recording (DVR)</w:t>
      </w:r>
    </w:p>
    <w:p w14:paraId="2CB01E84" w14:textId="77777777" w:rsidR="00F6505E" w:rsidRPr="00F6505E" w:rsidRDefault="00F6505E" w:rsidP="00F6505E">
      <w:pPr>
        <w:pStyle w:val="Reminder"/>
        <w:numPr>
          <w:ilvl w:val="0"/>
          <w:numId w:val="19"/>
        </w:numPr>
        <w:rPr>
          <w:rFonts w:ascii="Arial" w:hAnsi="Arial" w:cs="Arial"/>
          <w:i w:val="0"/>
          <w:color w:val="auto"/>
          <w:sz w:val="20"/>
          <w:szCs w:val="20"/>
        </w:rPr>
      </w:pPr>
      <w:r w:rsidRPr="00F6505E">
        <w:rPr>
          <w:rFonts w:ascii="Arial" w:hAnsi="Arial" w:cs="Arial"/>
          <w:i w:val="0"/>
          <w:color w:val="auto"/>
          <w:sz w:val="20"/>
          <w:szCs w:val="20"/>
        </w:rPr>
        <w:t>Satellite High Definition (HD) with Digital Video Recording (DVR)</w:t>
      </w:r>
    </w:p>
    <w:p w14:paraId="7B8F77FB" w14:textId="77777777" w:rsidR="00F6505E" w:rsidRPr="00F6505E" w:rsidRDefault="00F6505E" w:rsidP="00F6505E">
      <w:pPr>
        <w:pStyle w:val="Reminder"/>
        <w:rPr>
          <w:rFonts w:ascii="Arial" w:hAnsi="Arial" w:cs="Arial"/>
          <w:i w:val="0"/>
          <w:color w:val="auto"/>
          <w:sz w:val="20"/>
          <w:szCs w:val="20"/>
        </w:rPr>
      </w:pPr>
    </w:p>
    <w:p w14:paraId="49FAC3B5" w14:textId="77777777" w:rsidR="00F6505E" w:rsidRPr="00F6505E" w:rsidRDefault="00F6505E" w:rsidP="00F6505E">
      <w:pPr>
        <w:pStyle w:val="Reminder"/>
        <w:rPr>
          <w:rFonts w:ascii="Arial" w:hAnsi="Arial" w:cs="Arial"/>
          <w:i w:val="0"/>
          <w:color w:val="auto"/>
          <w:sz w:val="20"/>
          <w:szCs w:val="20"/>
        </w:rPr>
      </w:pPr>
      <w:r w:rsidRPr="00F6505E">
        <w:rPr>
          <w:rFonts w:ascii="Arial" w:hAnsi="Arial" w:cs="Arial"/>
          <w:i w:val="0"/>
          <w:color w:val="auto"/>
          <w:sz w:val="20"/>
          <w:szCs w:val="20"/>
        </w:rPr>
        <w:lastRenderedPageBreak/>
        <w:t>In order to establish the baseline for non-Energy Star boxes (which include SD and HD), yearly energy usages were provided to SCE by television providers. These values are confidential, but are used to establish the baseline for non-Energy Star boxes. These average values can be found below:</w:t>
      </w:r>
    </w:p>
    <w:p w14:paraId="3432C368" w14:textId="77777777" w:rsidR="00F6505E" w:rsidRPr="00F6505E" w:rsidRDefault="00F6505E" w:rsidP="00F6505E">
      <w:pPr>
        <w:pStyle w:val="Reminder"/>
        <w:rPr>
          <w:rFonts w:ascii="Arial" w:hAnsi="Arial" w:cs="Arial"/>
          <w:i w:val="0"/>
          <w:color w:val="auto"/>
          <w:sz w:val="20"/>
          <w:szCs w:val="20"/>
        </w:rPr>
      </w:pPr>
    </w:p>
    <w:p w14:paraId="1A7F3FA8" w14:textId="77777777" w:rsidR="00F6505E" w:rsidRPr="00F6505E" w:rsidRDefault="00F6505E" w:rsidP="00F6505E">
      <w:pPr>
        <w:pStyle w:val="Caption"/>
        <w:keepNext/>
        <w:jc w:val="center"/>
        <w:rPr>
          <w:rFonts w:cs="Arial"/>
        </w:rPr>
      </w:pPr>
      <w:bookmarkStart w:id="65" w:name="_Ref416859182"/>
      <w:r w:rsidRPr="00F6505E">
        <w:rPr>
          <w:rFonts w:cs="Arial"/>
        </w:rPr>
        <w:t xml:space="preserve">Table </w:t>
      </w:r>
      <w:r w:rsidRPr="00F6505E">
        <w:rPr>
          <w:rFonts w:cs="Arial"/>
        </w:rPr>
        <w:fldChar w:fldCharType="begin"/>
      </w:r>
      <w:r w:rsidRPr="00F6505E">
        <w:rPr>
          <w:rFonts w:cs="Arial"/>
        </w:rPr>
        <w:instrText xml:space="preserve"> SEQ Table \* ARABIC </w:instrText>
      </w:r>
      <w:r w:rsidRPr="00F6505E">
        <w:rPr>
          <w:rFonts w:cs="Arial"/>
        </w:rPr>
        <w:fldChar w:fldCharType="separate"/>
      </w:r>
      <w:r w:rsidRPr="00F6505E">
        <w:rPr>
          <w:rFonts w:cs="Arial"/>
          <w:noProof/>
        </w:rPr>
        <w:t>8</w:t>
      </w:r>
      <w:r w:rsidRPr="00F6505E">
        <w:rPr>
          <w:rFonts w:cs="Arial"/>
          <w:noProof/>
        </w:rPr>
        <w:fldChar w:fldCharType="end"/>
      </w:r>
      <w:bookmarkEnd w:id="65"/>
      <w:r w:rsidRPr="00F6505E">
        <w:rPr>
          <w:rFonts w:cs="Arial"/>
        </w:rPr>
        <w:t xml:space="preserve"> Non Energy Star Box Energy Usage</w:t>
      </w:r>
    </w:p>
    <w:tbl>
      <w:tblPr>
        <w:tblStyle w:val="TableContemporary"/>
        <w:tblW w:w="3085" w:type="pct"/>
        <w:jc w:val="center"/>
        <w:tblLook w:val="01E0" w:firstRow="1" w:lastRow="1" w:firstColumn="1" w:lastColumn="1" w:noHBand="0" w:noVBand="0"/>
      </w:tblPr>
      <w:tblGrid>
        <w:gridCol w:w="2156"/>
        <w:gridCol w:w="3586"/>
      </w:tblGrid>
      <w:tr w:rsidR="00F6505E" w:rsidRPr="00F6505E" w14:paraId="4029B1D9" w14:textId="77777777" w:rsidTr="000A3D4E">
        <w:trPr>
          <w:cnfStyle w:val="100000000000" w:firstRow="1" w:lastRow="0" w:firstColumn="0" w:lastColumn="0" w:oddVBand="0" w:evenVBand="0" w:oddHBand="0" w:evenHBand="0" w:firstRowFirstColumn="0" w:firstRowLastColumn="0" w:lastRowFirstColumn="0" w:lastRowLastColumn="0"/>
          <w:jc w:val="center"/>
        </w:trPr>
        <w:tc>
          <w:tcPr>
            <w:tcW w:w="1877" w:type="pct"/>
          </w:tcPr>
          <w:p w14:paraId="1EB9BF77" w14:textId="77777777" w:rsidR="00F6505E" w:rsidRPr="00F6505E" w:rsidRDefault="00F6505E" w:rsidP="000A3D4E">
            <w:pPr>
              <w:rPr>
                <w:rFonts w:cs="Arial"/>
                <w:sz w:val="20"/>
                <w:szCs w:val="20"/>
              </w:rPr>
            </w:pPr>
            <w:r w:rsidRPr="00F6505E">
              <w:rPr>
                <w:rFonts w:cs="Arial"/>
                <w:sz w:val="20"/>
                <w:szCs w:val="20"/>
              </w:rPr>
              <w:t>Satellite Box Type</w:t>
            </w:r>
          </w:p>
        </w:tc>
        <w:tc>
          <w:tcPr>
            <w:tcW w:w="3123" w:type="pct"/>
          </w:tcPr>
          <w:p w14:paraId="56F2EAE2" w14:textId="77777777" w:rsidR="00F6505E" w:rsidRPr="00F6505E" w:rsidRDefault="00F6505E" w:rsidP="000A3D4E">
            <w:pPr>
              <w:rPr>
                <w:rFonts w:cs="Arial"/>
                <w:sz w:val="20"/>
                <w:szCs w:val="20"/>
              </w:rPr>
            </w:pPr>
            <w:r w:rsidRPr="00F6505E">
              <w:rPr>
                <w:rFonts w:cs="Arial"/>
                <w:sz w:val="20"/>
                <w:szCs w:val="20"/>
              </w:rPr>
              <w:t>Equipment Total Energy Usage (kWh/year)</w:t>
            </w:r>
          </w:p>
        </w:tc>
      </w:tr>
      <w:tr w:rsidR="00F6505E" w:rsidRPr="00F6505E" w14:paraId="59B34F68" w14:textId="77777777" w:rsidTr="000A3D4E">
        <w:trPr>
          <w:cnfStyle w:val="000000100000" w:firstRow="0" w:lastRow="0" w:firstColumn="0" w:lastColumn="0" w:oddVBand="0" w:evenVBand="0" w:oddHBand="1" w:evenHBand="0" w:firstRowFirstColumn="0" w:firstRowLastColumn="0" w:lastRowFirstColumn="0" w:lastRowLastColumn="0"/>
          <w:jc w:val="center"/>
        </w:trPr>
        <w:tc>
          <w:tcPr>
            <w:tcW w:w="1877" w:type="pct"/>
          </w:tcPr>
          <w:p w14:paraId="1A98B231" w14:textId="77777777" w:rsidR="00F6505E" w:rsidRPr="00F6505E" w:rsidRDefault="00F6505E" w:rsidP="000A3D4E">
            <w:pPr>
              <w:rPr>
                <w:rFonts w:cs="Arial"/>
                <w:sz w:val="20"/>
                <w:szCs w:val="20"/>
              </w:rPr>
            </w:pPr>
            <w:r w:rsidRPr="00F6505E">
              <w:rPr>
                <w:rFonts w:cs="Arial"/>
                <w:sz w:val="20"/>
                <w:szCs w:val="20"/>
              </w:rPr>
              <w:t>Basic (SD)</w:t>
            </w:r>
          </w:p>
        </w:tc>
        <w:tc>
          <w:tcPr>
            <w:tcW w:w="3123" w:type="pct"/>
          </w:tcPr>
          <w:p w14:paraId="6EF8CBE7" w14:textId="77777777" w:rsidR="00F6505E" w:rsidRPr="00F6505E" w:rsidRDefault="00F6505E" w:rsidP="000A3D4E">
            <w:pPr>
              <w:rPr>
                <w:rFonts w:cs="Arial"/>
                <w:sz w:val="20"/>
                <w:szCs w:val="20"/>
              </w:rPr>
            </w:pPr>
            <w:r w:rsidRPr="00F6505E">
              <w:rPr>
                <w:rFonts w:cs="Arial"/>
                <w:sz w:val="20"/>
                <w:szCs w:val="20"/>
              </w:rPr>
              <w:t>153.38</w:t>
            </w:r>
          </w:p>
        </w:tc>
      </w:tr>
      <w:tr w:rsidR="00F6505E" w:rsidRPr="00F6505E" w14:paraId="106DF01A" w14:textId="77777777" w:rsidTr="000A3D4E">
        <w:trPr>
          <w:cnfStyle w:val="000000010000" w:firstRow="0" w:lastRow="0" w:firstColumn="0" w:lastColumn="0" w:oddVBand="0" w:evenVBand="0" w:oddHBand="0" w:evenHBand="1" w:firstRowFirstColumn="0" w:firstRowLastColumn="0" w:lastRowFirstColumn="0" w:lastRowLastColumn="0"/>
          <w:jc w:val="center"/>
        </w:trPr>
        <w:tc>
          <w:tcPr>
            <w:tcW w:w="1877" w:type="pct"/>
          </w:tcPr>
          <w:p w14:paraId="4EFA3799" w14:textId="77777777" w:rsidR="00F6505E" w:rsidRPr="00F6505E" w:rsidRDefault="00F6505E" w:rsidP="000A3D4E">
            <w:pPr>
              <w:rPr>
                <w:rFonts w:cs="Arial"/>
                <w:sz w:val="20"/>
                <w:szCs w:val="20"/>
              </w:rPr>
            </w:pPr>
            <w:r w:rsidRPr="00F6505E">
              <w:rPr>
                <w:rFonts w:cs="Arial"/>
                <w:sz w:val="20"/>
                <w:szCs w:val="20"/>
              </w:rPr>
              <w:t>HD</w:t>
            </w:r>
          </w:p>
        </w:tc>
        <w:tc>
          <w:tcPr>
            <w:tcW w:w="3123" w:type="pct"/>
          </w:tcPr>
          <w:p w14:paraId="7033DB38" w14:textId="77777777" w:rsidR="00F6505E" w:rsidRPr="00F6505E" w:rsidRDefault="00F6505E" w:rsidP="000A3D4E">
            <w:pPr>
              <w:rPr>
                <w:rFonts w:cs="Arial"/>
                <w:sz w:val="20"/>
                <w:szCs w:val="20"/>
              </w:rPr>
            </w:pPr>
            <w:r w:rsidRPr="00F6505E">
              <w:rPr>
                <w:rFonts w:cs="Arial"/>
                <w:sz w:val="20"/>
                <w:szCs w:val="20"/>
              </w:rPr>
              <w:t>195.61</w:t>
            </w:r>
          </w:p>
        </w:tc>
      </w:tr>
      <w:tr w:rsidR="00F6505E" w:rsidRPr="00F6505E" w14:paraId="318C5DE6" w14:textId="77777777" w:rsidTr="000A3D4E">
        <w:trPr>
          <w:cnfStyle w:val="000000100000" w:firstRow="0" w:lastRow="0" w:firstColumn="0" w:lastColumn="0" w:oddVBand="0" w:evenVBand="0" w:oddHBand="1" w:evenHBand="0" w:firstRowFirstColumn="0" w:firstRowLastColumn="0" w:lastRowFirstColumn="0" w:lastRowLastColumn="0"/>
          <w:jc w:val="center"/>
        </w:trPr>
        <w:tc>
          <w:tcPr>
            <w:tcW w:w="1877" w:type="pct"/>
          </w:tcPr>
          <w:p w14:paraId="64A0D98E" w14:textId="77777777" w:rsidR="00F6505E" w:rsidRPr="00F6505E" w:rsidRDefault="00F6505E" w:rsidP="000A3D4E">
            <w:pPr>
              <w:rPr>
                <w:rFonts w:cs="Arial"/>
                <w:sz w:val="20"/>
                <w:szCs w:val="20"/>
              </w:rPr>
            </w:pPr>
            <w:r w:rsidRPr="00F6505E">
              <w:rPr>
                <w:rFonts w:cs="Arial"/>
                <w:sz w:val="20"/>
                <w:szCs w:val="20"/>
              </w:rPr>
              <w:t>HD-DVR</w:t>
            </w:r>
          </w:p>
        </w:tc>
        <w:tc>
          <w:tcPr>
            <w:tcW w:w="3123" w:type="pct"/>
          </w:tcPr>
          <w:p w14:paraId="09C6FAB3" w14:textId="77777777" w:rsidR="00F6505E" w:rsidRPr="00F6505E" w:rsidRDefault="00F6505E" w:rsidP="000A3D4E">
            <w:pPr>
              <w:rPr>
                <w:rFonts w:cs="Arial"/>
                <w:sz w:val="20"/>
                <w:szCs w:val="20"/>
              </w:rPr>
            </w:pPr>
            <w:r w:rsidRPr="00F6505E">
              <w:rPr>
                <w:rFonts w:cs="Arial"/>
                <w:sz w:val="20"/>
                <w:szCs w:val="20"/>
              </w:rPr>
              <w:t>242.58</w:t>
            </w:r>
          </w:p>
        </w:tc>
      </w:tr>
    </w:tbl>
    <w:p w14:paraId="70FB1539" w14:textId="77777777" w:rsidR="00F6505E" w:rsidRPr="00F6505E" w:rsidRDefault="00F6505E" w:rsidP="00F6505E">
      <w:pPr>
        <w:pStyle w:val="Reminder"/>
        <w:rPr>
          <w:rFonts w:ascii="Arial" w:hAnsi="Arial" w:cs="Arial"/>
          <w:i w:val="0"/>
          <w:color w:val="auto"/>
          <w:sz w:val="20"/>
          <w:szCs w:val="20"/>
        </w:rPr>
      </w:pPr>
    </w:p>
    <w:p w14:paraId="6B6A0F49" w14:textId="77777777" w:rsidR="00F6505E" w:rsidRPr="00F6505E" w:rsidRDefault="00F6505E" w:rsidP="00F6505E">
      <w:pPr>
        <w:pStyle w:val="Reminder"/>
        <w:rPr>
          <w:rFonts w:ascii="Arial" w:hAnsi="Arial" w:cs="Arial"/>
          <w:i w:val="0"/>
          <w:color w:val="auto"/>
          <w:sz w:val="20"/>
          <w:szCs w:val="20"/>
        </w:rPr>
      </w:pPr>
    </w:p>
    <w:p w14:paraId="5ED94CCB" w14:textId="77777777" w:rsidR="00F6505E" w:rsidRPr="00F6505E" w:rsidRDefault="00F6505E" w:rsidP="00F6505E">
      <w:pPr>
        <w:pStyle w:val="Reminder"/>
        <w:rPr>
          <w:rFonts w:ascii="Arial" w:hAnsi="Arial" w:cs="Arial"/>
          <w:i w:val="0"/>
          <w:color w:val="auto"/>
          <w:sz w:val="20"/>
          <w:szCs w:val="20"/>
        </w:rPr>
      </w:pPr>
      <w:r w:rsidRPr="00F6505E">
        <w:rPr>
          <w:rFonts w:ascii="Arial" w:hAnsi="Arial" w:cs="Arial"/>
          <w:i w:val="0"/>
          <w:color w:val="auto"/>
          <w:sz w:val="20"/>
          <w:szCs w:val="20"/>
        </w:rPr>
        <w:t xml:space="preserve"> The following information was used from the field data obtained through SDG&amp;E’s study:</w:t>
      </w:r>
    </w:p>
    <w:p w14:paraId="5163E987" w14:textId="77777777" w:rsidR="00F6505E" w:rsidRPr="00F6505E" w:rsidRDefault="00F6505E" w:rsidP="00F6505E">
      <w:pPr>
        <w:pStyle w:val="Reminder"/>
        <w:rPr>
          <w:rFonts w:ascii="Arial" w:hAnsi="Arial" w:cs="Arial"/>
          <w:i w:val="0"/>
          <w:color w:val="auto"/>
          <w:sz w:val="20"/>
          <w:szCs w:val="20"/>
        </w:rPr>
      </w:pPr>
    </w:p>
    <w:p w14:paraId="0102BB76" w14:textId="77777777" w:rsidR="00F6505E" w:rsidRPr="00F6505E" w:rsidRDefault="00F6505E" w:rsidP="00F6505E">
      <w:pPr>
        <w:pStyle w:val="Caption"/>
        <w:keepNext/>
        <w:jc w:val="center"/>
        <w:rPr>
          <w:rFonts w:cs="Arial"/>
        </w:rPr>
      </w:pPr>
      <w:bookmarkStart w:id="66" w:name="_Ref416859124"/>
      <w:r w:rsidRPr="00F6505E">
        <w:rPr>
          <w:rFonts w:cs="Arial"/>
        </w:rPr>
        <w:t xml:space="preserve">Table </w:t>
      </w:r>
      <w:r w:rsidRPr="00F6505E">
        <w:rPr>
          <w:rFonts w:cs="Arial"/>
        </w:rPr>
        <w:fldChar w:fldCharType="begin"/>
      </w:r>
      <w:r w:rsidRPr="00F6505E">
        <w:rPr>
          <w:rFonts w:cs="Arial"/>
        </w:rPr>
        <w:instrText xml:space="preserve"> SEQ Table \* ARABIC </w:instrText>
      </w:r>
      <w:r w:rsidRPr="00F6505E">
        <w:rPr>
          <w:rFonts w:cs="Arial"/>
        </w:rPr>
        <w:fldChar w:fldCharType="separate"/>
      </w:r>
      <w:r w:rsidRPr="00F6505E">
        <w:rPr>
          <w:rFonts w:cs="Arial"/>
          <w:noProof/>
        </w:rPr>
        <w:t>9</w:t>
      </w:r>
      <w:r w:rsidRPr="00F6505E">
        <w:rPr>
          <w:rFonts w:cs="Arial"/>
          <w:noProof/>
        </w:rPr>
        <w:fldChar w:fldCharType="end"/>
      </w:r>
      <w:bookmarkEnd w:id="66"/>
      <w:r w:rsidRPr="00F6505E">
        <w:rPr>
          <w:rFonts w:cs="Arial"/>
        </w:rPr>
        <w:t xml:space="preserve"> Field Data for Existing STBs</w:t>
      </w:r>
    </w:p>
    <w:tbl>
      <w:tblPr>
        <w:tblStyle w:val="TableContemporary"/>
        <w:tblW w:w="4000" w:type="pct"/>
        <w:jc w:val="center"/>
        <w:tblLook w:val="01E0" w:firstRow="1" w:lastRow="1" w:firstColumn="1" w:lastColumn="1" w:noHBand="0" w:noVBand="0"/>
      </w:tblPr>
      <w:tblGrid>
        <w:gridCol w:w="1332"/>
        <w:gridCol w:w="1342"/>
        <w:gridCol w:w="1449"/>
        <w:gridCol w:w="1574"/>
        <w:gridCol w:w="1748"/>
      </w:tblGrid>
      <w:tr w:rsidR="00F6505E" w:rsidRPr="00F6505E" w14:paraId="37D88195" w14:textId="77777777" w:rsidTr="000A3D4E">
        <w:trPr>
          <w:cnfStyle w:val="100000000000" w:firstRow="1" w:lastRow="0" w:firstColumn="0" w:lastColumn="0" w:oddVBand="0" w:evenVBand="0" w:oddHBand="0" w:evenHBand="0" w:firstRowFirstColumn="0" w:firstRowLastColumn="0" w:lastRowFirstColumn="0" w:lastRowLastColumn="0"/>
          <w:jc w:val="center"/>
        </w:trPr>
        <w:tc>
          <w:tcPr>
            <w:tcW w:w="894" w:type="pct"/>
          </w:tcPr>
          <w:p w14:paraId="60DE420E" w14:textId="77777777" w:rsidR="00F6505E" w:rsidRPr="00F6505E" w:rsidRDefault="00F6505E" w:rsidP="000A3D4E">
            <w:pPr>
              <w:rPr>
                <w:rFonts w:cs="Arial"/>
                <w:sz w:val="20"/>
                <w:szCs w:val="20"/>
              </w:rPr>
            </w:pPr>
            <w:r w:rsidRPr="00F6505E">
              <w:rPr>
                <w:rFonts w:cs="Arial"/>
                <w:sz w:val="20"/>
                <w:szCs w:val="20"/>
              </w:rPr>
              <w:t>Satellite Box Type</w:t>
            </w:r>
          </w:p>
        </w:tc>
        <w:tc>
          <w:tcPr>
            <w:tcW w:w="901" w:type="pct"/>
          </w:tcPr>
          <w:p w14:paraId="49990906" w14:textId="77777777" w:rsidR="00F6505E" w:rsidRPr="00F6505E" w:rsidRDefault="00F6505E" w:rsidP="000A3D4E">
            <w:pPr>
              <w:rPr>
                <w:rFonts w:cs="Arial"/>
                <w:sz w:val="20"/>
                <w:szCs w:val="20"/>
              </w:rPr>
            </w:pPr>
            <w:r w:rsidRPr="00F6505E">
              <w:rPr>
                <w:rFonts w:cs="Arial"/>
                <w:sz w:val="20"/>
                <w:szCs w:val="20"/>
              </w:rPr>
              <w:t>Average Active Power</w:t>
            </w:r>
          </w:p>
        </w:tc>
        <w:tc>
          <w:tcPr>
            <w:tcW w:w="973" w:type="pct"/>
          </w:tcPr>
          <w:p w14:paraId="0EFC0CBD" w14:textId="77777777" w:rsidR="00F6505E" w:rsidRPr="00F6505E" w:rsidRDefault="00F6505E" w:rsidP="000A3D4E">
            <w:pPr>
              <w:rPr>
                <w:rFonts w:cs="Arial"/>
                <w:sz w:val="20"/>
                <w:szCs w:val="20"/>
              </w:rPr>
            </w:pPr>
            <w:r w:rsidRPr="00F6505E">
              <w:rPr>
                <w:rFonts w:cs="Arial"/>
                <w:sz w:val="20"/>
                <w:szCs w:val="20"/>
              </w:rPr>
              <w:t>Average Inactive Power</w:t>
            </w:r>
          </w:p>
        </w:tc>
        <w:tc>
          <w:tcPr>
            <w:tcW w:w="1057" w:type="pct"/>
          </w:tcPr>
          <w:p w14:paraId="7681752A" w14:textId="77777777" w:rsidR="00F6505E" w:rsidRPr="00F6505E" w:rsidRDefault="00F6505E" w:rsidP="000A3D4E">
            <w:pPr>
              <w:rPr>
                <w:rFonts w:cs="Arial"/>
                <w:sz w:val="20"/>
                <w:szCs w:val="20"/>
                <w:highlight w:val="yellow"/>
              </w:rPr>
            </w:pPr>
            <w:r w:rsidRPr="00F6505E">
              <w:rPr>
                <w:rFonts w:cs="Arial"/>
                <w:sz w:val="20"/>
                <w:szCs w:val="20"/>
              </w:rPr>
              <w:t>Hours Watched Per Day</w:t>
            </w:r>
          </w:p>
        </w:tc>
        <w:tc>
          <w:tcPr>
            <w:tcW w:w="1174" w:type="pct"/>
          </w:tcPr>
          <w:p w14:paraId="5F78C989" w14:textId="77777777" w:rsidR="00F6505E" w:rsidRPr="00F6505E" w:rsidRDefault="00F6505E" w:rsidP="000A3D4E">
            <w:pPr>
              <w:rPr>
                <w:rFonts w:cs="Arial"/>
                <w:sz w:val="20"/>
                <w:szCs w:val="20"/>
              </w:rPr>
            </w:pPr>
            <w:r w:rsidRPr="00F6505E">
              <w:rPr>
                <w:rFonts w:cs="Arial"/>
                <w:sz w:val="20"/>
                <w:szCs w:val="20"/>
              </w:rPr>
              <w:t>Inactive Hours Per Day</w:t>
            </w:r>
          </w:p>
        </w:tc>
      </w:tr>
      <w:tr w:rsidR="00F6505E" w:rsidRPr="00F6505E" w14:paraId="278E0516" w14:textId="77777777" w:rsidTr="000A3D4E">
        <w:trPr>
          <w:cnfStyle w:val="000000100000" w:firstRow="0" w:lastRow="0" w:firstColumn="0" w:lastColumn="0" w:oddVBand="0" w:evenVBand="0" w:oddHBand="1" w:evenHBand="0" w:firstRowFirstColumn="0" w:firstRowLastColumn="0" w:lastRowFirstColumn="0" w:lastRowLastColumn="0"/>
          <w:jc w:val="center"/>
        </w:trPr>
        <w:tc>
          <w:tcPr>
            <w:tcW w:w="894" w:type="pct"/>
          </w:tcPr>
          <w:p w14:paraId="07F011CA" w14:textId="77777777" w:rsidR="00F6505E" w:rsidRPr="00F6505E" w:rsidRDefault="00F6505E" w:rsidP="000A3D4E">
            <w:pPr>
              <w:rPr>
                <w:rFonts w:cs="Arial"/>
                <w:sz w:val="20"/>
                <w:szCs w:val="20"/>
              </w:rPr>
            </w:pPr>
            <w:r w:rsidRPr="00F6505E">
              <w:rPr>
                <w:rFonts w:cs="Arial"/>
                <w:sz w:val="20"/>
                <w:szCs w:val="20"/>
              </w:rPr>
              <w:t>SD-DVR</w:t>
            </w:r>
          </w:p>
        </w:tc>
        <w:tc>
          <w:tcPr>
            <w:tcW w:w="901" w:type="pct"/>
          </w:tcPr>
          <w:p w14:paraId="1FE73200" w14:textId="77777777" w:rsidR="00F6505E" w:rsidRPr="00F6505E" w:rsidRDefault="00F6505E" w:rsidP="000A3D4E">
            <w:pPr>
              <w:rPr>
                <w:rFonts w:cs="Arial"/>
                <w:sz w:val="20"/>
                <w:szCs w:val="20"/>
              </w:rPr>
            </w:pPr>
            <w:r w:rsidRPr="00F6505E">
              <w:rPr>
                <w:rFonts w:cs="Arial"/>
                <w:sz w:val="20"/>
                <w:szCs w:val="20"/>
              </w:rPr>
              <w:t>24.7</w:t>
            </w:r>
          </w:p>
        </w:tc>
        <w:tc>
          <w:tcPr>
            <w:tcW w:w="973" w:type="pct"/>
          </w:tcPr>
          <w:p w14:paraId="0375E5A6" w14:textId="77777777" w:rsidR="00F6505E" w:rsidRPr="00F6505E" w:rsidRDefault="00F6505E" w:rsidP="000A3D4E">
            <w:pPr>
              <w:rPr>
                <w:rFonts w:cs="Arial"/>
                <w:sz w:val="20"/>
                <w:szCs w:val="20"/>
              </w:rPr>
            </w:pPr>
            <w:r w:rsidRPr="00F6505E">
              <w:rPr>
                <w:rFonts w:cs="Arial"/>
                <w:sz w:val="20"/>
                <w:szCs w:val="20"/>
              </w:rPr>
              <w:t>23.5</w:t>
            </w:r>
          </w:p>
        </w:tc>
        <w:tc>
          <w:tcPr>
            <w:tcW w:w="1057" w:type="pct"/>
          </w:tcPr>
          <w:p w14:paraId="5CF7B4E5" w14:textId="77777777" w:rsidR="00F6505E" w:rsidRPr="00F6505E" w:rsidRDefault="00F6505E" w:rsidP="000A3D4E">
            <w:pPr>
              <w:rPr>
                <w:rFonts w:cs="Arial"/>
                <w:sz w:val="20"/>
                <w:szCs w:val="20"/>
              </w:rPr>
            </w:pPr>
            <w:r w:rsidRPr="00F6505E">
              <w:rPr>
                <w:rFonts w:cs="Arial"/>
                <w:sz w:val="20"/>
                <w:szCs w:val="20"/>
              </w:rPr>
              <w:t>5</w:t>
            </w:r>
          </w:p>
        </w:tc>
        <w:tc>
          <w:tcPr>
            <w:tcW w:w="1174" w:type="pct"/>
          </w:tcPr>
          <w:p w14:paraId="25E399BF" w14:textId="77777777" w:rsidR="00F6505E" w:rsidRPr="00F6505E" w:rsidRDefault="00F6505E" w:rsidP="000A3D4E">
            <w:pPr>
              <w:rPr>
                <w:rFonts w:cs="Arial"/>
                <w:sz w:val="20"/>
                <w:szCs w:val="20"/>
              </w:rPr>
            </w:pPr>
            <w:r w:rsidRPr="00F6505E">
              <w:rPr>
                <w:rFonts w:cs="Arial"/>
                <w:sz w:val="20"/>
                <w:szCs w:val="20"/>
              </w:rPr>
              <w:t>19</w:t>
            </w:r>
          </w:p>
        </w:tc>
      </w:tr>
      <w:tr w:rsidR="00F6505E" w:rsidRPr="00F6505E" w14:paraId="450FACB8" w14:textId="77777777" w:rsidTr="000A3D4E">
        <w:trPr>
          <w:cnfStyle w:val="000000010000" w:firstRow="0" w:lastRow="0" w:firstColumn="0" w:lastColumn="0" w:oddVBand="0" w:evenVBand="0" w:oddHBand="0" w:evenHBand="1" w:firstRowFirstColumn="0" w:firstRowLastColumn="0" w:lastRowFirstColumn="0" w:lastRowLastColumn="0"/>
          <w:jc w:val="center"/>
        </w:trPr>
        <w:tc>
          <w:tcPr>
            <w:tcW w:w="894" w:type="pct"/>
          </w:tcPr>
          <w:p w14:paraId="0E65E886" w14:textId="77777777" w:rsidR="00F6505E" w:rsidRPr="00F6505E" w:rsidRDefault="00F6505E" w:rsidP="000A3D4E">
            <w:pPr>
              <w:rPr>
                <w:rFonts w:cs="Arial"/>
                <w:sz w:val="20"/>
                <w:szCs w:val="20"/>
              </w:rPr>
            </w:pPr>
            <w:r w:rsidRPr="00F6505E">
              <w:rPr>
                <w:rFonts w:cs="Arial"/>
                <w:sz w:val="20"/>
                <w:szCs w:val="20"/>
              </w:rPr>
              <w:t>HD-DVR</w:t>
            </w:r>
          </w:p>
        </w:tc>
        <w:tc>
          <w:tcPr>
            <w:tcW w:w="901" w:type="pct"/>
          </w:tcPr>
          <w:p w14:paraId="769613C0" w14:textId="77777777" w:rsidR="00F6505E" w:rsidRPr="00F6505E" w:rsidRDefault="00F6505E" w:rsidP="000A3D4E">
            <w:pPr>
              <w:rPr>
                <w:rFonts w:cs="Arial"/>
                <w:sz w:val="20"/>
                <w:szCs w:val="20"/>
              </w:rPr>
            </w:pPr>
            <w:r w:rsidRPr="00F6505E">
              <w:rPr>
                <w:rFonts w:cs="Arial"/>
                <w:sz w:val="20"/>
                <w:szCs w:val="20"/>
              </w:rPr>
              <w:t>32.8</w:t>
            </w:r>
          </w:p>
        </w:tc>
        <w:tc>
          <w:tcPr>
            <w:tcW w:w="973" w:type="pct"/>
          </w:tcPr>
          <w:p w14:paraId="768099FE" w14:textId="77777777" w:rsidR="00F6505E" w:rsidRPr="00F6505E" w:rsidRDefault="00F6505E" w:rsidP="000A3D4E">
            <w:pPr>
              <w:rPr>
                <w:rFonts w:cs="Arial"/>
                <w:sz w:val="20"/>
                <w:szCs w:val="20"/>
              </w:rPr>
            </w:pPr>
            <w:r w:rsidRPr="00F6505E">
              <w:rPr>
                <w:rFonts w:cs="Arial"/>
                <w:sz w:val="20"/>
                <w:szCs w:val="20"/>
              </w:rPr>
              <w:t>31.9</w:t>
            </w:r>
          </w:p>
        </w:tc>
        <w:tc>
          <w:tcPr>
            <w:tcW w:w="1057" w:type="pct"/>
          </w:tcPr>
          <w:p w14:paraId="3EA09F2F" w14:textId="77777777" w:rsidR="00F6505E" w:rsidRPr="00F6505E" w:rsidRDefault="00F6505E" w:rsidP="000A3D4E">
            <w:pPr>
              <w:rPr>
                <w:rFonts w:cs="Arial"/>
                <w:sz w:val="20"/>
                <w:szCs w:val="20"/>
              </w:rPr>
            </w:pPr>
            <w:r w:rsidRPr="00F6505E">
              <w:rPr>
                <w:rFonts w:cs="Arial"/>
                <w:sz w:val="20"/>
                <w:szCs w:val="20"/>
              </w:rPr>
              <w:t>6</w:t>
            </w:r>
          </w:p>
        </w:tc>
        <w:tc>
          <w:tcPr>
            <w:tcW w:w="1174" w:type="pct"/>
          </w:tcPr>
          <w:p w14:paraId="330795EE" w14:textId="77777777" w:rsidR="00F6505E" w:rsidRPr="00F6505E" w:rsidRDefault="00F6505E" w:rsidP="000A3D4E">
            <w:pPr>
              <w:rPr>
                <w:rFonts w:cs="Arial"/>
                <w:sz w:val="20"/>
                <w:szCs w:val="20"/>
              </w:rPr>
            </w:pPr>
            <w:r w:rsidRPr="00F6505E">
              <w:rPr>
                <w:rFonts w:cs="Arial"/>
                <w:sz w:val="20"/>
                <w:szCs w:val="20"/>
              </w:rPr>
              <w:t>18</w:t>
            </w:r>
          </w:p>
        </w:tc>
      </w:tr>
    </w:tbl>
    <w:p w14:paraId="0561DFD8" w14:textId="77777777" w:rsidR="00F6505E" w:rsidRPr="00F6505E" w:rsidRDefault="00F6505E" w:rsidP="00F6505E">
      <w:pPr>
        <w:pStyle w:val="Reminder"/>
        <w:rPr>
          <w:rFonts w:ascii="Arial" w:hAnsi="Arial" w:cs="Arial"/>
          <w:i w:val="0"/>
          <w:color w:val="auto"/>
          <w:sz w:val="20"/>
          <w:szCs w:val="20"/>
        </w:rPr>
      </w:pPr>
    </w:p>
    <w:p w14:paraId="16D52282" w14:textId="77777777" w:rsidR="00F6505E" w:rsidRPr="00F6505E" w:rsidRDefault="00F6505E" w:rsidP="00F6505E">
      <w:pPr>
        <w:pStyle w:val="Reminder"/>
        <w:rPr>
          <w:rFonts w:ascii="Arial" w:hAnsi="Arial" w:cs="Arial"/>
          <w:i w:val="0"/>
          <w:color w:val="auto"/>
          <w:sz w:val="20"/>
          <w:szCs w:val="20"/>
        </w:rPr>
      </w:pPr>
    </w:p>
    <w:p w14:paraId="0999A22E" w14:textId="77777777" w:rsidR="00F6505E" w:rsidRPr="00F6505E" w:rsidRDefault="00F6505E" w:rsidP="00F6505E">
      <w:pPr>
        <w:pStyle w:val="Reminder"/>
        <w:rPr>
          <w:rFonts w:ascii="Arial" w:hAnsi="Arial" w:cs="Arial"/>
          <w:i w:val="0"/>
          <w:color w:val="auto"/>
          <w:sz w:val="20"/>
          <w:szCs w:val="20"/>
        </w:rPr>
      </w:pPr>
      <w:r w:rsidRPr="00F6505E">
        <w:rPr>
          <w:rFonts w:ascii="Arial" w:hAnsi="Arial" w:cs="Arial"/>
          <w:i w:val="0"/>
          <w:color w:val="auto"/>
          <w:sz w:val="20"/>
          <w:szCs w:val="20"/>
        </w:rPr>
        <w:t>Using the following equation, the yearly energy consumption was found for the STBs using the field data:</w:t>
      </w:r>
    </w:p>
    <w:p w14:paraId="65EF8717" w14:textId="77777777" w:rsidR="00F6505E" w:rsidRPr="00F6505E" w:rsidRDefault="00F6505E" w:rsidP="00F6505E">
      <w:pPr>
        <w:pStyle w:val="Reminder"/>
        <w:rPr>
          <w:rFonts w:ascii="Arial" w:hAnsi="Arial" w:cs="Arial"/>
          <w:i w:val="0"/>
          <w:color w:val="auto"/>
          <w:sz w:val="20"/>
          <w:szCs w:val="20"/>
        </w:rPr>
      </w:pPr>
    </w:p>
    <w:p w14:paraId="311E6907" w14:textId="77777777" w:rsidR="00F6505E" w:rsidRPr="00F6505E" w:rsidRDefault="00F6505E" w:rsidP="00F6505E">
      <w:pPr>
        <w:pStyle w:val="Caption"/>
        <w:rPr>
          <w:rFonts w:cs="Arial"/>
          <w:i/>
        </w:rPr>
      </w:pPr>
      <w:r w:rsidRPr="00F6505E">
        <w:rPr>
          <w:rFonts w:cs="Arial"/>
        </w:rPr>
        <w:t xml:space="preserve">Equation </w:t>
      </w:r>
      <w:r w:rsidRPr="00F6505E">
        <w:rPr>
          <w:rFonts w:cs="Arial"/>
        </w:rPr>
        <w:fldChar w:fldCharType="begin"/>
      </w:r>
      <w:r w:rsidRPr="00F6505E">
        <w:rPr>
          <w:rFonts w:cs="Arial"/>
        </w:rPr>
        <w:instrText xml:space="preserve"> SEQ Equation \* ARABIC </w:instrText>
      </w:r>
      <w:r w:rsidRPr="00F6505E">
        <w:rPr>
          <w:rFonts w:cs="Arial"/>
        </w:rPr>
        <w:fldChar w:fldCharType="separate"/>
      </w:r>
      <w:r w:rsidRPr="00F6505E">
        <w:rPr>
          <w:rFonts w:cs="Arial"/>
          <w:noProof/>
        </w:rPr>
        <w:t>1</w:t>
      </w:r>
      <w:r w:rsidRPr="00F6505E">
        <w:rPr>
          <w:rFonts w:cs="Arial"/>
          <w:noProof/>
        </w:rPr>
        <w:fldChar w:fldCharType="end"/>
      </w:r>
      <w:r w:rsidRPr="00F6505E">
        <w:rPr>
          <w:rFonts w:cs="Arial"/>
        </w:rPr>
        <w:t xml:space="preserve"> Yearly Consumption Energy</w:t>
      </w:r>
    </w:p>
    <w:p w14:paraId="76B00C0E" w14:textId="77777777" w:rsidR="00F6505E" w:rsidRPr="00F6505E" w:rsidRDefault="00F6505E" w:rsidP="00F6505E">
      <w:pPr>
        <w:pStyle w:val="Reminder"/>
        <w:ind w:left="3150" w:hanging="3150"/>
        <w:rPr>
          <w:rFonts w:ascii="Arial" w:hAnsi="Arial" w:cs="Arial"/>
          <w:color w:val="auto"/>
          <w:sz w:val="20"/>
          <w:szCs w:val="20"/>
        </w:rPr>
      </w:pPr>
      <w:r w:rsidRPr="00F6505E">
        <w:rPr>
          <w:rFonts w:ascii="Arial" w:hAnsi="Arial" w:cs="Arial"/>
          <w:color w:val="auto"/>
          <w:sz w:val="20"/>
          <w:szCs w:val="20"/>
        </w:rPr>
        <w:t>Yearly Consumption (kWh/year) = [(Average Active Power*Active Hours Watched per Day) + (Average Inactive Power*Inactive Hours per Day)]*(365 days/year)*(1 Watt/kW)</w:t>
      </w:r>
    </w:p>
    <w:p w14:paraId="5ACB5F1C" w14:textId="77777777" w:rsidR="00F6505E" w:rsidRPr="00F6505E" w:rsidRDefault="00F6505E" w:rsidP="00F6505E">
      <w:pPr>
        <w:pStyle w:val="Reminder"/>
        <w:rPr>
          <w:rFonts w:ascii="Arial" w:hAnsi="Arial" w:cs="Arial"/>
          <w:i w:val="0"/>
          <w:color w:val="auto"/>
          <w:sz w:val="20"/>
          <w:szCs w:val="20"/>
        </w:rPr>
      </w:pPr>
    </w:p>
    <w:p w14:paraId="470C8FE9" w14:textId="77777777" w:rsidR="00F6505E" w:rsidRPr="00F6505E" w:rsidRDefault="00F6505E" w:rsidP="00F6505E">
      <w:pPr>
        <w:pStyle w:val="Reminder"/>
        <w:rPr>
          <w:rFonts w:ascii="Arial" w:hAnsi="Arial" w:cs="Arial"/>
          <w:i w:val="0"/>
          <w:color w:val="auto"/>
          <w:sz w:val="20"/>
          <w:szCs w:val="20"/>
        </w:rPr>
      </w:pPr>
      <w:r w:rsidRPr="00F6505E">
        <w:rPr>
          <w:rFonts w:ascii="Arial" w:hAnsi="Arial" w:cs="Arial"/>
          <w:i w:val="0"/>
          <w:color w:val="auto"/>
          <w:sz w:val="20"/>
          <w:szCs w:val="20"/>
        </w:rPr>
        <w:t>Based on the previous equation, the energy usage for the STBs in the field study are as follows:</w:t>
      </w:r>
    </w:p>
    <w:p w14:paraId="47F9B636" w14:textId="77777777" w:rsidR="00F6505E" w:rsidRPr="00F6505E" w:rsidRDefault="00F6505E" w:rsidP="00F6505E">
      <w:pPr>
        <w:pStyle w:val="Reminder"/>
        <w:rPr>
          <w:rFonts w:ascii="Arial" w:hAnsi="Arial" w:cs="Arial"/>
          <w:i w:val="0"/>
          <w:color w:val="auto"/>
          <w:sz w:val="20"/>
          <w:szCs w:val="20"/>
        </w:rPr>
      </w:pPr>
    </w:p>
    <w:p w14:paraId="51D003EB" w14:textId="77777777" w:rsidR="00F6505E" w:rsidRPr="00F6505E" w:rsidRDefault="00F6505E" w:rsidP="00F6505E">
      <w:pPr>
        <w:pStyle w:val="Caption"/>
        <w:keepNext/>
        <w:jc w:val="center"/>
        <w:rPr>
          <w:rFonts w:cs="Arial"/>
        </w:rPr>
      </w:pPr>
      <w:bookmarkStart w:id="67" w:name="_Ref416678980"/>
      <w:r w:rsidRPr="00F6505E">
        <w:rPr>
          <w:rFonts w:cs="Arial"/>
        </w:rPr>
        <w:t xml:space="preserve">Table </w:t>
      </w:r>
      <w:r w:rsidRPr="00F6505E">
        <w:rPr>
          <w:rFonts w:cs="Arial"/>
        </w:rPr>
        <w:fldChar w:fldCharType="begin"/>
      </w:r>
      <w:r w:rsidRPr="00F6505E">
        <w:rPr>
          <w:rFonts w:cs="Arial"/>
        </w:rPr>
        <w:instrText xml:space="preserve"> SEQ Table \* ARABIC </w:instrText>
      </w:r>
      <w:r w:rsidRPr="00F6505E">
        <w:rPr>
          <w:rFonts w:cs="Arial"/>
        </w:rPr>
        <w:fldChar w:fldCharType="separate"/>
      </w:r>
      <w:r w:rsidRPr="00F6505E">
        <w:rPr>
          <w:rFonts w:cs="Arial"/>
          <w:noProof/>
        </w:rPr>
        <w:t>10</w:t>
      </w:r>
      <w:r w:rsidRPr="00F6505E">
        <w:rPr>
          <w:rFonts w:cs="Arial"/>
          <w:noProof/>
        </w:rPr>
        <w:fldChar w:fldCharType="end"/>
      </w:r>
      <w:bookmarkEnd w:id="67"/>
      <w:r w:rsidRPr="00F6505E">
        <w:rPr>
          <w:rFonts w:cs="Arial"/>
        </w:rPr>
        <w:t xml:space="preserve"> Yearly Energy Consumption</w:t>
      </w:r>
    </w:p>
    <w:tbl>
      <w:tblPr>
        <w:tblStyle w:val="TableContemporary"/>
        <w:tblW w:w="3045" w:type="pct"/>
        <w:jc w:val="center"/>
        <w:tblLook w:val="01E0" w:firstRow="1" w:lastRow="1" w:firstColumn="1" w:lastColumn="1" w:noHBand="0" w:noVBand="0"/>
      </w:tblPr>
      <w:tblGrid>
        <w:gridCol w:w="2765"/>
        <w:gridCol w:w="2902"/>
      </w:tblGrid>
      <w:tr w:rsidR="00F6505E" w:rsidRPr="00F6505E" w14:paraId="38D7B1A9" w14:textId="77777777" w:rsidTr="000A3D4E">
        <w:trPr>
          <w:cnfStyle w:val="100000000000" w:firstRow="1" w:lastRow="0" w:firstColumn="0" w:lastColumn="0" w:oddVBand="0" w:evenVBand="0" w:oddHBand="0" w:evenHBand="0" w:firstRowFirstColumn="0" w:firstRowLastColumn="0" w:lastRowFirstColumn="0" w:lastRowLastColumn="0"/>
          <w:jc w:val="center"/>
        </w:trPr>
        <w:tc>
          <w:tcPr>
            <w:tcW w:w="2440" w:type="pct"/>
          </w:tcPr>
          <w:p w14:paraId="34332118" w14:textId="77777777" w:rsidR="00F6505E" w:rsidRPr="00F6505E" w:rsidRDefault="00F6505E" w:rsidP="000A3D4E">
            <w:pPr>
              <w:rPr>
                <w:rFonts w:cs="Arial"/>
                <w:sz w:val="20"/>
                <w:szCs w:val="20"/>
              </w:rPr>
            </w:pPr>
            <w:r w:rsidRPr="00F6505E">
              <w:rPr>
                <w:rFonts w:cs="Arial"/>
                <w:sz w:val="20"/>
                <w:szCs w:val="20"/>
              </w:rPr>
              <w:t>Satellite Box Type</w:t>
            </w:r>
          </w:p>
        </w:tc>
        <w:tc>
          <w:tcPr>
            <w:tcW w:w="2560" w:type="pct"/>
          </w:tcPr>
          <w:p w14:paraId="28895D94" w14:textId="77777777" w:rsidR="00F6505E" w:rsidRPr="00F6505E" w:rsidRDefault="00F6505E" w:rsidP="000A3D4E">
            <w:pPr>
              <w:rPr>
                <w:rFonts w:cs="Arial"/>
                <w:sz w:val="20"/>
                <w:szCs w:val="20"/>
              </w:rPr>
            </w:pPr>
            <w:r w:rsidRPr="00F6505E">
              <w:rPr>
                <w:rFonts w:cs="Arial"/>
                <w:sz w:val="20"/>
                <w:szCs w:val="20"/>
              </w:rPr>
              <w:t>Yearly Energy Consumption (kWh/year)</w:t>
            </w:r>
          </w:p>
        </w:tc>
      </w:tr>
      <w:tr w:rsidR="00F6505E" w:rsidRPr="00F6505E" w14:paraId="6F0102E2" w14:textId="77777777" w:rsidTr="000A3D4E">
        <w:trPr>
          <w:cnfStyle w:val="000000100000" w:firstRow="0" w:lastRow="0" w:firstColumn="0" w:lastColumn="0" w:oddVBand="0" w:evenVBand="0" w:oddHBand="1" w:evenHBand="0" w:firstRowFirstColumn="0" w:firstRowLastColumn="0" w:lastRowFirstColumn="0" w:lastRowLastColumn="0"/>
          <w:jc w:val="center"/>
        </w:trPr>
        <w:tc>
          <w:tcPr>
            <w:tcW w:w="2440" w:type="pct"/>
          </w:tcPr>
          <w:p w14:paraId="45C77164" w14:textId="77777777" w:rsidR="00F6505E" w:rsidRPr="00F6505E" w:rsidRDefault="00F6505E" w:rsidP="000A3D4E">
            <w:pPr>
              <w:rPr>
                <w:rFonts w:cs="Arial"/>
                <w:sz w:val="20"/>
                <w:szCs w:val="20"/>
              </w:rPr>
            </w:pPr>
            <w:r w:rsidRPr="00F6505E">
              <w:rPr>
                <w:rFonts w:cs="Arial"/>
                <w:sz w:val="20"/>
                <w:szCs w:val="20"/>
              </w:rPr>
              <w:t>SD-DVR</w:t>
            </w:r>
          </w:p>
        </w:tc>
        <w:tc>
          <w:tcPr>
            <w:tcW w:w="2560" w:type="pct"/>
          </w:tcPr>
          <w:p w14:paraId="0F55F0BC" w14:textId="77777777" w:rsidR="00F6505E" w:rsidRPr="00F6505E" w:rsidRDefault="00F6505E" w:rsidP="000A3D4E">
            <w:pPr>
              <w:rPr>
                <w:rFonts w:cs="Arial"/>
                <w:sz w:val="20"/>
                <w:szCs w:val="20"/>
              </w:rPr>
            </w:pPr>
            <w:r w:rsidRPr="00F6505E">
              <w:rPr>
                <w:rFonts w:cs="Arial"/>
                <w:sz w:val="20"/>
                <w:szCs w:val="20"/>
              </w:rPr>
              <w:t>208.05</w:t>
            </w:r>
          </w:p>
        </w:tc>
      </w:tr>
      <w:tr w:rsidR="00F6505E" w:rsidRPr="00F6505E" w14:paraId="66771755" w14:textId="77777777" w:rsidTr="000A3D4E">
        <w:trPr>
          <w:cnfStyle w:val="000000010000" w:firstRow="0" w:lastRow="0" w:firstColumn="0" w:lastColumn="0" w:oddVBand="0" w:evenVBand="0" w:oddHBand="0" w:evenHBand="1" w:firstRowFirstColumn="0" w:firstRowLastColumn="0" w:lastRowFirstColumn="0" w:lastRowLastColumn="0"/>
          <w:jc w:val="center"/>
        </w:trPr>
        <w:tc>
          <w:tcPr>
            <w:tcW w:w="2440" w:type="pct"/>
          </w:tcPr>
          <w:p w14:paraId="14D886D9" w14:textId="77777777" w:rsidR="00F6505E" w:rsidRPr="00F6505E" w:rsidRDefault="00F6505E" w:rsidP="000A3D4E">
            <w:pPr>
              <w:rPr>
                <w:rFonts w:cs="Arial"/>
                <w:sz w:val="20"/>
                <w:szCs w:val="20"/>
              </w:rPr>
            </w:pPr>
            <w:r w:rsidRPr="00F6505E">
              <w:rPr>
                <w:rFonts w:cs="Arial"/>
                <w:sz w:val="20"/>
                <w:szCs w:val="20"/>
              </w:rPr>
              <w:t>HD-DVR</w:t>
            </w:r>
          </w:p>
        </w:tc>
        <w:tc>
          <w:tcPr>
            <w:tcW w:w="2560" w:type="pct"/>
          </w:tcPr>
          <w:p w14:paraId="51B9F84A" w14:textId="77777777" w:rsidR="00F6505E" w:rsidRPr="00F6505E" w:rsidRDefault="00F6505E" w:rsidP="000A3D4E">
            <w:pPr>
              <w:rPr>
                <w:rFonts w:cs="Arial"/>
                <w:sz w:val="20"/>
                <w:szCs w:val="20"/>
              </w:rPr>
            </w:pPr>
            <w:r w:rsidRPr="00F6505E">
              <w:rPr>
                <w:rFonts w:cs="Arial"/>
                <w:sz w:val="20"/>
                <w:szCs w:val="20"/>
              </w:rPr>
              <w:t>281.42</w:t>
            </w:r>
          </w:p>
        </w:tc>
      </w:tr>
    </w:tbl>
    <w:p w14:paraId="01C6F9AA" w14:textId="77777777" w:rsidR="00F6505E" w:rsidRPr="00F6505E" w:rsidRDefault="00F6505E" w:rsidP="00F6505E">
      <w:pPr>
        <w:pStyle w:val="Reminder"/>
        <w:rPr>
          <w:rFonts w:ascii="Arial" w:hAnsi="Arial" w:cs="Arial"/>
          <w:i w:val="0"/>
          <w:color w:val="auto"/>
          <w:sz w:val="20"/>
          <w:szCs w:val="20"/>
        </w:rPr>
      </w:pPr>
    </w:p>
    <w:p w14:paraId="4964A3CF" w14:textId="77777777" w:rsidR="00F6505E" w:rsidRPr="00F6505E" w:rsidRDefault="00F6505E" w:rsidP="00F6505E">
      <w:pPr>
        <w:pStyle w:val="Reminder"/>
        <w:rPr>
          <w:rFonts w:ascii="Arial" w:hAnsi="Arial" w:cs="Arial"/>
          <w:i w:val="0"/>
          <w:color w:val="auto"/>
          <w:sz w:val="20"/>
          <w:szCs w:val="20"/>
        </w:rPr>
      </w:pPr>
      <w:r w:rsidRPr="00F6505E">
        <w:rPr>
          <w:rFonts w:ascii="Arial" w:hAnsi="Arial" w:cs="Arial"/>
          <w:i w:val="0"/>
          <w:color w:val="auto"/>
          <w:sz w:val="20"/>
          <w:szCs w:val="20"/>
        </w:rPr>
        <w:t>The measure case usage can be found from the Energy Star Specs, V2.0 (as a baseline proxy), V3.0, and V4.1.</w:t>
      </w:r>
    </w:p>
    <w:p w14:paraId="34ED06C2" w14:textId="77777777" w:rsidR="00F6505E" w:rsidRPr="00F6505E" w:rsidRDefault="00F6505E" w:rsidP="00F6505E">
      <w:pPr>
        <w:pStyle w:val="Reminder"/>
        <w:rPr>
          <w:rFonts w:ascii="Arial" w:hAnsi="Arial" w:cs="Arial"/>
          <w:i w:val="0"/>
          <w:color w:val="auto"/>
          <w:sz w:val="20"/>
          <w:szCs w:val="20"/>
        </w:rPr>
      </w:pPr>
    </w:p>
    <w:p w14:paraId="042900B2" w14:textId="77777777" w:rsidR="00F6505E" w:rsidRPr="00F6505E" w:rsidRDefault="00F6505E" w:rsidP="00F6505E">
      <w:pPr>
        <w:pStyle w:val="Reminder"/>
        <w:rPr>
          <w:rFonts w:ascii="Arial" w:hAnsi="Arial" w:cs="Arial"/>
          <w:color w:val="auto"/>
          <w:sz w:val="20"/>
          <w:szCs w:val="20"/>
        </w:rPr>
      </w:pPr>
      <w:r w:rsidRPr="00F6505E">
        <w:rPr>
          <w:rFonts w:ascii="Arial" w:hAnsi="Arial" w:cs="Arial"/>
          <w:color w:val="auto"/>
          <w:sz w:val="20"/>
          <w:szCs w:val="20"/>
        </w:rPr>
        <w:t>A sample calculation is shown below for a Non Energy Star HD-DVR STB being replaced by Energy Star 4.1 Thin Client:</w:t>
      </w:r>
    </w:p>
    <w:p w14:paraId="340C5354" w14:textId="77777777" w:rsidR="00F6505E" w:rsidRPr="00F6505E" w:rsidRDefault="00F6505E" w:rsidP="00F6505E">
      <w:pPr>
        <w:pStyle w:val="Reminder"/>
        <w:rPr>
          <w:rFonts w:ascii="Arial" w:hAnsi="Arial" w:cs="Arial"/>
          <w:i w:val="0"/>
          <w:color w:val="auto"/>
          <w:sz w:val="20"/>
          <w:szCs w:val="20"/>
        </w:rPr>
      </w:pPr>
    </w:p>
    <w:p w14:paraId="57E58CDD" w14:textId="097E8D10" w:rsidR="00F6505E" w:rsidRPr="00F6505E" w:rsidRDefault="00F6505E" w:rsidP="00F6505E">
      <w:pPr>
        <w:pStyle w:val="Reminder"/>
        <w:numPr>
          <w:ilvl w:val="0"/>
          <w:numId w:val="20"/>
        </w:numPr>
        <w:rPr>
          <w:rFonts w:ascii="Arial" w:hAnsi="Arial" w:cs="Arial"/>
          <w:i w:val="0"/>
          <w:color w:val="auto"/>
          <w:sz w:val="20"/>
          <w:szCs w:val="20"/>
        </w:rPr>
      </w:pPr>
      <w:r w:rsidRPr="00F6505E">
        <w:rPr>
          <w:rFonts w:ascii="Arial" w:hAnsi="Arial" w:cs="Arial"/>
          <w:i w:val="0"/>
          <w:color w:val="auto"/>
          <w:sz w:val="20"/>
          <w:szCs w:val="20"/>
        </w:rPr>
        <w:t>Baseline Usage: 2</w:t>
      </w:r>
      <w:r w:rsidR="00FF1184">
        <w:rPr>
          <w:rFonts w:ascii="Arial" w:hAnsi="Arial" w:cs="Arial"/>
          <w:i w:val="0"/>
          <w:color w:val="auto"/>
          <w:sz w:val="20"/>
          <w:szCs w:val="20"/>
        </w:rPr>
        <w:t>42.58</w:t>
      </w:r>
      <w:r w:rsidRPr="00F6505E">
        <w:rPr>
          <w:rFonts w:ascii="Arial" w:hAnsi="Arial" w:cs="Arial"/>
          <w:i w:val="0"/>
          <w:color w:val="auto"/>
          <w:sz w:val="20"/>
          <w:szCs w:val="20"/>
        </w:rPr>
        <w:t xml:space="preserve"> </w:t>
      </w:r>
      <w:r w:rsidRPr="00314715">
        <w:rPr>
          <w:rFonts w:ascii="Arial" w:hAnsi="Arial" w:cs="Arial"/>
          <w:i w:val="0"/>
          <w:color w:val="auto"/>
          <w:sz w:val="20"/>
          <w:szCs w:val="20"/>
        </w:rPr>
        <w:t xml:space="preserve">kWh/year (see </w:t>
      </w:r>
      <w:r w:rsidR="00314715" w:rsidRPr="00314715">
        <w:rPr>
          <w:rFonts w:ascii="Arial" w:hAnsi="Arial" w:cs="Arial"/>
          <w:i w:val="0"/>
          <w:color w:val="auto"/>
          <w:sz w:val="20"/>
          <w:szCs w:val="20"/>
        </w:rPr>
        <w:fldChar w:fldCharType="begin"/>
      </w:r>
      <w:r w:rsidR="00314715" w:rsidRPr="00314715">
        <w:rPr>
          <w:rFonts w:ascii="Arial" w:hAnsi="Arial" w:cs="Arial"/>
          <w:i w:val="0"/>
          <w:color w:val="auto"/>
          <w:sz w:val="20"/>
          <w:szCs w:val="20"/>
        </w:rPr>
        <w:instrText xml:space="preserve"> REF _Ref416859182 \h  \* MERGEFORMAT </w:instrText>
      </w:r>
      <w:r w:rsidR="00314715" w:rsidRPr="00314715">
        <w:rPr>
          <w:rFonts w:ascii="Arial" w:hAnsi="Arial" w:cs="Arial"/>
          <w:i w:val="0"/>
          <w:color w:val="auto"/>
          <w:sz w:val="20"/>
          <w:szCs w:val="20"/>
        </w:rPr>
      </w:r>
      <w:r w:rsidR="00314715" w:rsidRPr="00314715">
        <w:rPr>
          <w:rFonts w:ascii="Arial" w:hAnsi="Arial" w:cs="Arial"/>
          <w:i w:val="0"/>
          <w:color w:val="auto"/>
          <w:sz w:val="20"/>
          <w:szCs w:val="20"/>
        </w:rPr>
        <w:fldChar w:fldCharType="separate"/>
      </w:r>
      <w:r w:rsidR="00314715" w:rsidRPr="00314715">
        <w:rPr>
          <w:rFonts w:ascii="Arial" w:hAnsi="Arial" w:cs="Arial"/>
          <w:i w:val="0"/>
          <w:color w:val="auto"/>
          <w:sz w:val="20"/>
          <w:szCs w:val="20"/>
        </w:rPr>
        <w:t xml:space="preserve">Table </w:t>
      </w:r>
      <w:r w:rsidR="00314715" w:rsidRPr="00314715">
        <w:rPr>
          <w:rFonts w:ascii="Arial" w:hAnsi="Arial" w:cs="Arial"/>
          <w:i w:val="0"/>
          <w:noProof/>
          <w:color w:val="auto"/>
          <w:sz w:val="20"/>
          <w:szCs w:val="20"/>
        </w:rPr>
        <w:t>8</w:t>
      </w:r>
      <w:r w:rsidR="00314715" w:rsidRPr="00314715">
        <w:rPr>
          <w:rFonts w:ascii="Arial" w:hAnsi="Arial" w:cs="Arial"/>
          <w:i w:val="0"/>
          <w:color w:val="auto"/>
          <w:sz w:val="20"/>
          <w:szCs w:val="20"/>
        </w:rPr>
        <w:fldChar w:fldCharType="end"/>
      </w:r>
      <w:r w:rsidRPr="00F6505E">
        <w:rPr>
          <w:rFonts w:ascii="Arial" w:hAnsi="Arial" w:cs="Arial"/>
          <w:i w:val="0"/>
          <w:color w:val="auto"/>
          <w:sz w:val="20"/>
          <w:szCs w:val="20"/>
        </w:rPr>
        <w:t>)</w:t>
      </w:r>
    </w:p>
    <w:p w14:paraId="1C59E1D7" w14:textId="77777777" w:rsidR="00F6505E" w:rsidRDefault="00F6505E" w:rsidP="00F6505E">
      <w:pPr>
        <w:pStyle w:val="Reminder"/>
        <w:numPr>
          <w:ilvl w:val="0"/>
          <w:numId w:val="20"/>
        </w:numPr>
        <w:rPr>
          <w:rFonts w:ascii="Arial" w:hAnsi="Arial" w:cs="Arial"/>
          <w:i w:val="0"/>
          <w:color w:val="auto"/>
          <w:sz w:val="20"/>
          <w:szCs w:val="20"/>
        </w:rPr>
      </w:pPr>
      <w:r w:rsidRPr="00F6505E">
        <w:rPr>
          <w:rFonts w:ascii="Arial" w:hAnsi="Arial" w:cs="Arial"/>
          <w:i w:val="0"/>
          <w:color w:val="auto"/>
          <w:sz w:val="20"/>
          <w:szCs w:val="20"/>
        </w:rPr>
        <w:t xml:space="preserve">Measure Usage: 30 kWh/year + 45 kWh/year + 5 kWh/year = 80 kWh/year (See </w:t>
      </w:r>
      <w:r w:rsidRPr="00F6505E">
        <w:rPr>
          <w:rFonts w:ascii="Arial" w:hAnsi="Arial" w:cs="Arial"/>
          <w:i w:val="0"/>
          <w:color w:val="auto"/>
          <w:sz w:val="20"/>
          <w:szCs w:val="20"/>
        </w:rPr>
        <w:fldChar w:fldCharType="begin"/>
      </w:r>
      <w:r w:rsidRPr="00F6505E">
        <w:rPr>
          <w:rFonts w:ascii="Arial" w:hAnsi="Arial" w:cs="Arial"/>
          <w:i w:val="0"/>
          <w:color w:val="auto"/>
          <w:sz w:val="20"/>
          <w:szCs w:val="20"/>
        </w:rPr>
        <w:instrText xml:space="preserve"> REF _Ref416678948 \h  \* MERGEFORMAT </w:instrText>
      </w:r>
      <w:r w:rsidRPr="00F6505E">
        <w:rPr>
          <w:rFonts w:ascii="Arial" w:hAnsi="Arial" w:cs="Arial"/>
          <w:i w:val="0"/>
          <w:color w:val="auto"/>
          <w:sz w:val="20"/>
          <w:szCs w:val="20"/>
        </w:rPr>
      </w:r>
      <w:r w:rsidRPr="00F6505E">
        <w:rPr>
          <w:rFonts w:ascii="Arial" w:hAnsi="Arial" w:cs="Arial"/>
          <w:i w:val="0"/>
          <w:color w:val="auto"/>
          <w:sz w:val="20"/>
          <w:szCs w:val="20"/>
        </w:rPr>
        <w:fldChar w:fldCharType="separate"/>
      </w:r>
      <w:r w:rsidRPr="00F6505E">
        <w:rPr>
          <w:rFonts w:ascii="Arial" w:hAnsi="Arial" w:cs="Arial"/>
          <w:i w:val="0"/>
          <w:color w:val="auto"/>
          <w:sz w:val="20"/>
          <w:szCs w:val="20"/>
        </w:rPr>
        <w:t xml:space="preserve">Figure </w:t>
      </w:r>
      <w:r w:rsidRPr="00F6505E">
        <w:rPr>
          <w:rFonts w:ascii="Arial" w:hAnsi="Arial" w:cs="Arial"/>
          <w:i w:val="0"/>
          <w:noProof/>
          <w:color w:val="auto"/>
          <w:sz w:val="20"/>
          <w:szCs w:val="20"/>
        </w:rPr>
        <w:t>1</w:t>
      </w:r>
      <w:r w:rsidRPr="00F6505E">
        <w:rPr>
          <w:rFonts w:ascii="Arial" w:hAnsi="Arial" w:cs="Arial"/>
          <w:i w:val="0"/>
          <w:color w:val="auto"/>
          <w:sz w:val="20"/>
          <w:szCs w:val="20"/>
        </w:rPr>
        <w:fldChar w:fldCharType="end"/>
      </w:r>
      <w:r w:rsidRPr="00F6505E">
        <w:rPr>
          <w:rFonts w:ascii="Arial" w:hAnsi="Arial" w:cs="Arial"/>
          <w:i w:val="0"/>
          <w:color w:val="auto"/>
          <w:sz w:val="20"/>
          <w:szCs w:val="20"/>
        </w:rPr>
        <w:t xml:space="preserve"> and </w:t>
      </w:r>
      <w:r w:rsidRPr="00F6505E">
        <w:rPr>
          <w:rFonts w:ascii="Arial" w:hAnsi="Arial" w:cs="Arial"/>
          <w:i w:val="0"/>
          <w:color w:val="auto"/>
          <w:sz w:val="20"/>
          <w:szCs w:val="20"/>
        </w:rPr>
        <w:fldChar w:fldCharType="begin"/>
      </w:r>
      <w:r w:rsidRPr="00F6505E">
        <w:rPr>
          <w:rFonts w:ascii="Arial" w:hAnsi="Arial" w:cs="Arial"/>
          <w:i w:val="0"/>
          <w:color w:val="auto"/>
          <w:sz w:val="20"/>
          <w:szCs w:val="20"/>
        </w:rPr>
        <w:instrText xml:space="preserve"> REF _Ref416678950 \h  \* MERGEFORMAT </w:instrText>
      </w:r>
      <w:r w:rsidRPr="00F6505E">
        <w:rPr>
          <w:rFonts w:ascii="Arial" w:hAnsi="Arial" w:cs="Arial"/>
          <w:i w:val="0"/>
          <w:color w:val="auto"/>
          <w:sz w:val="20"/>
          <w:szCs w:val="20"/>
        </w:rPr>
      </w:r>
      <w:r w:rsidRPr="00F6505E">
        <w:rPr>
          <w:rFonts w:ascii="Arial" w:hAnsi="Arial" w:cs="Arial"/>
          <w:i w:val="0"/>
          <w:color w:val="auto"/>
          <w:sz w:val="20"/>
          <w:szCs w:val="20"/>
        </w:rPr>
        <w:fldChar w:fldCharType="separate"/>
      </w:r>
      <w:r w:rsidRPr="00F6505E">
        <w:rPr>
          <w:rFonts w:ascii="Arial" w:hAnsi="Arial" w:cs="Arial"/>
          <w:i w:val="0"/>
          <w:color w:val="auto"/>
          <w:sz w:val="20"/>
          <w:szCs w:val="20"/>
        </w:rPr>
        <w:t xml:space="preserve">Figure </w:t>
      </w:r>
      <w:r w:rsidRPr="00F6505E">
        <w:rPr>
          <w:rFonts w:ascii="Arial" w:hAnsi="Arial" w:cs="Arial"/>
          <w:i w:val="0"/>
          <w:noProof/>
          <w:color w:val="auto"/>
          <w:sz w:val="20"/>
          <w:szCs w:val="20"/>
        </w:rPr>
        <w:t>2</w:t>
      </w:r>
      <w:r w:rsidRPr="00F6505E">
        <w:rPr>
          <w:rFonts w:ascii="Arial" w:hAnsi="Arial" w:cs="Arial"/>
          <w:i w:val="0"/>
          <w:color w:val="auto"/>
          <w:sz w:val="20"/>
          <w:szCs w:val="20"/>
        </w:rPr>
        <w:fldChar w:fldCharType="end"/>
      </w:r>
      <w:r w:rsidRPr="00F6505E">
        <w:rPr>
          <w:rFonts w:ascii="Arial" w:hAnsi="Arial" w:cs="Arial"/>
          <w:i w:val="0"/>
          <w:color w:val="auto"/>
          <w:sz w:val="20"/>
          <w:szCs w:val="20"/>
        </w:rPr>
        <w:t>)</w:t>
      </w:r>
    </w:p>
    <w:p w14:paraId="53544F7A" w14:textId="7B0FFB0F" w:rsidR="00F6505E" w:rsidRPr="00F6505E" w:rsidRDefault="00F6505E" w:rsidP="00F6505E">
      <w:pPr>
        <w:pStyle w:val="Reminder"/>
        <w:numPr>
          <w:ilvl w:val="0"/>
          <w:numId w:val="20"/>
        </w:numPr>
        <w:rPr>
          <w:rFonts w:ascii="Arial" w:hAnsi="Arial" w:cs="Arial"/>
          <w:i w:val="0"/>
          <w:color w:val="auto"/>
          <w:sz w:val="20"/>
          <w:szCs w:val="20"/>
        </w:rPr>
      </w:pPr>
      <w:r w:rsidRPr="00F6505E">
        <w:rPr>
          <w:rFonts w:ascii="Arial" w:hAnsi="Arial" w:cs="Arial"/>
          <w:color w:val="auto"/>
          <w:sz w:val="20"/>
          <w:szCs w:val="20"/>
        </w:rPr>
        <w:t>Annual Energy Savings: 2</w:t>
      </w:r>
      <w:r w:rsidR="00FF1184">
        <w:rPr>
          <w:rFonts w:ascii="Arial" w:hAnsi="Arial" w:cs="Arial"/>
          <w:color w:val="auto"/>
          <w:sz w:val="20"/>
          <w:szCs w:val="20"/>
        </w:rPr>
        <w:t>42.58</w:t>
      </w:r>
      <w:r w:rsidRPr="00F6505E">
        <w:rPr>
          <w:rFonts w:ascii="Arial" w:hAnsi="Arial" w:cs="Arial"/>
          <w:color w:val="auto"/>
          <w:sz w:val="20"/>
          <w:szCs w:val="20"/>
        </w:rPr>
        <w:t xml:space="preserve"> kWh/year - 80 kWh/year = </w:t>
      </w:r>
      <w:r w:rsidR="00FF1184">
        <w:rPr>
          <w:rFonts w:ascii="Arial" w:hAnsi="Arial" w:cs="Arial"/>
          <w:b/>
          <w:color w:val="auto"/>
          <w:sz w:val="20"/>
          <w:szCs w:val="20"/>
        </w:rPr>
        <w:t>162.58</w:t>
      </w:r>
      <w:r w:rsidRPr="00F6505E">
        <w:rPr>
          <w:rFonts w:ascii="Arial" w:hAnsi="Arial" w:cs="Arial"/>
          <w:b/>
          <w:color w:val="auto"/>
          <w:sz w:val="20"/>
          <w:szCs w:val="20"/>
        </w:rPr>
        <w:t xml:space="preserve"> kWh/year</w:t>
      </w:r>
    </w:p>
    <w:p w14:paraId="5DE3B0D5" w14:textId="6CE123E1" w:rsidR="00DC4423" w:rsidRPr="00DC4423" w:rsidRDefault="00F5362E" w:rsidP="00DC4423">
      <w:pPr>
        <w:pStyle w:val="Caption"/>
      </w:pPr>
      <w:r w:rsidRPr="00DC4423">
        <w:rPr>
          <w:rFonts w:cs="Arial"/>
          <w:b w:val="0"/>
          <w:color w:val="FF0000"/>
        </w:rPr>
        <w:t xml:space="preserve"> </w:t>
      </w:r>
    </w:p>
    <w:p w14:paraId="5DAF8E5C" w14:textId="7FC27D36" w:rsidR="00695C6D" w:rsidRDefault="001952E6" w:rsidP="00632825">
      <w:pPr>
        <w:rPr>
          <w:rFonts w:cs="Arial"/>
          <w:sz w:val="20"/>
          <w:szCs w:val="20"/>
        </w:rPr>
      </w:pPr>
      <w:r>
        <w:rPr>
          <w:rFonts w:cs="Arial"/>
          <w:sz w:val="20"/>
          <w:szCs w:val="20"/>
        </w:rPr>
        <w:tab/>
      </w:r>
    </w:p>
    <w:p w14:paraId="487774EA" w14:textId="110F02A6" w:rsidR="00EA172F" w:rsidRPr="00EA172F" w:rsidRDefault="00EA172F" w:rsidP="00EA172F">
      <w:pPr>
        <w:spacing w:after="60"/>
        <w:rPr>
          <w:rFonts w:cs="Arial"/>
          <w:b/>
          <w:sz w:val="20"/>
          <w:szCs w:val="20"/>
        </w:rPr>
      </w:pPr>
      <w:r>
        <w:rPr>
          <w:rFonts w:cs="Arial"/>
          <w:b/>
          <w:sz w:val="20"/>
          <w:szCs w:val="20"/>
        </w:rPr>
        <w:lastRenderedPageBreak/>
        <w:t>First Baseline</w:t>
      </w:r>
    </w:p>
    <w:p w14:paraId="0552A766" w14:textId="5A913518" w:rsidR="00EA172F" w:rsidRPr="00DC4423" w:rsidRDefault="00F6505E" w:rsidP="00EA172F">
      <w:pPr>
        <w:rPr>
          <w:rFonts w:cs="Arial"/>
          <w:color w:val="FF0000"/>
          <w:sz w:val="20"/>
          <w:szCs w:val="20"/>
        </w:rPr>
      </w:pPr>
      <w:r>
        <w:rPr>
          <w:rFonts w:cs="Arial"/>
          <w:sz w:val="20"/>
          <w:szCs w:val="20"/>
        </w:rPr>
        <w:t xml:space="preserve">Sample </w:t>
      </w:r>
      <w:r w:rsidRPr="005E5C3F">
        <w:rPr>
          <w:rFonts w:cs="Arial"/>
          <w:sz w:val="20"/>
          <w:szCs w:val="20"/>
        </w:rPr>
        <w:t xml:space="preserve">energy savings for the first baseline can be found </w:t>
      </w:r>
      <w:r>
        <w:rPr>
          <w:rFonts w:cs="Arial"/>
          <w:sz w:val="20"/>
          <w:szCs w:val="20"/>
        </w:rPr>
        <w:t>in the section above.</w:t>
      </w:r>
    </w:p>
    <w:p w14:paraId="2FCB538A" w14:textId="77777777" w:rsidR="00EA172F" w:rsidRDefault="00EA172F" w:rsidP="00EA172F">
      <w:pPr>
        <w:rPr>
          <w:rFonts w:cs="Arial"/>
          <w:sz w:val="20"/>
          <w:szCs w:val="20"/>
        </w:rPr>
      </w:pPr>
    </w:p>
    <w:p w14:paraId="7C982331" w14:textId="7301312E" w:rsidR="00EA172F" w:rsidRPr="00EA172F" w:rsidRDefault="00EA172F" w:rsidP="00EA172F">
      <w:pPr>
        <w:spacing w:after="60"/>
        <w:rPr>
          <w:rFonts w:cs="Arial"/>
          <w:b/>
          <w:sz w:val="20"/>
          <w:szCs w:val="20"/>
        </w:rPr>
      </w:pPr>
      <w:r>
        <w:rPr>
          <w:rFonts w:cs="Arial"/>
          <w:b/>
          <w:sz w:val="20"/>
          <w:szCs w:val="20"/>
        </w:rPr>
        <w:t>Second Baseline</w:t>
      </w:r>
    </w:p>
    <w:p w14:paraId="738B05C9" w14:textId="6A1482D3" w:rsidR="00EA172F" w:rsidRPr="00F6505E" w:rsidRDefault="00F6505E" w:rsidP="00EA172F">
      <w:pPr>
        <w:rPr>
          <w:rFonts w:cs="Arial"/>
          <w:sz w:val="20"/>
          <w:szCs w:val="20"/>
        </w:rPr>
      </w:pPr>
      <w:r w:rsidRPr="00F6505E">
        <w:rPr>
          <w:rFonts w:cs="Arial"/>
          <w:sz w:val="20"/>
          <w:szCs w:val="20"/>
        </w:rPr>
        <w:t>As there is no code, the savings for the first and second baseline are identical.</w:t>
      </w:r>
    </w:p>
    <w:p w14:paraId="56154BF4" w14:textId="642FECB8" w:rsidR="00632825" w:rsidRPr="001D4579" w:rsidRDefault="00632825" w:rsidP="00632825">
      <w:pPr>
        <w:rPr>
          <w:rFonts w:cs="Arial"/>
          <w:sz w:val="20"/>
          <w:szCs w:val="20"/>
        </w:rPr>
      </w:pPr>
    </w:p>
    <w:p w14:paraId="393A106F" w14:textId="0E525AEF" w:rsidR="00C069A2" w:rsidRPr="001D4579" w:rsidRDefault="0030550A" w:rsidP="00812FC7">
      <w:pPr>
        <w:pStyle w:val="Heading2-CalTF2"/>
      </w:pPr>
      <w:bookmarkStart w:id="68" w:name="_Toc385592995"/>
      <w:r w:rsidRPr="001D4579">
        <w:t>Demand R</w:t>
      </w:r>
      <w:r w:rsidR="00C069A2" w:rsidRPr="001D4579">
        <w:t>eduction Estimation Methodologies</w:t>
      </w:r>
      <w:bookmarkEnd w:id="62"/>
      <w:bookmarkEnd w:id="63"/>
      <w:bookmarkEnd w:id="64"/>
      <w:bookmarkEnd w:id="68"/>
    </w:p>
    <w:p w14:paraId="058ED61C" w14:textId="77777777" w:rsidR="00F6505E" w:rsidRPr="00F6505E" w:rsidRDefault="00F6505E" w:rsidP="00F6505E">
      <w:pPr>
        <w:rPr>
          <w:rFonts w:cs="Arial"/>
          <w:sz w:val="20"/>
          <w:szCs w:val="20"/>
        </w:rPr>
      </w:pPr>
      <w:r w:rsidRPr="00F6505E">
        <w:rPr>
          <w:rFonts w:cs="Arial"/>
          <w:sz w:val="20"/>
          <w:szCs w:val="20"/>
        </w:rPr>
        <w:t>The Demand reduction for each measure can be found by taking the energy savings and dividing by the total operating hours for each measure. As STBs are always plugged in, the assumed operating hours are year round (8,760 hours/year), where the distinction between active and inactive are already taken into account when calculating the energy savings. A sample calculation has been shown below:</w:t>
      </w:r>
    </w:p>
    <w:p w14:paraId="53B89569" w14:textId="77777777" w:rsidR="00F6505E" w:rsidRPr="00F6505E" w:rsidRDefault="00F6505E" w:rsidP="00F6505E">
      <w:pPr>
        <w:rPr>
          <w:rFonts w:cs="Arial"/>
          <w:sz w:val="20"/>
          <w:szCs w:val="20"/>
        </w:rPr>
      </w:pPr>
    </w:p>
    <w:p w14:paraId="6B48C18C" w14:textId="77777777" w:rsidR="00F6505E" w:rsidRPr="00F6505E" w:rsidRDefault="00F6505E" w:rsidP="00F6505E">
      <w:pPr>
        <w:rPr>
          <w:rFonts w:cs="Arial"/>
          <w:sz w:val="20"/>
          <w:szCs w:val="20"/>
        </w:rPr>
      </w:pPr>
      <w:r w:rsidRPr="00F6505E">
        <w:rPr>
          <w:rFonts w:cs="Arial"/>
          <w:sz w:val="20"/>
          <w:szCs w:val="20"/>
        </w:rPr>
        <w:t>Non Energy Star HD-DVR STB being replaced by Energy Star 4.1 Thin Client:</w:t>
      </w:r>
    </w:p>
    <w:p w14:paraId="613600FB" w14:textId="6DE3322F" w:rsidR="00F6505E" w:rsidRPr="00F6505E" w:rsidRDefault="00F6505E" w:rsidP="00F6505E">
      <w:pPr>
        <w:rPr>
          <w:rFonts w:cs="Arial"/>
          <w:sz w:val="20"/>
          <w:szCs w:val="20"/>
        </w:rPr>
      </w:pPr>
      <w:r w:rsidRPr="00F6505E">
        <w:rPr>
          <w:rFonts w:cs="Arial"/>
          <w:sz w:val="20"/>
          <w:szCs w:val="20"/>
        </w:rPr>
        <w:t>•</w:t>
      </w:r>
      <w:r w:rsidRPr="00F6505E">
        <w:rPr>
          <w:rFonts w:cs="Arial"/>
          <w:sz w:val="20"/>
          <w:szCs w:val="20"/>
        </w:rPr>
        <w:tab/>
        <w:t xml:space="preserve">Annual Savings: </w:t>
      </w:r>
      <w:r w:rsidR="00FF1184" w:rsidRPr="00FF1184">
        <w:rPr>
          <w:rFonts w:cs="Arial"/>
          <w:sz w:val="20"/>
          <w:szCs w:val="20"/>
        </w:rPr>
        <w:t>242.58 kWh/year - 80 kWh/year = 162.58 kWh/year</w:t>
      </w:r>
    </w:p>
    <w:p w14:paraId="2F163B9B" w14:textId="5F4AD48B" w:rsidR="00F6505E" w:rsidRPr="00F6505E" w:rsidRDefault="00F6505E" w:rsidP="00F6505E">
      <w:pPr>
        <w:rPr>
          <w:rFonts w:cs="Arial"/>
          <w:sz w:val="20"/>
          <w:szCs w:val="20"/>
        </w:rPr>
      </w:pPr>
      <w:r w:rsidRPr="00F6505E">
        <w:rPr>
          <w:rFonts w:cs="Arial"/>
          <w:sz w:val="20"/>
          <w:szCs w:val="20"/>
        </w:rPr>
        <w:t>•</w:t>
      </w:r>
      <w:r w:rsidRPr="00F6505E">
        <w:rPr>
          <w:rFonts w:cs="Arial"/>
          <w:sz w:val="20"/>
          <w:szCs w:val="20"/>
        </w:rPr>
        <w:tab/>
        <w:t xml:space="preserve">Annual kW Savings: </w:t>
      </w:r>
      <w:r w:rsidR="00FF1184">
        <w:rPr>
          <w:rFonts w:cs="Arial"/>
          <w:sz w:val="20"/>
          <w:szCs w:val="20"/>
        </w:rPr>
        <w:t>162.58</w:t>
      </w:r>
      <w:r w:rsidRPr="00F6505E">
        <w:rPr>
          <w:rFonts w:cs="Arial"/>
          <w:sz w:val="20"/>
          <w:szCs w:val="20"/>
        </w:rPr>
        <w:t xml:space="preserve"> kWh/year / (8,760 hours/year) = </w:t>
      </w:r>
      <w:r w:rsidRPr="00F6505E">
        <w:rPr>
          <w:rFonts w:cs="Arial"/>
          <w:b/>
          <w:sz w:val="20"/>
          <w:szCs w:val="20"/>
        </w:rPr>
        <w:t>0.0</w:t>
      </w:r>
      <w:r w:rsidR="00FF1184">
        <w:rPr>
          <w:rFonts w:cs="Arial"/>
          <w:b/>
          <w:sz w:val="20"/>
          <w:szCs w:val="20"/>
        </w:rPr>
        <w:t>1856</w:t>
      </w:r>
      <w:r w:rsidRPr="00F6505E">
        <w:rPr>
          <w:rFonts w:cs="Arial"/>
          <w:b/>
          <w:sz w:val="20"/>
          <w:szCs w:val="20"/>
        </w:rPr>
        <w:t xml:space="preserve"> kW</w:t>
      </w:r>
    </w:p>
    <w:p w14:paraId="02F988C5" w14:textId="77777777" w:rsidR="00F6505E" w:rsidRPr="00D07189" w:rsidRDefault="00F6505E" w:rsidP="00812FC7">
      <w:pPr>
        <w:rPr>
          <w:rFonts w:cs="Arial"/>
          <w:color w:val="FF0000"/>
          <w:sz w:val="20"/>
          <w:szCs w:val="20"/>
        </w:rPr>
      </w:pPr>
    </w:p>
    <w:p w14:paraId="7E2573B2" w14:textId="77777777" w:rsidR="00D07189" w:rsidRPr="00D07189" w:rsidRDefault="00D07189" w:rsidP="00D07189">
      <w:pPr>
        <w:pStyle w:val="Reminder"/>
        <w:rPr>
          <w:rFonts w:ascii="Arial" w:hAnsi="Arial" w:cs="Arial"/>
          <w:i w:val="0"/>
          <w:color w:val="auto"/>
          <w:sz w:val="20"/>
          <w:szCs w:val="20"/>
        </w:rPr>
      </w:pPr>
      <w:r w:rsidRPr="00D07189">
        <w:rPr>
          <w:rFonts w:ascii="Arial" w:hAnsi="Arial" w:cs="Arial"/>
          <w:i w:val="0"/>
          <w:color w:val="auto"/>
          <w:sz w:val="20"/>
          <w:szCs w:val="20"/>
        </w:rPr>
        <w:t>The monitored data from the SDG&amp;E Plug Load study was also used to find an appropriate coincident diversity factor as the factors found from DEER are not specific to the measures within the work paper. Looking at the monitored data obtained, the percent of time that the set top boxes were found to be in active mode between 2pm and 5pm on weekdays (peak period definition) were found and can be seen in the table below.</w:t>
      </w:r>
    </w:p>
    <w:p w14:paraId="7DD46C38" w14:textId="77777777" w:rsidR="00D07189" w:rsidRPr="00D07189" w:rsidRDefault="00D07189" w:rsidP="00D07189">
      <w:pPr>
        <w:pStyle w:val="Reminder"/>
        <w:rPr>
          <w:rFonts w:ascii="Arial" w:hAnsi="Arial" w:cs="Arial"/>
          <w:i w:val="0"/>
          <w:color w:val="auto"/>
          <w:sz w:val="20"/>
          <w:szCs w:val="20"/>
        </w:rPr>
      </w:pPr>
    </w:p>
    <w:p w14:paraId="5948AA96" w14:textId="77777777" w:rsidR="00D07189" w:rsidRPr="00D07189" w:rsidRDefault="00D07189" w:rsidP="00D07189">
      <w:pPr>
        <w:pStyle w:val="Caption"/>
        <w:keepNext/>
        <w:jc w:val="center"/>
        <w:rPr>
          <w:rFonts w:cs="Arial"/>
        </w:rPr>
      </w:pPr>
      <w:r w:rsidRPr="00D07189">
        <w:rPr>
          <w:rFonts w:cs="Arial"/>
        </w:rPr>
        <w:t xml:space="preserve">Table </w:t>
      </w:r>
      <w:r w:rsidRPr="00D07189">
        <w:rPr>
          <w:rFonts w:cs="Arial"/>
        </w:rPr>
        <w:fldChar w:fldCharType="begin"/>
      </w:r>
      <w:r w:rsidRPr="00D07189">
        <w:rPr>
          <w:rFonts w:cs="Arial"/>
        </w:rPr>
        <w:instrText xml:space="preserve"> SEQ Table \* ARABIC </w:instrText>
      </w:r>
      <w:r w:rsidRPr="00D07189">
        <w:rPr>
          <w:rFonts w:cs="Arial"/>
        </w:rPr>
        <w:fldChar w:fldCharType="separate"/>
      </w:r>
      <w:r w:rsidRPr="00D07189">
        <w:rPr>
          <w:rFonts w:cs="Arial"/>
          <w:noProof/>
        </w:rPr>
        <w:t>11</w:t>
      </w:r>
      <w:r w:rsidRPr="00D07189">
        <w:rPr>
          <w:rFonts w:cs="Arial"/>
          <w:noProof/>
        </w:rPr>
        <w:fldChar w:fldCharType="end"/>
      </w:r>
      <w:r w:rsidRPr="00D07189">
        <w:rPr>
          <w:rFonts w:cs="Arial"/>
        </w:rPr>
        <w:t xml:space="preserve"> Coincident Diversity Factors from Field Monitoring</w:t>
      </w:r>
    </w:p>
    <w:tbl>
      <w:tblPr>
        <w:tblStyle w:val="TableContemporary"/>
        <w:tblW w:w="3206" w:type="pct"/>
        <w:jc w:val="center"/>
        <w:tblLook w:val="01E0" w:firstRow="1" w:lastRow="1" w:firstColumn="1" w:lastColumn="1" w:noHBand="0" w:noVBand="0"/>
      </w:tblPr>
      <w:tblGrid>
        <w:gridCol w:w="2211"/>
        <w:gridCol w:w="3756"/>
      </w:tblGrid>
      <w:tr w:rsidR="00D07189" w:rsidRPr="00D07189" w14:paraId="5DA22365" w14:textId="77777777" w:rsidTr="00D07189">
        <w:trPr>
          <w:cnfStyle w:val="100000000000" w:firstRow="1" w:lastRow="0" w:firstColumn="0" w:lastColumn="0" w:oddVBand="0" w:evenVBand="0" w:oddHBand="0" w:evenHBand="0" w:firstRowFirstColumn="0" w:firstRowLastColumn="0" w:lastRowFirstColumn="0" w:lastRowLastColumn="0"/>
          <w:jc w:val="center"/>
        </w:trPr>
        <w:tc>
          <w:tcPr>
            <w:tcW w:w="1853" w:type="pct"/>
          </w:tcPr>
          <w:p w14:paraId="53C51B47" w14:textId="77777777" w:rsidR="00D07189" w:rsidRPr="00D07189" w:rsidRDefault="00D07189" w:rsidP="000A3D4E">
            <w:pPr>
              <w:rPr>
                <w:rFonts w:cs="Arial"/>
                <w:sz w:val="20"/>
                <w:szCs w:val="20"/>
                <w:highlight w:val="yellow"/>
              </w:rPr>
            </w:pPr>
            <w:r w:rsidRPr="00D07189">
              <w:rPr>
                <w:rFonts w:cs="Arial"/>
                <w:sz w:val="20"/>
                <w:szCs w:val="20"/>
              </w:rPr>
              <w:t>Set Top Box Type</w:t>
            </w:r>
          </w:p>
        </w:tc>
        <w:tc>
          <w:tcPr>
            <w:tcW w:w="3147" w:type="pct"/>
          </w:tcPr>
          <w:p w14:paraId="4BB44404" w14:textId="77777777" w:rsidR="00D07189" w:rsidRPr="00D07189" w:rsidRDefault="00D07189" w:rsidP="000A3D4E">
            <w:pPr>
              <w:rPr>
                <w:rFonts w:cs="Arial"/>
                <w:sz w:val="20"/>
                <w:szCs w:val="20"/>
              </w:rPr>
            </w:pPr>
            <w:r w:rsidRPr="00D07189">
              <w:rPr>
                <w:rFonts w:cs="Arial"/>
                <w:sz w:val="20"/>
                <w:szCs w:val="20"/>
              </w:rPr>
              <w:t>Average Coincident Diversity Factor</w:t>
            </w:r>
          </w:p>
        </w:tc>
      </w:tr>
      <w:tr w:rsidR="00D07189" w:rsidRPr="00D07189" w14:paraId="145B4D86" w14:textId="77777777" w:rsidTr="00D07189">
        <w:trPr>
          <w:cnfStyle w:val="000000100000" w:firstRow="0" w:lastRow="0" w:firstColumn="0" w:lastColumn="0" w:oddVBand="0" w:evenVBand="0" w:oddHBand="1" w:evenHBand="0" w:firstRowFirstColumn="0" w:firstRowLastColumn="0" w:lastRowFirstColumn="0" w:lastRowLastColumn="0"/>
          <w:jc w:val="center"/>
        </w:trPr>
        <w:tc>
          <w:tcPr>
            <w:tcW w:w="1853" w:type="pct"/>
            <w:vAlign w:val="bottom"/>
          </w:tcPr>
          <w:p w14:paraId="3034C0A5" w14:textId="77777777" w:rsidR="00D07189" w:rsidRPr="00D07189" w:rsidRDefault="00D07189" w:rsidP="000A3D4E">
            <w:pPr>
              <w:rPr>
                <w:rFonts w:cs="Arial"/>
                <w:sz w:val="20"/>
                <w:szCs w:val="20"/>
              </w:rPr>
            </w:pPr>
            <w:r w:rsidRPr="00D07189">
              <w:rPr>
                <w:rFonts w:cs="Arial"/>
                <w:color w:val="000000"/>
                <w:sz w:val="20"/>
                <w:szCs w:val="20"/>
              </w:rPr>
              <w:t>Cable</w:t>
            </w:r>
          </w:p>
        </w:tc>
        <w:tc>
          <w:tcPr>
            <w:tcW w:w="3147" w:type="pct"/>
            <w:vAlign w:val="bottom"/>
          </w:tcPr>
          <w:p w14:paraId="72CF4371" w14:textId="77777777" w:rsidR="00D07189" w:rsidRPr="00D07189" w:rsidRDefault="00D07189" w:rsidP="000A3D4E">
            <w:pPr>
              <w:rPr>
                <w:rFonts w:cs="Arial"/>
                <w:sz w:val="20"/>
                <w:szCs w:val="20"/>
              </w:rPr>
            </w:pPr>
            <w:r w:rsidRPr="00D07189">
              <w:rPr>
                <w:rFonts w:cs="Arial"/>
                <w:color w:val="000000"/>
                <w:sz w:val="20"/>
                <w:szCs w:val="20"/>
              </w:rPr>
              <w:t>28.33%</w:t>
            </w:r>
          </w:p>
        </w:tc>
      </w:tr>
      <w:tr w:rsidR="00D07189" w:rsidRPr="00D07189" w14:paraId="3E55C68A" w14:textId="77777777" w:rsidTr="00D07189">
        <w:trPr>
          <w:cnfStyle w:val="000000010000" w:firstRow="0" w:lastRow="0" w:firstColumn="0" w:lastColumn="0" w:oddVBand="0" w:evenVBand="0" w:oddHBand="0" w:evenHBand="1" w:firstRowFirstColumn="0" w:firstRowLastColumn="0" w:lastRowFirstColumn="0" w:lastRowLastColumn="0"/>
          <w:jc w:val="center"/>
        </w:trPr>
        <w:tc>
          <w:tcPr>
            <w:tcW w:w="1853" w:type="pct"/>
            <w:vAlign w:val="bottom"/>
          </w:tcPr>
          <w:p w14:paraId="0DB9D0BE" w14:textId="77777777" w:rsidR="00D07189" w:rsidRPr="00D07189" w:rsidRDefault="00D07189" w:rsidP="000A3D4E">
            <w:pPr>
              <w:rPr>
                <w:rFonts w:cs="Arial"/>
                <w:sz w:val="20"/>
                <w:szCs w:val="20"/>
              </w:rPr>
            </w:pPr>
            <w:r w:rsidRPr="00D07189">
              <w:rPr>
                <w:rFonts w:cs="Arial"/>
                <w:color w:val="000000"/>
                <w:sz w:val="20"/>
                <w:szCs w:val="20"/>
              </w:rPr>
              <w:t>Cable HD</w:t>
            </w:r>
          </w:p>
        </w:tc>
        <w:tc>
          <w:tcPr>
            <w:tcW w:w="3147" w:type="pct"/>
            <w:vAlign w:val="bottom"/>
          </w:tcPr>
          <w:p w14:paraId="2C89D24E" w14:textId="77777777" w:rsidR="00D07189" w:rsidRPr="00D07189" w:rsidRDefault="00D07189" w:rsidP="000A3D4E">
            <w:pPr>
              <w:rPr>
                <w:rFonts w:cs="Arial"/>
                <w:sz w:val="20"/>
                <w:szCs w:val="20"/>
              </w:rPr>
            </w:pPr>
            <w:r w:rsidRPr="00D07189">
              <w:rPr>
                <w:rFonts w:cs="Arial"/>
                <w:color w:val="000000"/>
                <w:sz w:val="20"/>
                <w:szCs w:val="20"/>
              </w:rPr>
              <w:t>35.56%</w:t>
            </w:r>
          </w:p>
        </w:tc>
      </w:tr>
      <w:tr w:rsidR="00D07189" w:rsidRPr="00D07189" w14:paraId="407383A7" w14:textId="77777777" w:rsidTr="00D07189">
        <w:trPr>
          <w:cnfStyle w:val="000000100000" w:firstRow="0" w:lastRow="0" w:firstColumn="0" w:lastColumn="0" w:oddVBand="0" w:evenVBand="0" w:oddHBand="1" w:evenHBand="0" w:firstRowFirstColumn="0" w:firstRowLastColumn="0" w:lastRowFirstColumn="0" w:lastRowLastColumn="0"/>
          <w:jc w:val="center"/>
        </w:trPr>
        <w:tc>
          <w:tcPr>
            <w:tcW w:w="1853" w:type="pct"/>
            <w:vAlign w:val="bottom"/>
          </w:tcPr>
          <w:p w14:paraId="7BAE6B8E" w14:textId="77777777" w:rsidR="00D07189" w:rsidRPr="00D07189" w:rsidRDefault="00D07189" w:rsidP="000A3D4E">
            <w:pPr>
              <w:rPr>
                <w:rFonts w:cs="Arial"/>
                <w:sz w:val="20"/>
                <w:szCs w:val="20"/>
              </w:rPr>
            </w:pPr>
            <w:r w:rsidRPr="00D07189">
              <w:rPr>
                <w:rFonts w:cs="Arial"/>
                <w:color w:val="000000"/>
                <w:sz w:val="20"/>
                <w:szCs w:val="20"/>
              </w:rPr>
              <w:t>Cable HD DVR</w:t>
            </w:r>
          </w:p>
        </w:tc>
        <w:tc>
          <w:tcPr>
            <w:tcW w:w="3147" w:type="pct"/>
            <w:vAlign w:val="bottom"/>
          </w:tcPr>
          <w:p w14:paraId="6D61151A" w14:textId="77777777" w:rsidR="00D07189" w:rsidRPr="00D07189" w:rsidRDefault="00D07189" w:rsidP="000A3D4E">
            <w:pPr>
              <w:rPr>
                <w:rFonts w:cs="Arial"/>
                <w:sz w:val="20"/>
                <w:szCs w:val="20"/>
              </w:rPr>
            </w:pPr>
            <w:r w:rsidRPr="00D07189">
              <w:rPr>
                <w:rFonts w:cs="Arial"/>
                <w:color w:val="000000"/>
                <w:sz w:val="20"/>
                <w:szCs w:val="20"/>
              </w:rPr>
              <w:t>24.60%</w:t>
            </w:r>
          </w:p>
        </w:tc>
      </w:tr>
      <w:tr w:rsidR="00D07189" w:rsidRPr="00D07189" w14:paraId="06CC6EA0" w14:textId="77777777" w:rsidTr="00D07189">
        <w:trPr>
          <w:cnfStyle w:val="000000010000" w:firstRow="0" w:lastRow="0" w:firstColumn="0" w:lastColumn="0" w:oddVBand="0" w:evenVBand="0" w:oddHBand="0" w:evenHBand="1" w:firstRowFirstColumn="0" w:firstRowLastColumn="0" w:lastRowFirstColumn="0" w:lastRowLastColumn="0"/>
          <w:jc w:val="center"/>
        </w:trPr>
        <w:tc>
          <w:tcPr>
            <w:tcW w:w="1853" w:type="pct"/>
            <w:vAlign w:val="bottom"/>
          </w:tcPr>
          <w:p w14:paraId="2A8E653A" w14:textId="77777777" w:rsidR="00D07189" w:rsidRPr="00D07189" w:rsidRDefault="00D07189" w:rsidP="000A3D4E">
            <w:pPr>
              <w:rPr>
                <w:rFonts w:cs="Arial"/>
                <w:sz w:val="20"/>
                <w:szCs w:val="20"/>
              </w:rPr>
            </w:pPr>
            <w:r w:rsidRPr="00D07189">
              <w:rPr>
                <w:rFonts w:cs="Arial"/>
                <w:color w:val="000000"/>
                <w:sz w:val="20"/>
                <w:szCs w:val="20"/>
              </w:rPr>
              <w:t>Satellite</w:t>
            </w:r>
          </w:p>
        </w:tc>
        <w:tc>
          <w:tcPr>
            <w:tcW w:w="3147" w:type="pct"/>
            <w:vAlign w:val="bottom"/>
          </w:tcPr>
          <w:p w14:paraId="33CE2774" w14:textId="77777777" w:rsidR="00D07189" w:rsidRPr="00D07189" w:rsidRDefault="00D07189" w:rsidP="000A3D4E">
            <w:pPr>
              <w:rPr>
                <w:rFonts w:cs="Arial"/>
                <w:sz w:val="20"/>
                <w:szCs w:val="20"/>
              </w:rPr>
            </w:pPr>
            <w:r w:rsidRPr="00D07189">
              <w:rPr>
                <w:rFonts w:cs="Arial"/>
                <w:color w:val="000000"/>
                <w:sz w:val="20"/>
                <w:szCs w:val="20"/>
              </w:rPr>
              <w:t>21.09%</w:t>
            </w:r>
          </w:p>
        </w:tc>
      </w:tr>
      <w:tr w:rsidR="00D07189" w:rsidRPr="00D07189" w14:paraId="1DE84B43" w14:textId="77777777" w:rsidTr="00D07189">
        <w:trPr>
          <w:cnfStyle w:val="000000100000" w:firstRow="0" w:lastRow="0" w:firstColumn="0" w:lastColumn="0" w:oddVBand="0" w:evenVBand="0" w:oddHBand="1" w:evenHBand="0" w:firstRowFirstColumn="0" w:firstRowLastColumn="0" w:lastRowFirstColumn="0" w:lastRowLastColumn="0"/>
          <w:jc w:val="center"/>
        </w:trPr>
        <w:tc>
          <w:tcPr>
            <w:tcW w:w="1853" w:type="pct"/>
            <w:vAlign w:val="bottom"/>
          </w:tcPr>
          <w:p w14:paraId="6BBCAFA9" w14:textId="77777777" w:rsidR="00D07189" w:rsidRPr="00D07189" w:rsidRDefault="00D07189" w:rsidP="000A3D4E">
            <w:pPr>
              <w:rPr>
                <w:rFonts w:cs="Arial"/>
                <w:sz w:val="20"/>
                <w:szCs w:val="20"/>
              </w:rPr>
            </w:pPr>
            <w:r w:rsidRPr="00D07189">
              <w:rPr>
                <w:rFonts w:cs="Arial"/>
                <w:color w:val="000000"/>
                <w:sz w:val="20"/>
                <w:szCs w:val="20"/>
              </w:rPr>
              <w:t>Satellite SD DVR</w:t>
            </w:r>
          </w:p>
        </w:tc>
        <w:tc>
          <w:tcPr>
            <w:tcW w:w="3147" w:type="pct"/>
            <w:vAlign w:val="bottom"/>
          </w:tcPr>
          <w:p w14:paraId="40ABE7CC" w14:textId="77777777" w:rsidR="00D07189" w:rsidRPr="00D07189" w:rsidRDefault="00D07189" w:rsidP="000A3D4E">
            <w:pPr>
              <w:rPr>
                <w:rFonts w:cs="Arial"/>
                <w:sz w:val="20"/>
                <w:szCs w:val="20"/>
              </w:rPr>
            </w:pPr>
            <w:r w:rsidRPr="00D07189">
              <w:rPr>
                <w:rFonts w:cs="Arial"/>
                <w:color w:val="000000"/>
                <w:sz w:val="20"/>
                <w:szCs w:val="20"/>
              </w:rPr>
              <w:t>28.69%</w:t>
            </w:r>
          </w:p>
        </w:tc>
      </w:tr>
      <w:tr w:rsidR="00D07189" w:rsidRPr="00D07189" w14:paraId="7B6CE6C9" w14:textId="77777777" w:rsidTr="00D07189">
        <w:trPr>
          <w:cnfStyle w:val="000000010000" w:firstRow="0" w:lastRow="0" w:firstColumn="0" w:lastColumn="0" w:oddVBand="0" w:evenVBand="0" w:oddHBand="0" w:evenHBand="1" w:firstRowFirstColumn="0" w:firstRowLastColumn="0" w:lastRowFirstColumn="0" w:lastRowLastColumn="0"/>
          <w:jc w:val="center"/>
        </w:trPr>
        <w:tc>
          <w:tcPr>
            <w:tcW w:w="1853" w:type="pct"/>
            <w:vAlign w:val="bottom"/>
          </w:tcPr>
          <w:p w14:paraId="739C0E1F" w14:textId="77777777" w:rsidR="00D07189" w:rsidRPr="00D07189" w:rsidRDefault="00D07189" w:rsidP="000A3D4E">
            <w:pPr>
              <w:rPr>
                <w:rFonts w:cs="Arial"/>
                <w:sz w:val="20"/>
                <w:szCs w:val="20"/>
              </w:rPr>
            </w:pPr>
            <w:r w:rsidRPr="00D07189">
              <w:rPr>
                <w:rFonts w:cs="Arial"/>
                <w:color w:val="000000"/>
                <w:sz w:val="20"/>
                <w:szCs w:val="20"/>
              </w:rPr>
              <w:t>Satellite HD DVR</w:t>
            </w:r>
          </w:p>
        </w:tc>
        <w:tc>
          <w:tcPr>
            <w:tcW w:w="3147" w:type="pct"/>
            <w:vAlign w:val="bottom"/>
          </w:tcPr>
          <w:p w14:paraId="44D6B1B9" w14:textId="77777777" w:rsidR="00D07189" w:rsidRPr="00D07189" w:rsidRDefault="00D07189" w:rsidP="000A3D4E">
            <w:pPr>
              <w:rPr>
                <w:rFonts w:cs="Arial"/>
                <w:sz w:val="20"/>
                <w:szCs w:val="20"/>
              </w:rPr>
            </w:pPr>
            <w:r w:rsidRPr="00D07189">
              <w:rPr>
                <w:rFonts w:cs="Arial"/>
                <w:color w:val="000000"/>
                <w:sz w:val="20"/>
                <w:szCs w:val="20"/>
              </w:rPr>
              <w:t>19.58%</w:t>
            </w:r>
          </w:p>
        </w:tc>
      </w:tr>
      <w:tr w:rsidR="00D07189" w:rsidRPr="00D07189" w14:paraId="310F2E16" w14:textId="77777777" w:rsidTr="00D07189">
        <w:trPr>
          <w:cnfStyle w:val="000000100000" w:firstRow="0" w:lastRow="0" w:firstColumn="0" w:lastColumn="0" w:oddVBand="0" w:evenVBand="0" w:oddHBand="1" w:evenHBand="0" w:firstRowFirstColumn="0" w:firstRowLastColumn="0" w:lastRowFirstColumn="0" w:lastRowLastColumn="0"/>
          <w:jc w:val="center"/>
        </w:trPr>
        <w:tc>
          <w:tcPr>
            <w:tcW w:w="1853" w:type="pct"/>
          </w:tcPr>
          <w:p w14:paraId="1BDEB265" w14:textId="77777777" w:rsidR="00D07189" w:rsidRPr="00D07189" w:rsidRDefault="00D07189" w:rsidP="000A3D4E">
            <w:pPr>
              <w:rPr>
                <w:rFonts w:cs="Arial"/>
                <w:b/>
                <w:sz w:val="20"/>
                <w:szCs w:val="20"/>
              </w:rPr>
            </w:pPr>
            <w:r w:rsidRPr="00D07189">
              <w:rPr>
                <w:rFonts w:cs="Arial"/>
                <w:b/>
                <w:sz w:val="20"/>
                <w:szCs w:val="20"/>
              </w:rPr>
              <w:t>Average Satellite</w:t>
            </w:r>
          </w:p>
        </w:tc>
        <w:tc>
          <w:tcPr>
            <w:tcW w:w="3147" w:type="pct"/>
          </w:tcPr>
          <w:p w14:paraId="496E8C75" w14:textId="77777777" w:rsidR="00D07189" w:rsidRPr="00D07189" w:rsidRDefault="00D07189" w:rsidP="000A3D4E">
            <w:pPr>
              <w:rPr>
                <w:rFonts w:cs="Arial"/>
                <w:b/>
                <w:sz w:val="20"/>
                <w:szCs w:val="20"/>
              </w:rPr>
            </w:pPr>
            <w:r w:rsidRPr="00D07189">
              <w:rPr>
                <w:rFonts w:cs="Arial"/>
                <w:b/>
                <w:sz w:val="20"/>
                <w:szCs w:val="20"/>
              </w:rPr>
              <w:t>23.12%</w:t>
            </w:r>
          </w:p>
        </w:tc>
      </w:tr>
    </w:tbl>
    <w:p w14:paraId="2E67C3B5" w14:textId="77777777" w:rsidR="00D07189" w:rsidRPr="00D07189" w:rsidRDefault="00D07189" w:rsidP="00D07189">
      <w:pPr>
        <w:pStyle w:val="Reminder"/>
        <w:rPr>
          <w:rFonts w:ascii="Arial" w:hAnsi="Arial" w:cs="Arial"/>
          <w:i w:val="0"/>
          <w:color w:val="auto"/>
          <w:sz w:val="20"/>
          <w:szCs w:val="20"/>
        </w:rPr>
      </w:pPr>
    </w:p>
    <w:p w14:paraId="5DCBB5B1" w14:textId="77777777" w:rsidR="00D07189" w:rsidRPr="00D07189" w:rsidRDefault="00D07189" w:rsidP="00D07189">
      <w:pPr>
        <w:pStyle w:val="Reminder"/>
        <w:rPr>
          <w:rFonts w:ascii="Arial" w:hAnsi="Arial" w:cs="Arial"/>
          <w:i w:val="0"/>
          <w:color w:val="auto"/>
          <w:sz w:val="20"/>
          <w:szCs w:val="20"/>
        </w:rPr>
      </w:pPr>
      <w:r w:rsidRPr="00D07189">
        <w:rPr>
          <w:rFonts w:ascii="Arial" w:hAnsi="Arial" w:cs="Arial"/>
          <w:i w:val="0"/>
          <w:color w:val="auto"/>
          <w:sz w:val="20"/>
          <w:szCs w:val="20"/>
        </w:rPr>
        <w:t>These factors were applied to determine the peak kW savings through the implementation of the measures contained within this work paper. In instances where the measure does not line up with the set box type specified in the table above, the average value was used as a proxy.</w:t>
      </w:r>
    </w:p>
    <w:p w14:paraId="6B063751" w14:textId="77777777" w:rsidR="00D07189" w:rsidRPr="00D07189" w:rsidRDefault="00D07189" w:rsidP="00D07189">
      <w:pPr>
        <w:pStyle w:val="Reminder"/>
        <w:rPr>
          <w:rFonts w:ascii="Arial" w:hAnsi="Arial" w:cs="Arial"/>
          <w:i w:val="0"/>
          <w:color w:val="auto"/>
          <w:sz w:val="20"/>
          <w:szCs w:val="20"/>
        </w:rPr>
      </w:pPr>
    </w:p>
    <w:p w14:paraId="15101C14" w14:textId="68850D78" w:rsidR="00D07189" w:rsidRPr="00D07189" w:rsidRDefault="00D07189" w:rsidP="00D07189">
      <w:pPr>
        <w:rPr>
          <w:rFonts w:cs="Arial"/>
          <w:color w:val="FF0000"/>
          <w:sz w:val="20"/>
          <w:szCs w:val="20"/>
        </w:rPr>
      </w:pPr>
      <w:r w:rsidRPr="00D07189">
        <w:rPr>
          <w:rFonts w:cs="Arial"/>
          <w:sz w:val="20"/>
          <w:szCs w:val="20"/>
        </w:rPr>
        <w:t>The savings contained within the calculation attachment incorporate DEER interactive effects as well as the CDFs seen above.</w:t>
      </w:r>
    </w:p>
    <w:p w14:paraId="56B90797" w14:textId="77777777" w:rsidR="00EA172F" w:rsidRDefault="00EA172F" w:rsidP="00EA172F">
      <w:pPr>
        <w:spacing w:after="60"/>
        <w:rPr>
          <w:rFonts w:cs="Arial"/>
          <w:b/>
          <w:sz w:val="20"/>
          <w:szCs w:val="20"/>
        </w:rPr>
      </w:pPr>
    </w:p>
    <w:p w14:paraId="37F11DA9" w14:textId="77777777" w:rsidR="00EA172F" w:rsidRPr="00EA172F" w:rsidRDefault="00EA172F" w:rsidP="00EA172F">
      <w:pPr>
        <w:spacing w:after="60"/>
        <w:rPr>
          <w:rFonts w:cs="Arial"/>
          <w:b/>
          <w:sz w:val="20"/>
          <w:szCs w:val="20"/>
        </w:rPr>
      </w:pPr>
      <w:r>
        <w:rPr>
          <w:rFonts w:cs="Arial"/>
          <w:b/>
          <w:sz w:val="20"/>
          <w:szCs w:val="20"/>
        </w:rPr>
        <w:t>First Baseline</w:t>
      </w:r>
    </w:p>
    <w:p w14:paraId="380B9CD5" w14:textId="3DC9EB3B" w:rsidR="00EA172F" w:rsidRPr="00DC4423" w:rsidRDefault="00F6505E" w:rsidP="00EA172F">
      <w:pPr>
        <w:rPr>
          <w:rFonts w:cs="Arial"/>
          <w:color w:val="FF0000"/>
          <w:sz w:val="20"/>
          <w:szCs w:val="20"/>
        </w:rPr>
      </w:pPr>
      <w:r>
        <w:rPr>
          <w:rFonts w:cs="Arial"/>
          <w:sz w:val="20"/>
          <w:szCs w:val="20"/>
        </w:rPr>
        <w:t>Sample demand</w:t>
      </w:r>
      <w:r w:rsidRPr="005E5C3F">
        <w:rPr>
          <w:rFonts w:cs="Arial"/>
          <w:sz w:val="20"/>
          <w:szCs w:val="20"/>
        </w:rPr>
        <w:t xml:space="preserve"> savings for the first baseline can be found </w:t>
      </w:r>
      <w:r>
        <w:rPr>
          <w:rFonts w:cs="Arial"/>
          <w:sz w:val="20"/>
          <w:szCs w:val="20"/>
        </w:rPr>
        <w:t>in the section above.</w:t>
      </w:r>
    </w:p>
    <w:p w14:paraId="308C7950" w14:textId="77777777" w:rsidR="00EA172F" w:rsidRDefault="00EA172F" w:rsidP="00EA172F">
      <w:pPr>
        <w:rPr>
          <w:rFonts w:cs="Arial"/>
          <w:sz w:val="20"/>
          <w:szCs w:val="20"/>
        </w:rPr>
      </w:pPr>
    </w:p>
    <w:p w14:paraId="1816B50D" w14:textId="77777777" w:rsidR="00EA172F" w:rsidRPr="00EA172F" w:rsidRDefault="00EA172F" w:rsidP="00EA172F">
      <w:pPr>
        <w:spacing w:after="60"/>
        <w:rPr>
          <w:rFonts w:cs="Arial"/>
          <w:b/>
          <w:sz w:val="20"/>
          <w:szCs w:val="20"/>
        </w:rPr>
      </w:pPr>
      <w:r>
        <w:rPr>
          <w:rFonts w:cs="Arial"/>
          <w:b/>
          <w:sz w:val="20"/>
          <w:szCs w:val="20"/>
        </w:rPr>
        <w:t>Second Baseline</w:t>
      </w:r>
    </w:p>
    <w:p w14:paraId="3A2C7609" w14:textId="5295F82B" w:rsidR="00EA172F" w:rsidRPr="00DC4423" w:rsidRDefault="00F6505E" w:rsidP="00EA172F">
      <w:pPr>
        <w:rPr>
          <w:rFonts w:cs="Arial"/>
          <w:color w:val="FF0000"/>
          <w:sz w:val="20"/>
          <w:szCs w:val="20"/>
        </w:rPr>
      </w:pPr>
      <w:r w:rsidRPr="00F6505E">
        <w:rPr>
          <w:rFonts w:cs="Arial"/>
          <w:sz w:val="20"/>
          <w:szCs w:val="20"/>
        </w:rPr>
        <w:t>As there is no code, the savings for the first and second baseline are identical.</w:t>
      </w:r>
    </w:p>
    <w:p w14:paraId="1BE9AF94" w14:textId="13D9DAC8" w:rsidR="00A12C9B" w:rsidRPr="001D4579" w:rsidRDefault="007878B9" w:rsidP="003E7CC9">
      <w:pPr>
        <w:pStyle w:val="Heading2-CalTF2"/>
      </w:pPr>
      <w:bookmarkStart w:id="69" w:name="_Toc304800213"/>
      <w:bookmarkStart w:id="70" w:name="_Toc324318367"/>
      <w:bookmarkStart w:id="71" w:name="_Toc324340496"/>
      <w:bookmarkStart w:id="72" w:name="_Toc385592996"/>
      <w:r w:rsidRPr="001D4579">
        <w:t>Gas Energy Savings Estimation Methodologies</w:t>
      </w:r>
      <w:bookmarkStart w:id="73" w:name="_Toc304800214"/>
      <w:bookmarkStart w:id="74" w:name="_Toc324318368"/>
      <w:bookmarkStart w:id="75" w:name="_Toc324340497"/>
      <w:bookmarkEnd w:id="69"/>
      <w:bookmarkEnd w:id="70"/>
      <w:bookmarkEnd w:id="71"/>
      <w:bookmarkEnd w:id="72"/>
    </w:p>
    <w:p w14:paraId="697B2B37" w14:textId="283FE182" w:rsidR="000A3D4E" w:rsidRDefault="000A3D4E" w:rsidP="003E7CC9">
      <w:pPr>
        <w:rPr>
          <w:rFonts w:cs="Arial"/>
          <w:sz w:val="20"/>
          <w:szCs w:val="20"/>
        </w:rPr>
      </w:pPr>
      <w:r w:rsidRPr="000A3D4E">
        <w:rPr>
          <w:rFonts w:cs="Arial"/>
          <w:sz w:val="20"/>
          <w:szCs w:val="20"/>
        </w:rPr>
        <w:t xml:space="preserve">The gas savings for this measure are </w:t>
      </w:r>
      <w:r>
        <w:rPr>
          <w:rFonts w:cs="Arial"/>
          <w:sz w:val="20"/>
          <w:szCs w:val="20"/>
        </w:rPr>
        <w:t>found by applying DEER interactive effect values</w:t>
      </w:r>
      <w:r w:rsidR="00706351">
        <w:rPr>
          <w:rFonts w:cs="Arial"/>
          <w:sz w:val="20"/>
          <w:szCs w:val="20"/>
        </w:rPr>
        <w:t xml:space="preserve"> to the kWh savings found in section 2.2 above. A sample calculation is shown below:</w:t>
      </w:r>
    </w:p>
    <w:p w14:paraId="2BF9E64F" w14:textId="77777777" w:rsidR="006275A4" w:rsidRPr="006275A4" w:rsidRDefault="006275A4" w:rsidP="006275A4">
      <w:pPr>
        <w:rPr>
          <w:rFonts w:cs="Arial"/>
          <w:sz w:val="20"/>
          <w:szCs w:val="20"/>
        </w:rPr>
      </w:pPr>
      <w:r w:rsidRPr="006275A4">
        <w:rPr>
          <w:rFonts w:cs="Arial"/>
          <w:sz w:val="20"/>
          <w:szCs w:val="20"/>
        </w:rPr>
        <w:lastRenderedPageBreak/>
        <w:t>Non Energy Star HD-DVR STB being replaced by Energy Star 4.1 Thin Client:</w:t>
      </w:r>
    </w:p>
    <w:p w14:paraId="3AA7E38D" w14:textId="5AE93857" w:rsidR="006275A4" w:rsidRPr="006275A4" w:rsidRDefault="006275A4" w:rsidP="006275A4">
      <w:pPr>
        <w:pStyle w:val="ListParagraph"/>
        <w:numPr>
          <w:ilvl w:val="0"/>
          <w:numId w:val="23"/>
        </w:numPr>
        <w:rPr>
          <w:rFonts w:ascii="Arial" w:hAnsi="Arial" w:cs="Arial"/>
          <w:sz w:val="20"/>
          <w:szCs w:val="20"/>
        </w:rPr>
      </w:pPr>
      <w:r w:rsidRPr="006275A4">
        <w:rPr>
          <w:rFonts w:ascii="Arial" w:hAnsi="Arial" w:cs="Arial"/>
          <w:sz w:val="20"/>
          <w:szCs w:val="20"/>
        </w:rPr>
        <w:t>Annual Savings: 242.58 kWh/year - 80 kWh/year = 162.58 kWh/year</w:t>
      </w:r>
    </w:p>
    <w:p w14:paraId="41A6047C" w14:textId="136BB962" w:rsidR="006275A4" w:rsidRPr="006275A4" w:rsidRDefault="006275A4" w:rsidP="006275A4">
      <w:pPr>
        <w:pStyle w:val="ListParagraph"/>
        <w:numPr>
          <w:ilvl w:val="0"/>
          <w:numId w:val="22"/>
        </w:numPr>
        <w:rPr>
          <w:rFonts w:ascii="Arial" w:hAnsi="Arial" w:cs="Arial"/>
          <w:sz w:val="20"/>
          <w:szCs w:val="20"/>
        </w:rPr>
      </w:pPr>
      <w:r>
        <w:rPr>
          <w:rFonts w:ascii="Arial" w:hAnsi="Arial" w:cs="Arial"/>
          <w:sz w:val="20"/>
          <w:szCs w:val="20"/>
        </w:rPr>
        <w:t xml:space="preserve">Therm Savings: 162.58 kWh/year * -0.019963 Therms/kWh = </w:t>
      </w:r>
      <w:r w:rsidRPr="006275A4">
        <w:rPr>
          <w:rFonts w:ascii="Arial" w:hAnsi="Arial" w:cs="Arial"/>
          <w:b/>
          <w:sz w:val="20"/>
          <w:szCs w:val="20"/>
        </w:rPr>
        <w:t>-3.2455 Therms/year</w:t>
      </w:r>
    </w:p>
    <w:p w14:paraId="1CEF6D46" w14:textId="77777777" w:rsidR="00706351" w:rsidRPr="006275A4" w:rsidRDefault="00706351" w:rsidP="003E7CC9">
      <w:pPr>
        <w:rPr>
          <w:rFonts w:cs="Arial"/>
          <w:sz w:val="20"/>
          <w:szCs w:val="20"/>
        </w:rPr>
      </w:pPr>
    </w:p>
    <w:p w14:paraId="3535BC84" w14:textId="77777777" w:rsidR="000A3D4E" w:rsidRPr="000A3D4E" w:rsidRDefault="000A3D4E" w:rsidP="003E7CC9">
      <w:pPr>
        <w:rPr>
          <w:rFonts w:cs="Arial"/>
          <w:sz w:val="20"/>
          <w:szCs w:val="20"/>
        </w:rPr>
      </w:pPr>
    </w:p>
    <w:p w14:paraId="3AFEFBE2" w14:textId="77777777" w:rsidR="00EA172F" w:rsidRPr="00EA172F" w:rsidRDefault="00EA172F" w:rsidP="00EA172F">
      <w:pPr>
        <w:spacing w:after="60"/>
        <w:rPr>
          <w:rFonts w:cs="Arial"/>
          <w:b/>
          <w:sz w:val="20"/>
          <w:szCs w:val="20"/>
        </w:rPr>
      </w:pPr>
      <w:r>
        <w:rPr>
          <w:rFonts w:cs="Arial"/>
          <w:b/>
          <w:sz w:val="20"/>
          <w:szCs w:val="20"/>
        </w:rPr>
        <w:t>First Baseline</w:t>
      </w:r>
    </w:p>
    <w:p w14:paraId="6311DD46" w14:textId="0CEDE13C" w:rsidR="00EA172F" w:rsidRPr="006275A4" w:rsidRDefault="006275A4" w:rsidP="00EA172F">
      <w:pPr>
        <w:rPr>
          <w:rFonts w:cs="Arial"/>
          <w:sz w:val="20"/>
          <w:szCs w:val="20"/>
        </w:rPr>
      </w:pPr>
      <w:r w:rsidRPr="006275A4">
        <w:rPr>
          <w:rFonts w:cs="Arial"/>
          <w:sz w:val="20"/>
          <w:szCs w:val="20"/>
        </w:rPr>
        <w:t>See above for a sample calculation.</w:t>
      </w:r>
    </w:p>
    <w:p w14:paraId="3F62ADE8" w14:textId="77777777" w:rsidR="00EA172F" w:rsidRDefault="00EA172F" w:rsidP="00EA172F">
      <w:pPr>
        <w:rPr>
          <w:rFonts w:cs="Arial"/>
          <w:sz w:val="20"/>
          <w:szCs w:val="20"/>
        </w:rPr>
      </w:pPr>
    </w:p>
    <w:p w14:paraId="47B67133" w14:textId="77777777" w:rsidR="00EA172F" w:rsidRPr="00EA172F" w:rsidRDefault="00EA172F" w:rsidP="00EA172F">
      <w:pPr>
        <w:spacing w:after="60"/>
        <w:rPr>
          <w:rFonts w:cs="Arial"/>
          <w:b/>
          <w:sz w:val="20"/>
          <w:szCs w:val="20"/>
        </w:rPr>
      </w:pPr>
      <w:r>
        <w:rPr>
          <w:rFonts w:cs="Arial"/>
          <w:b/>
          <w:sz w:val="20"/>
          <w:szCs w:val="20"/>
        </w:rPr>
        <w:t>Second Baseline</w:t>
      </w:r>
    </w:p>
    <w:p w14:paraId="3D219C27" w14:textId="750A114E" w:rsidR="00EA172F" w:rsidRPr="00DC4423" w:rsidRDefault="006275A4" w:rsidP="00EA172F">
      <w:pPr>
        <w:rPr>
          <w:rFonts w:cs="Arial"/>
          <w:color w:val="FF0000"/>
          <w:sz w:val="20"/>
          <w:szCs w:val="20"/>
        </w:rPr>
      </w:pPr>
      <w:r w:rsidRPr="00F6505E">
        <w:rPr>
          <w:rFonts w:cs="Arial"/>
          <w:sz w:val="20"/>
          <w:szCs w:val="20"/>
        </w:rPr>
        <w:t>As there is no code, the savings for the first and second baseline are identical.</w:t>
      </w:r>
    </w:p>
    <w:p w14:paraId="43512E7C" w14:textId="3B368EEC" w:rsidR="001F0D38" w:rsidRDefault="001F0D38" w:rsidP="001F0D38">
      <w:pPr>
        <w:pStyle w:val="Heading1-CalTF"/>
      </w:pPr>
      <w:bookmarkStart w:id="76" w:name="_Toc385592997"/>
      <w:r>
        <w:t>Load Shapes</w:t>
      </w:r>
      <w:bookmarkEnd w:id="76"/>
    </w:p>
    <w:p w14:paraId="0513F34C" w14:textId="232EA17A" w:rsidR="001F0D38" w:rsidRDefault="001F0D38" w:rsidP="001F0D38">
      <w:pPr>
        <w:rPr>
          <w:rFonts w:cs="Arial"/>
          <w:sz w:val="20"/>
          <w:szCs w:val="20"/>
        </w:rPr>
      </w:pPr>
      <w:r w:rsidRPr="001F0D38">
        <w:rPr>
          <w:rFonts w:cs="Arial"/>
          <w:sz w:val="20"/>
          <w:szCs w:val="20"/>
        </w:rPr>
        <w:t xml:space="preserve">The difference between the base case load shape and the measure load shape would be the most appropriate load shape; however, only end-use profiles are available.  Therefore, </w:t>
      </w:r>
      <w:r w:rsidRPr="001F0D38">
        <w:rPr>
          <w:rFonts w:cs="Arial"/>
          <w:sz w:val="20"/>
          <w:szCs w:val="20"/>
        </w:rPr>
        <w:fldChar w:fldCharType="begin"/>
      </w:r>
      <w:r w:rsidRPr="001F0D38">
        <w:rPr>
          <w:rFonts w:cs="Arial"/>
          <w:sz w:val="20"/>
          <w:szCs w:val="20"/>
        </w:rPr>
        <w:instrText xml:space="preserve"> XE "load shape" </w:instrText>
      </w:r>
      <w:r w:rsidRPr="001F0D38">
        <w:rPr>
          <w:rFonts w:cs="Arial"/>
          <w:sz w:val="20"/>
          <w:szCs w:val="20"/>
        </w:rPr>
        <w:fldChar w:fldCharType="end"/>
      </w:r>
      <w:r w:rsidRPr="001F0D38">
        <w:rPr>
          <w:rFonts w:cs="Arial"/>
          <w:sz w:val="20"/>
          <w:szCs w:val="20"/>
        </w:rPr>
        <w:t>the closest load shape chosen for this measure is the DEER:Indoor_</w:t>
      </w:r>
      <w:r w:rsidR="00E61594" w:rsidRPr="001F0D38">
        <w:rPr>
          <w:rFonts w:cs="Arial"/>
          <w:sz w:val="20"/>
          <w:szCs w:val="20"/>
        </w:rPr>
        <w:t xml:space="preserve"> </w:t>
      </w:r>
      <w:r w:rsidR="00E61594">
        <w:rPr>
          <w:rFonts w:cs="Arial"/>
          <w:sz w:val="20"/>
          <w:szCs w:val="20"/>
        </w:rPr>
        <w:t>CFL_Ltg load shape.</w:t>
      </w:r>
      <w:r w:rsidRPr="001F0D38">
        <w:rPr>
          <w:rFonts w:cs="Arial"/>
          <w:sz w:val="20"/>
          <w:szCs w:val="20"/>
        </w:rPr>
        <w:t xml:space="preserve"> See </w:t>
      </w:r>
      <w:r w:rsidR="00F5362E">
        <w:rPr>
          <w:rFonts w:cs="Arial"/>
          <w:sz w:val="20"/>
          <w:szCs w:val="20"/>
        </w:rPr>
        <w:t>table below</w:t>
      </w:r>
      <w:r w:rsidRPr="001F0D38">
        <w:rPr>
          <w:rFonts w:cs="Arial"/>
          <w:sz w:val="20"/>
          <w:szCs w:val="20"/>
        </w:rPr>
        <w:t xml:space="preserve"> for a list of all Building Types and Load Shapes.  See the KEMA report [31] for a more thorough discussion regarding the load shapes for this measure.</w:t>
      </w:r>
    </w:p>
    <w:p w14:paraId="17076ABC" w14:textId="77777777" w:rsidR="001F0D38" w:rsidRPr="001F0D38" w:rsidRDefault="001F0D38" w:rsidP="001F0D38">
      <w:pPr>
        <w:rPr>
          <w:rFonts w:cs="Arial"/>
          <w:sz w:val="20"/>
          <w:szCs w:val="20"/>
        </w:rPr>
      </w:pPr>
    </w:p>
    <w:p w14:paraId="696969D9" w14:textId="3C3064ED" w:rsidR="001F0D38" w:rsidRPr="001F0D38" w:rsidRDefault="001F0D38" w:rsidP="001F0D38">
      <w:pPr>
        <w:pStyle w:val="Caption"/>
        <w:spacing w:after="60"/>
        <w:rPr>
          <w:rFonts w:cs="Arial"/>
          <w:b w:val="0"/>
        </w:rPr>
      </w:pPr>
      <w:bookmarkStart w:id="77" w:name="_Ref296597958"/>
      <w:bookmarkStart w:id="78" w:name="_Toc385592677"/>
      <w:r w:rsidRPr="001F0D38">
        <w:rPr>
          <w:rFonts w:cs="Arial"/>
        </w:rPr>
        <w:t xml:space="preserve">Table </w:t>
      </w:r>
      <w:r w:rsidRPr="001F0D38">
        <w:rPr>
          <w:rFonts w:cs="Arial"/>
        </w:rPr>
        <w:fldChar w:fldCharType="begin"/>
      </w:r>
      <w:r w:rsidRPr="001F0D38">
        <w:rPr>
          <w:rFonts w:cs="Arial"/>
        </w:rPr>
        <w:instrText xml:space="preserve"> SEQ Table \* ARABIC </w:instrText>
      </w:r>
      <w:r w:rsidRPr="001F0D38">
        <w:rPr>
          <w:rFonts w:cs="Arial"/>
        </w:rPr>
        <w:fldChar w:fldCharType="separate"/>
      </w:r>
      <w:r>
        <w:rPr>
          <w:rFonts w:cs="Arial"/>
          <w:noProof/>
        </w:rPr>
        <w:t>7</w:t>
      </w:r>
      <w:r w:rsidRPr="001F0D38">
        <w:rPr>
          <w:rFonts w:cs="Arial"/>
        </w:rPr>
        <w:fldChar w:fldCharType="end"/>
      </w:r>
      <w:bookmarkEnd w:id="77"/>
      <w:r w:rsidRPr="001F0D38">
        <w:rPr>
          <w:rFonts w:cs="Arial"/>
        </w:rPr>
        <w:t>.</w:t>
      </w:r>
      <w:r w:rsidRPr="001F0D38">
        <w:rPr>
          <w:rFonts w:cs="Arial"/>
          <w:b w:val="0"/>
        </w:rPr>
        <w:t xml:space="preserve"> Building Types and Load Shapes</w:t>
      </w:r>
      <w:bookmarkEnd w:id="78"/>
    </w:p>
    <w:tbl>
      <w:tblPr>
        <w:tblStyle w:val="TableContemporary"/>
        <w:tblW w:w="44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5"/>
        <w:gridCol w:w="2853"/>
        <w:gridCol w:w="2493"/>
      </w:tblGrid>
      <w:tr w:rsidR="001F0D38" w:rsidRPr="001F0D38" w14:paraId="02990D98" w14:textId="77777777" w:rsidTr="001F0D38">
        <w:trPr>
          <w:cnfStyle w:val="100000000000" w:firstRow="1" w:lastRow="0" w:firstColumn="0" w:lastColumn="0" w:oddVBand="0" w:evenVBand="0" w:oddHBand="0" w:evenHBand="0" w:firstRowFirstColumn="0" w:firstRowLastColumn="0" w:lastRowFirstColumn="0" w:lastRowLastColumn="0"/>
        </w:trPr>
        <w:tc>
          <w:tcPr>
            <w:tcW w:w="1760" w:type="pct"/>
            <w:shd w:val="clear" w:color="auto" w:fill="D9D9D9" w:themeFill="background1" w:themeFillShade="D9"/>
            <w:vAlign w:val="center"/>
          </w:tcPr>
          <w:p w14:paraId="0C0E8F5D" w14:textId="77777777" w:rsidR="001F0D38" w:rsidRPr="001F0D38" w:rsidRDefault="001F0D38" w:rsidP="001F0D38">
            <w:pPr>
              <w:spacing w:before="60" w:after="60"/>
              <w:jc w:val="center"/>
              <w:rPr>
                <w:rFonts w:cs="Arial"/>
                <w:b w:val="0"/>
                <w:sz w:val="20"/>
                <w:szCs w:val="20"/>
                <w:highlight w:val="yellow"/>
              </w:rPr>
            </w:pPr>
            <w:r w:rsidRPr="001F0D38">
              <w:rPr>
                <w:rFonts w:cs="Arial"/>
                <w:b w:val="0"/>
                <w:sz w:val="20"/>
                <w:szCs w:val="20"/>
              </w:rPr>
              <w:t>Building Type</w:t>
            </w:r>
          </w:p>
        </w:tc>
        <w:tc>
          <w:tcPr>
            <w:tcW w:w="1729" w:type="pct"/>
            <w:shd w:val="clear" w:color="auto" w:fill="D9D9D9" w:themeFill="background1" w:themeFillShade="D9"/>
            <w:vAlign w:val="center"/>
          </w:tcPr>
          <w:p w14:paraId="259E9AFC" w14:textId="41FDAF07" w:rsidR="001F0D38" w:rsidRPr="001F0D38" w:rsidRDefault="001F0D38" w:rsidP="001F0D38">
            <w:pPr>
              <w:spacing w:before="60" w:after="60"/>
              <w:jc w:val="center"/>
              <w:rPr>
                <w:rFonts w:cs="Arial"/>
                <w:b w:val="0"/>
                <w:sz w:val="20"/>
                <w:szCs w:val="20"/>
                <w:highlight w:val="yellow"/>
              </w:rPr>
            </w:pPr>
            <w:r>
              <w:rPr>
                <w:rFonts w:cs="Arial"/>
                <w:b w:val="0"/>
                <w:sz w:val="20"/>
                <w:szCs w:val="20"/>
              </w:rPr>
              <w:t>E3 Alternate</w:t>
            </w:r>
            <w:r w:rsidRPr="001F0D38">
              <w:rPr>
                <w:rFonts w:cs="Arial"/>
                <w:b w:val="0"/>
                <w:sz w:val="20"/>
                <w:szCs w:val="20"/>
              </w:rPr>
              <w:t xml:space="preserve"> Building Type</w:t>
            </w:r>
          </w:p>
        </w:tc>
        <w:tc>
          <w:tcPr>
            <w:tcW w:w="1511" w:type="pct"/>
            <w:shd w:val="clear" w:color="auto" w:fill="D9D9D9" w:themeFill="background1" w:themeFillShade="D9"/>
            <w:vAlign w:val="center"/>
          </w:tcPr>
          <w:p w14:paraId="50AC71DD" w14:textId="77777777" w:rsidR="001F0D38" w:rsidRPr="001F0D38" w:rsidRDefault="001F0D38" w:rsidP="001F0D38">
            <w:pPr>
              <w:spacing w:before="60" w:after="60"/>
              <w:jc w:val="center"/>
              <w:rPr>
                <w:rFonts w:cs="Arial"/>
                <w:b w:val="0"/>
                <w:sz w:val="20"/>
                <w:szCs w:val="20"/>
              </w:rPr>
            </w:pPr>
            <w:r w:rsidRPr="001F0D38">
              <w:rPr>
                <w:rFonts w:cs="Arial"/>
                <w:b w:val="0"/>
                <w:sz w:val="20"/>
                <w:szCs w:val="20"/>
              </w:rPr>
              <w:t>Load Shape</w:t>
            </w:r>
          </w:p>
        </w:tc>
      </w:tr>
      <w:tr w:rsidR="001F0D38" w:rsidRPr="001F0D38" w14:paraId="74C2E6D0" w14:textId="77777777" w:rsidTr="001F0D38">
        <w:trPr>
          <w:cnfStyle w:val="000000100000" w:firstRow="0" w:lastRow="0" w:firstColumn="0" w:lastColumn="0" w:oddVBand="0" w:evenVBand="0" w:oddHBand="1" w:evenHBand="0" w:firstRowFirstColumn="0" w:firstRowLastColumn="0" w:lastRowFirstColumn="0" w:lastRowLastColumn="0"/>
        </w:trPr>
        <w:tc>
          <w:tcPr>
            <w:tcW w:w="1760" w:type="pct"/>
            <w:shd w:val="clear" w:color="auto" w:fill="auto"/>
            <w:vAlign w:val="center"/>
          </w:tcPr>
          <w:p w14:paraId="44AB3FAF" w14:textId="1CCD4188" w:rsidR="001F0D38" w:rsidRPr="001F0D38" w:rsidRDefault="00E61594" w:rsidP="001F0D38">
            <w:pPr>
              <w:spacing w:before="60" w:after="60"/>
              <w:rPr>
                <w:rFonts w:cs="Arial"/>
                <w:sz w:val="20"/>
                <w:szCs w:val="20"/>
              </w:rPr>
            </w:pPr>
            <w:r>
              <w:rPr>
                <w:rFonts w:cs="Arial"/>
                <w:sz w:val="20"/>
                <w:szCs w:val="20"/>
              </w:rPr>
              <w:t>Residential Single Family</w:t>
            </w:r>
          </w:p>
        </w:tc>
        <w:tc>
          <w:tcPr>
            <w:tcW w:w="1729" w:type="pct"/>
            <w:shd w:val="clear" w:color="auto" w:fill="auto"/>
            <w:vAlign w:val="center"/>
          </w:tcPr>
          <w:p w14:paraId="78B6F0A5" w14:textId="0C8A1A2B" w:rsidR="001F0D38" w:rsidRPr="001F0D38" w:rsidRDefault="001F0D38" w:rsidP="001F0D38">
            <w:pPr>
              <w:spacing w:before="60" w:after="60"/>
              <w:jc w:val="center"/>
              <w:rPr>
                <w:rFonts w:cs="Arial"/>
                <w:sz w:val="20"/>
                <w:szCs w:val="20"/>
              </w:rPr>
            </w:pPr>
            <w:r w:rsidRPr="001F0D38">
              <w:rPr>
                <w:rFonts w:cs="Arial"/>
                <w:sz w:val="20"/>
                <w:szCs w:val="20"/>
              </w:rPr>
              <w:t>RES</w:t>
            </w:r>
          </w:p>
        </w:tc>
        <w:tc>
          <w:tcPr>
            <w:tcW w:w="1511" w:type="pct"/>
            <w:shd w:val="clear" w:color="auto" w:fill="auto"/>
            <w:vAlign w:val="center"/>
          </w:tcPr>
          <w:p w14:paraId="1D3AD325" w14:textId="0E9F3392" w:rsidR="001F0D38" w:rsidRPr="001F0D38" w:rsidRDefault="001F0D38" w:rsidP="00E61594">
            <w:pPr>
              <w:spacing w:before="60" w:after="60"/>
              <w:jc w:val="center"/>
              <w:rPr>
                <w:rFonts w:cs="Arial"/>
                <w:sz w:val="20"/>
                <w:szCs w:val="20"/>
              </w:rPr>
            </w:pPr>
            <w:r w:rsidRPr="001F0D38">
              <w:rPr>
                <w:rFonts w:cs="Arial"/>
                <w:sz w:val="20"/>
                <w:szCs w:val="20"/>
              </w:rPr>
              <w:t>DEER:Indoor_CFL_Ltg</w:t>
            </w:r>
          </w:p>
        </w:tc>
      </w:tr>
    </w:tbl>
    <w:p w14:paraId="5F2F9612" w14:textId="77777777" w:rsidR="001F0D38" w:rsidRPr="001F0D38" w:rsidRDefault="001F0D38" w:rsidP="001F0D38">
      <w:pPr>
        <w:rPr>
          <w:rFonts w:cs="Arial"/>
          <w:sz w:val="20"/>
          <w:szCs w:val="20"/>
        </w:rPr>
      </w:pPr>
    </w:p>
    <w:p w14:paraId="3DA89EFD" w14:textId="0BE576C3" w:rsidR="00817D29" w:rsidRDefault="009E0FB1" w:rsidP="00817D29">
      <w:pPr>
        <w:pStyle w:val="Heading1-CalTF"/>
      </w:pPr>
      <w:bookmarkStart w:id="79" w:name="_Toc304800217"/>
      <w:bookmarkStart w:id="80" w:name="_Toc324318371"/>
      <w:bookmarkStart w:id="81" w:name="_Toc324340500"/>
      <w:bookmarkStart w:id="82" w:name="_Toc385592998"/>
      <w:bookmarkEnd w:id="73"/>
      <w:bookmarkEnd w:id="74"/>
      <w:bookmarkEnd w:id="75"/>
      <w:r>
        <w:t>Base Case,</w:t>
      </w:r>
      <w:r w:rsidR="00C069A2" w:rsidRPr="001D4579">
        <w:t xml:space="preserve"> Measure</w:t>
      </w:r>
      <w:r>
        <w:t>, and Installation</w:t>
      </w:r>
      <w:r w:rsidR="00C069A2" w:rsidRPr="001D4579">
        <w:t xml:space="preserve"> Costs</w:t>
      </w:r>
      <w:bookmarkEnd w:id="79"/>
      <w:bookmarkEnd w:id="80"/>
      <w:bookmarkEnd w:id="81"/>
      <w:bookmarkEnd w:id="82"/>
    </w:p>
    <w:p w14:paraId="6969A796" w14:textId="4959AB12" w:rsidR="00EA172F" w:rsidRPr="00DC4423" w:rsidRDefault="009E0FB1" w:rsidP="00EA172F">
      <w:pPr>
        <w:rPr>
          <w:color w:val="FF0000"/>
          <w:sz w:val="20"/>
          <w:szCs w:val="20"/>
        </w:rPr>
      </w:pPr>
      <w:r w:rsidRPr="00DC4423">
        <w:rPr>
          <w:color w:val="FF0000"/>
          <w:sz w:val="20"/>
          <w:szCs w:val="20"/>
        </w:rPr>
        <w:t>Provide summary of base, measure, and installation costs for appropriate application type (see Appendix 2).</w:t>
      </w:r>
      <w:r w:rsidR="00DC4423">
        <w:rPr>
          <w:color w:val="FF0000"/>
          <w:sz w:val="20"/>
          <w:szCs w:val="20"/>
        </w:rPr>
        <w:t xml:space="preserve">  If DEER costs are not used, </w:t>
      </w:r>
      <w:r w:rsidR="00DC4423">
        <w:rPr>
          <w:rFonts w:cs="Arial"/>
          <w:color w:val="FF0000"/>
          <w:sz w:val="20"/>
          <w:szCs w:val="20"/>
        </w:rPr>
        <w:t>i</w:t>
      </w:r>
      <w:r w:rsidR="00DC4423" w:rsidRPr="00DC4423">
        <w:rPr>
          <w:rFonts w:cs="Arial"/>
          <w:color w:val="FF0000"/>
          <w:sz w:val="20"/>
          <w:szCs w:val="20"/>
        </w:rPr>
        <w:t>nclude detailed, all-inclusive, and defensible explanation</w:t>
      </w:r>
      <w:r w:rsidR="00DC4423">
        <w:rPr>
          <w:rFonts w:cs="Arial"/>
          <w:color w:val="FF0000"/>
          <w:sz w:val="20"/>
          <w:szCs w:val="20"/>
        </w:rPr>
        <w:t xml:space="preserve"> of cost estimation methodologies and reasons for not using DEER.</w:t>
      </w:r>
      <w:r w:rsidR="00DC4423" w:rsidRPr="00DC4423">
        <w:rPr>
          <w:rFonts w:cs="Arial"/>
          <w:color w:val="FF0000"/>
          <w:sz w:val="20"/>
          <w:szCs w:val="20"/>
        </w:rPr>
        <w:t xml:space="preserve"> </w:t>
      </w:r>
      <w:r w:rsidR="00DC4423">
        <w:rPr>
          <w:rFonts w:cs="Arial"/>
          <w:color w:val="FF0000"/>
          <w:sz w:val="20"/>
          <w:szCs w:val="20"/>
        </w:rPr>
        <w:t xml:space="preserve"> </w:t>
      </w:r>
    </w:p>
    <w:p w14:paraId="0854A68D" w14:textId="2EE9A693" w:rsidR="00817D29" w:rsidRPr="00817D29" w:rsidRDefault="00817D29" w:rsidP="00DA7C16">
      <w:pPr>
        <w:pStyle w:val="Caption"/>
        <w:spacing w:before="300" w:after="60"/>
      </w:pPr>
      <w:bookmarkStart w:id="83" w:name="_Toc385592678"/>
      <w:r>
        <w:t xml:space="preserve">Table </w:t>
      </w:r>
      <w:r w:rsidR="003709F9">
        <w:fldChar w:fldCharType="begin"/>
      </w:r>
      <w:r w:rsidR="003709F9">
        <w:instrText xml:space="preserve"> SEQ Table \* ARABIC </w:instrText>
      </w:r>
      <w:r w:rsidR="003709F9">
        <w:fldChar w:fldCharType="separate"/>
      </w:r>
      <w:r w:rsidR="00DC4C2C">
        <w:rPr>
          <w:noProof/>
        </w:rPr>
        <w:t>8</w:t>
      </w:r>
      <w:r w:rsidR="003709F9">
        <w:rPr>
          <w:noProof/>
        </w:rPr>
        <w:fldChar w:fldCharType="end"/>
      </w:r>
      <w:r>
        <w:t xml:space="preserve">. </w:t>
      </w:r>
      <w:r w:rsidR="009E0FB1">
        <w:rPr>
          <w:b w:val="0"/>
        </w:rPr>
        <w:t>M</w:t>
      </w:r>
      <w:r>
        <w:rPr>
          <w:b w:val="0"/>
        </w:rPr>
        <w:t>easure cost</w:t>
      </w:r>
      <w:r w:rsidR="00980C54">
        <w:rPr>
          <w:b w:val="0"/>
        </w:rPr>
        <w:t xml:space="preserve"> summary</w:t>
      </w:r>
      <w:r>
        <w:rPr>
          <w:b w:val="0"/>
        </w:rPr>
        <w:t xml:space="preserve"> by application type</w:t>
      </w:r>
      <w:bookmarkEnd w:id="83"/>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5"/>
        <w:gridCol w:w="1345"/>
        <w:gridCol w:w="1294"/>
        <w:gridCol w:w="1222"/>
        <w:gridCol w:w="1319"/>
        <w:gridCol w:w="1540"/>
        <w:gridCol w:w="1530"/>
      </w:tblGrid>
      <w:tr w:rsidR="00E271B3" w:rsidRPr="00817D29" w14:paraId="393A10DD" w14:textId="298CCFA2" w:rsidTr="00E271B3">
        <w:trPr>
          <w:trHeight w:val="255"/>
        </w:trPr>
        <w:tc>
          <w:tcPr>
            <w:tcW w:w="1195" w:type="dxa"/>
            <w:shd w:val="clear" w:color="auto" w:fill="D9D9D9" w:themeFill="background1" w:themeFillShade="D9"/>
            <w:noWrap/>
            <w:vAlign w:val="center"/>
          </w:tcPr>
          <w:p w14:paraId="393A10D9" w14:textId="77777777" w:rsidR="002C408C" w:rsidRPr="00817D29" w:rsidRDefault="002C408C" w:rsidP="009E0FB1">
            <w:pPr>
              <w:spacing w:before="60" w:after="60"/>
              <w:jc w:val="center"/>
              <w:rPr>
                <w:rFonts w:cs="Arial"/>
                <w:sz w:val="20"/>
                <w:szCs w:val="20"/>
              </w:rPr>
            </w:pPr>
            <w:bookmarkStart w:id="84" w:name="_Toc304800218"/>
            <w:r w:rsidRPr="00817D29">
              <w:rPr>
                <w:rFonts w:cs="Arial"/>
                <w:sz w:val="20"/>
                <w:szCs w:val="20"/>
              </w:rPr>
              <w:t>Measure Application Type</w:t>
            </w:r>
          </w:p>
        </w:tc>
        <w:tc>
          <w:tcPr>
            <w:tcW w:w="1345" w:type="dxa"/>
            <w:shd w:val="clear" w:color="auto" w:fill="D9D9D9" w:themeFill="background1" w:themeFillShade="D9"/>
            <w:vAlign w:val="center"/>
          </w:tcPr>
          <w:p w14:paraId="77DEE93C" w14:textId="77777777" w:rsidR="002C408C" w:rsidRDefault="002C408C" w:rsidP="009E0FB1">
            <w:pPr>
              <w:spacing w:before="60" w:after="60"/>
              <w:jc w:val="center"/>
              <w:rPr>
                <w:rFonts w:cs="Arial"/>
                <w:sz w:val="20"/>
                <w:szCs w:val="20"/>
              </w:rPr>
            </w:pPr>
            <w:r>
              <w:rPr>
                <w:rFonts w:cs="Arial"/>
                <w:sz w:val="20"/>
                <w:szCs w:val="20"/>
              </w:rPr>
              <w:t xml:space="preserve">Base Case </w:t>
            </w:r>
          </w:p>
          <w:p w14:paraId="2CE33A2B" w14:textId="3DA6A16D" w:rsidR="002C408C" w:rsidRDefault="002C408C" w:rsidP="009E0FB1">
            <w:pPr>
              <w:spacing w:before="60" w:after="60"/>
              <w:jc w:val="center"/>
              <w:rPr>
                <w:rFonts w:cs="Arial"/>
                <w:sz w:val="20"/>
                <w:szCs w:val="20"/>
              </w:rPr>
            </w:pPr>
            <w:r>
              <w:rPr>
                <w:rFonts w:cs="Arial"/>
                <w:sz w:val="20"/>
                <w:szCs w:val="20"/>
              </w:rPr>
              <w:t>Equipment Cost</w:t>
            </w:r>
          </w:p>
          <w:p w14:paraId="2882855A" w14:textId="243B53CC" w:rsidR="002C408C" w:rsidRDefault="002C408C" w:rsidP="009E0FB1">
            <w:pPr>
              <w:spacing w:before="60" w:after="60"/>
              <w:jc w:val="center"/>
              <w:rPr>
                <w:rFonts w:cs="Arial"/>
                <w:sz w:val="20"/>
                <w:szCs w:val="20"/>
              </w:rPr>
            </w:pPr>
            <w:r>
              <w:rPr>
                <w:rFonts w:cs="Arial"/>
                <w:sz w:val="20"/>
                <w:szCs w:val="20"/>
              </w:rPr>
              <w:t>($/unit)</w:t>
            </w:r>
          </w:p>
        </w:tc>
        <w:tc>
          <w:tcPr>
            <w:tcW w:w="1294" w:type="dxa"/>
            <w:shd w:val="clear" w:color="auto" w:fill="D9D9D9" w:themeFill="background1" w:themeFillShade="D9"/>
            <w:vAlign w:val="center"/>
          </w:tcPr>
          <w:p w14:paraId="554097E9" w14:textId="77777777" w:rsidR="002C408C" w:rsidRDefault="002C408C" w:rsidP="009E0FB1">
            <w:pPr>
              <w:spacing w:before="60" w:after="60"/>
              <w:jc w:val="center"/>
              <w:rPr>
                <w:rFonts w:cs="Arial"/>
                <w:sz w:val="20"/>
                <w:szCs w:val="20"/>
              </w:rPr>
            </w:pPr>
            <w:r>
              <w:rPr>
                <w:rFonts w:cs="Arial"/>
                <w:sz w:val="20"/>
                <w:szCs w:val="20"/>
              </w:rPr>
              <w:t xml:space="preserve">Measure </w:t>
            </w:r>
          </w:p>
          <w:p w14:paraId="507DDA51" w14:textId="2A10AA20" w:rsidR="002C408C" w:rsidRDefault="002C408C" w:rsidP="009E0FB1">
            <w:pPr>
              <w:spacing w:before="60" w:after="60"/>
              <w:jc w:val="center"/>
              <w:rPr>
                <w:rFonts w:cs="Arial"/>
                <w:sz w:val="20"/>
                <w:szCs w:val="20"/>
              </w:rPr>
            </w:pPr>
            <w:r>
              <w:rPr>
                <w:rFonts w:cs="Arial"/>
                <w:sz w:val="20"/>
                <w:szCs w:val="20"/>
              </w:rPr>
              <w:t xml:space="preserve">Equipment Cost </w:t>
            </w:r>
          </w:p>
          <w:p w14:paraId="0F6E6D06" w14:textId="072D4333" w:rsidR="002C408C" w:rsidRPr="00817D29" w:rsidRDefault="002C408C" w:rsidP="009E0FB1">
            <w:pPr>
              <w:spacing w:before="60" w:after="60"/>
              <w:jc w:val="center"/>
              <w:rPr>
                <w:rFonts w:cs="Arial"/>
                <w:sz w:val="20"/>
                <w:szCs w:val="20"/>
              </w:rPr>
            </w:pPr>
            <w:r>
              <w:rPr>
                <w:rFonts w:cs="Arial"/>
                <w:sz w:val="20"/>
                <w:szCs w:val="20"/>
              </w:rPr>
              <w:t>($/unit)</w:t>
            </w:r>
          </w:p>
        </w:tc>
        <w:tc>
          <w:tcPr>
            <w:tcW w:w="1222" w:type="dxa"/>
            <w:tcBorders>
              <w:bottom w:val="single" w:sz="4" w:space="0" w:color="auto"/>
            </w:tcBorders>
            <w:shd w:val="clear" w:color="auto" w:fill="D9D9D9" w:themeFill="background1" w:themeFillShade="D9"/>
            <w:vAlign w:val="center"/>
          </w:tcPr>
          <w:p w14:paraId="6E77B2F9" w14:textId="77777777" w:rsidR="002C408C" w:rsidRDefault="002C408C" w:rsidP="009E0FB1">
            <w:pPr>
              <w:spacing w:before="60" w:after="60"/>
              <w:jc w:val="center"/>
              <w:rPr>
                <w:rFonts w:cs="Arial"/>
                <w:sz w:val="20"/>
                <w:szCs w:val="20"/>
              </w:rPr>
            </w:pPr>
            <w:r>
              <w:rPr>
                <w:rFonts w:cs="Arial"/>
                <w:sz w:val="20"/>
                <w:szCs w:val="20"/>
              </w:rPr>
              <w:t xml:space="preserve">Installation Cost </w:t>
            </w:r>
          </w:p>
          <w:p w14:paraId="393A10DB" w14:textId="6D14EFD6" w:rsidR="002C408C" w:rsidRPr="009E0FB1" w:rsidRDefault="002C408C" w:rsidP="002C408C">
            <w:pPr>
              <w:spacing w:before="60" w:after="60"/>
              <w:jc w:val="center"/>
              <w:rPr>
                <w:rFonts w:cs="Arial"/>
                <w:sz w:val="20"/>
                <w:szCs w:val="20"/>
              </w:rPr>
            </w:pPr>
            <w:r>
              <w:rPr>
                <w:rFonts w:cs="Arial"/>
                <w:sz w:val="20"/>
                <w:szCs w:val="20"/>
              </w:rPr>
              <w:t>($/Unit)</w:t>
            </w:r>
          </w:p>
        </w:tc>
        <w:tc>
          <w:tcPr>
            <w:tcW w:w="1319" w:type="dxa"/>
            <w:shd w:val="clear" w:color="auto" w:fill="D9D9D9" w:themeFill="background1" w:themeFillShade="D9"/>
            <w:vAlign w:val="center"/>
          </w:tcPr>
          <w:p w14:paraId="136F46E4" w14:textId="77777777" w:rsidR="002C408C" w:rsidRDefault="002C408C" w:rsidP="009E0FB1">
            <w:pPr>
              <w:spacing w:before="60" w:after="60"/>
              <w:jc w:val="center"/>
              <w:rPr>
                <w:rFonts w:cs="Arial"/>
                <w:sz w:val="20"/>
                <w:szCs w:val="20"/>
              </w:rPr>
            </w:pPr>
            <w:r>
              <w:rPr>
                <w:rFonts w:cs="Arial"/>
                <w:sz w:val="20"/>
                <w:szCs w:val="20"/>
              </w:rPr>
              <w:t xml:space="preserve">Incremental Measure Cost </w:t>
            </w:r>
          </w:p>
          <w:p w14:paraId="2431E036" w14:textId="2EFF5D77" w:rsidR="002C408C" w:rsidRDefault="002C408C" w:rsidP="009E0FB1">
            <w:pPr>
              <w:spacing w:before="60" w:after="60"/>
              <w:jc w:val="center"/>
              <w:rPr>
                <w:rFonts w:cs="Arial"/>
                <w:sz w:val="20"/>
                <w:szCs w:val="20"/>
              </w:rPr>
            </w:pPr>
            <w:r>
              <w:rPr>
                <w:rFonts w:cs="Arial"/>
                <w:sz w:val="20"/>
                <w:szCs w:val="20"/>
              </w:rPr>
              <w:t>($/unit)</w:t>
            </w:r>
          </w:p>
        </w:tc>
        <w:tc>
          <w:tcPr>
            <w:tcW w:w="1540" w:type="dxa"/>
            <w:tcBorders>
              <w:bottom w:val="single" w:sz="4" w:space="0" w:color="auto"/>
            </w:tcBorders>
            <w:shd w:val="clear" w:color="auto" w:fill="D9D9D9" w:themeFill="background1" w:themeFillShade="D9"/>
            <w:vAlign w:val="center"/>
          </w:tcPr>
          <w:p w14:paraId="626075D2" w14:textId="77777777" w:rsidR="00E271B3" w:rsidRDefault="002C408C" w:rsidP="00E271B3">
            <w:pPr>
              <w:spacing w:before="60"/>
              <w:jc w:val="center"/>
              <w:rPr>
                <w:rFonts w:cs="Arial"/>
                <w:sz w:val="20"/>
                <w:szCs w:val="20"/>
              </w:rPr>
            </w:pPr>
            <w:r>
              <w:rPr>
                <w:rFonts w:cs="Arial"/>
                <w:sz w:val="20"/>
                <w:szCs w:val="20"/>
              </w:rPr>
              <w:t>Full Measure Cost</w:t>
            </w:r>
            <w:r w:rsidR="00E271B3">
              <w:rPr>
                <w:rFonts w:cs="Arial"/>
                <w:sz w:val="20"/>
                <w:szCs w:val="20"/>
              </w:rPr>
              <w:t xml:space="preserve"> </w:t>
            </w:r>
          </w:p>
          <w:p w14:paraId="50CBC514" w14:textId="3D008A9B" w:rsidR="002C408C" w:rsidRDefault="00E271B3" w:rsidP="00E271B3">
            <w:pPr>
              <w:jc w:val="center"/>
              <w:rPr>
                <w:rFonts w:cs="Arial"/>
                <w:sz w:val="20"/>
                <w:szCs w:val="20"/>
              </w:rPr>
            </w:pPr>
            <w:r>
              <w:rPr>
                <w:rFonts w:cs="Arial"/>
                <w:sz w:val="20"/>
                <w:szCs w:val="20"/>
              </w:rPr>
              <w:t>(1</w:t>
            </w:r>
            <w:r w:rsidRPr="00E271B3">
              <w:rPr>
                <w:rFonts w:cs="Arial"/>
                <w:sz w:val="20"/>
                <w:szCs w:val="20"/>
                <w:vertAlign w:val="superscript"/>
              </w:rPr>
              <w:t>st</w:t>
            </w:r>
            <w:r>
              <w:rPr>
                <w:rFonts w:cs="Arial"/>
                <w:sz w:val="20"/>
                <w:szCs w:val="20"/>
              </w:rPr>
              <w:t xml:space="preserve"> Baseline period)</w:t>
            </w:r>
            <w:r w:rsidR="002C408C">
              <w:rPr>
                <w:rStyle w:val="FootnoteReference"/>
                <w:rFonts w:cs="Arial"/>
                <w:sz w:val="20"/>
                <w:szCs w:val="20"/>
              </w:rPr>
              <w:footnoteReference w:id="3"/>
            </w:r>
            <w:r w:rsidR="002C408C">
              <w:rPr>
                <w:rFonts w:cs="Arial"/>
                <w:sz w:val="20"/>
                <w:szCs w:val="20"/>
              </w:rPr>
              <w:t xml:space="preserve"> </w:t>
            </w:r>
          </w:p>
          <w:p w14:paraId="58417014" w14:textId="3454678F" w:rsidR="002C408C" w:rsidRDefault="002C408C" w:rsidP="009E0FB1">
            <w:pPr>
              <w:spacing w:before="60" w:after="60"/>
              <w:jc w:val="center"/>
              <w:rPr>
                <w:rFonts w:cs="Arial"/>
                <w:sz w:val="20"/>
                <w:szCs w:val="20"/>
              </w:rPr>
            </w:pPr>
            <w:r>
              <w:rPr>
                <w:rFonts w:cs="Arial"/>
                <w:sz w:val="20"/>
                <w:szCs w:val="20"/>
              </w:rPr>
              <w:t>($/unit)</w:t>
            </w:r>
          </w:p>
        </w:tc>
        <w:tc>
          <w:tcPr>
            <w:tcW w:w="1530" w:type="dxa"/>
            <w:tcBorders>
              <w:bottom w:val="single" w:sz="4" w:space="0" w:color="auto"/>
            </w:tcBorders>
            <w:shd w:val="clear" w:color="auto" w:fill="D9D9D9" w:themeFill="background1" w:themeFillShade="D9"/>
            <w:vAlign w:val="center"/>
          </w:tcPr>
          <w:p w14:paraId="4F8832BC" w14:textId="77777777" w:rsidR="00E271B3" w:rsidRDefault="002C408C" w:rsidP="00E271B3">
            <w:pPr>
              <w:spacing w:before="60"/>
              <w:jc w:val="center"/>
              <w:rPr>
                <w:rFonts w:cs="Arial"/>
                <w:sz w:val="20"/>
                <w:szCs w:val="20"/>
              </w:rPr>
            </w:pPr>
            <w:r>
              <w:rPr>
                <w:rFonts w:cs="Arial"/>
                <w:sz w:val="20"/>
                <w:szCs w:val="20"/>
              </w:rPr>
              <w:t xml:space="preserve">Full Base Cost </w:t>
            </w:r>
          </w:p>
          <w:p w14:paraId="38EE1269" w14:textId="370F348F" w:rsidR="002C408C" w:rsidRDefault="002C408C" w:rsidP="00E271B3">
            <w:pPr>
              <w:jc w:val="center"/>
              <w:rPr>
                <w:rFonts w:cs="Arial"/>
                <w:sz w:val="20"/>
                <w:szCs w:val="20"/>
              </w:rPr>
            </w:pPr>
            <w:r>
              <w:rPr>
                <w:rFonts w:cs="Arial"/>
                <w:sz w:val="20"/>
                <w:szCs w:val="20"/>
              </w:rPr>
              <w:t>(2</w:t>
            </w:r>
            <w:r w:rsidRPr="002C408C">
              <w:rPr>
                <w:rFonts w:cs="Arial"/>
                <w:sz w:val="20"/>
                <w:szCs w:val="20"/>
                <w:vertAlign w:val="superscript"/>
              </w:rPr>
              <w:t>nd</w:t>
            </w:r>
            <w:r>
              <w:rPr>
                <w:rFonts w:cs="Arial"/>
                <w:sz w:val="20"/>
                <w:szCs w:val="20"/>
              </w:rPr>
              <w:t xml:space="preserve"> </w:t>
            </w:r>
            <w:r w:rsidR="00E271B3">
              <w:rPr>
                <w:rFonts w:cs="Arial"/>
                <w:sz w:val="20"/>
                <w:szCs w:val="20"/>
              </w:rPr>
              <w:t>b</w:t>
            </w:r>
            <w:r>
              <w:rPr>
                <w:rFonts w:cs="Arial"/>
                <w:sz w:val="20"/>
                <w:szCs w:val="20"/>
              </w:rPr>
              <w:t>aseline</w:t>
            </w:r>
            <w:r w:rsidR="00E271B3">
              <w:rPr>
                <w:rFonts w:cs="Arial"/>
                <w:sz w:val="20"/>
                <w:szCs w:val="20"/>
              </w:rPr>
              <w:t xml:space="preserve"> period</w:t>
            </w:r>
            <w:r>
              <w:rPr>
                <w:rFonts w:cs="Arial"/>
                <w:sz w:val="20"/>
                <w:szCs w:val="20"/>
              </w:rPr>
              <w:t>)</w:t>
            </w:r>
            <w:r>
              <w:rPr>
                <w:rStyle w:val="FootnoteReference"/>
                <w:rFonts w:cs="Arial"/>
                <w:sz w:val="20"/>
                <w:szCs w:val="20"/>
              </w:rPr>
              <w:footnoteReference w:id="4"/>
            </w:r>
          </w:p>
          <w:p w14:paraId="1A063F3D" w14:textId="161141EC" w:rsidR="002C408C" w:rsidRDefault="002C408C" w:rsidP="009E0FB1">
            <w:pPr>
              <w:spacing w:before="60" w:after="60"/>
              <w:jc w:val="center"/>
              <w:rPr>
                <w:rFonts w:cs="Arial"/>
                <w:sz w:val="20"/>
                <w:szCs w:val="20"/>
              </w:rPr>
            </w:pPr>
            <w:r>
              <w:rPr>
                <w:rFonts w:cs="Arial"/>
                <w:sz w:val="20"/>
                <w:szCs w:val="20"/>
              </w:rPr>
              <w:t>($/unit)</w:t>
            </w:r>
          </w:p>
        </w:tc>
      </w:tr>
      <w:tr w:rsidR="00E271B3" w:rsidRPr="00817D29" w14:paraId="393A10E7" w14:textId="7CB4C246" w:rsidTr="00E271B3">
        <w:trPr>
          <w:trHeight w:val="170"/>
        </w:trPr>
        <w:tc>
          <w:tcPr>
            <w:tcW w:w="1195" w:type="dxa"/>
            <w:shd w:val="clear" w:color="auto" w:fill="auto"/>
            <w:noWrap/>
            <w:vAlign w:val="center"/>
          </w:tcPr>
          <w:p w14:paraId="393A10E3" w14:textId="20451A5E" w:rsidR="002C408C" w:rsidRPr="009E0FB1" w:rsidRDefault="002C408C" w:rsidP="009E0FB1">
            <w:pPr>
              <w:spacing w:before="60" w:after="60"/>
              <w:jc w:val="center"/>
              <w:rPr>
                <w:rFonts w:cs="Arial"/>
                <w:b/>
                <w:sz w:val="20"/>
                <w:szCs w:val="20"/>
              </w:rPr>
            </w:pPr>
            <w:r w:rsidRPr="009E0FB1">
              <w:rPr>
                <w:rStyle w:val="Strong"/>
                <w:b w:val="0"/>
              </w:rPr>
              <w:t>ROB</w:t>
            </w:r>
          </w:p>
        </w:tc>
        <w:tc>
          <w:tcPr>
            <w:tcW w:w="1345" w:type="dxa"/>
            <w:vAlign w:val="center"/>
          </w:tcPr>
          <w:p w14:paraId="40870DF0" w14:textId="77777777" w:rsidR="002C408C" w:rsidRPr="00817D29" w:rsidRDefault="002C408C" w:rsidP="009E0FB1">
            <w:pPr>
              <w:spacing w:before="60" w:after="60"/>
              <w:jc w:val="center"/>
              <w:rPr>
                <w:rFonts w:cs="Arial"/>
                <w:sz w:val="20"/>
                <w:szCs w:val="20"/>
              </w:rPr>
            </w:pPr>
          </w:p>
        </w:tc>
        <w:tc>
          <w:tcPr>
            <w:tcW w:w="1294" w:type="dxa"/>
            <w:vAlign w:val="center"/>
          </w:tcPr>
          <w:p w14:paraId="6A5F769F" w14:textId="32429CD3" w:rsidR="002C408C" w:rsidRPr="00817D29" w:rsidRDefault="002C408C" w:rsidP="009E0FB1">
            <w:pPr>
              <w:spacing w:before="60" w:after="60"/>
              <w:jc w:val="center"/>
              <w:rPr>
                <w:rFonts w:cs="Arial"/>
                <w:sz w:val="20"/>
                <w:szCs w:val="20"/>
              </w:rPr>
            </w:pPr>
          </w:p>
        </w:tc>
        <w:tc>
          <w:tcPr>
            <w:tcW w:w="1222" w:type="dxa"/>
            <w:shd w:val="thinDiagStripe" w:color="BFBFBF" w:themeColor="background1" w:themeShade="BF" w:fill="auto"/>
            <w:vAlign w:val="center"/>
          </w:tcPr>
          <w:p w14:paraId="393A10E5" w14:textId="23243EF5" w:rsidR="002C408C" w:rsidRPr="00817D29" w:rsidRDefault="002C408C" w:rsidP="009E0FB1">
            <w:pPr>
              <w:spacing w:before="60" w:after="60"/>
              <w:jc w:val="center"/>
              <w:rPr>
                <w:rFonts w:cs="Arial"/>
                <w:sz w:val="20"/>
                <w:szCs w:val="20"/>
              </w:rPr>
            </w:pPr>
            <w:r>
              <w:rPr>
                <w:rFonts w:cs="Arial"/>
                <w:sz w:val="20"/>
                <w:szCs w:val="20"/>
              </w:rPr>
              <w:t>N/A</w:t>
            </w:r>
          </w:p>
        </w:tc>
        <w:tc>
          <w:tcPr>
            <w:tcW w:w="1319" w:type="dxa"/>
            <w:tcBorders>
              <w:bottom w:val="single" w:sz="4" w:space="0" w:color="auto"/>
            </w:tcBorders>
          </w:tcPr>
          <w:p w14:paraId="68F4FF19" w14:textId="77777777" w:rsidR="002C408C" w:rsidRPr="00817D29" w:rsidRDefault="002C408C" w:rsidP="009E0FB1">
            <w:pPr>
              <w:spacing w:before="60" w:after="60"/>
              <w:jc w:val="center"/>
              <w:rPr>
                <w:rFonts w:cs="Arial"/>
                <w:sz w:val="20"/>
                <w:szCs w:val="20"/>
              </w:rPr>
            </w:pPr>
          </w:p>
        </w:tc>
        <w:tc>
          <w:tcPr>
            <w:tcW w:w="1540" w:type="dxa"/>
            <w:shd w:val="thinDiagStripe" w:color="BFBFBF" w:themeColor="background1" w:themeShade="BF" w:fill="auto"/>
            <w:vAlign w:val="center"/>
          </w:tcPr>
          <w:p w14:paraId="74C09D7D" w14:textId="2515A3E1" w:rsidR="002C408C" w:rsidRPr="00817D29" w:rsidRDefault="002C408C" w:rsidP="009E0FB1">
            <w:pPr>
              <w:spacing w:before="60" w:after="60"/>
              <w:jc w:val="center"/>
              <w:rPr>
                <w:rFonts w:cs="Arial"/>
                <w:sz w:val="20"/>
                <w:szCs w:val="20"/>
              </w:rPr>
            </w:pPr>
            <w:r>
              <w:rPr>
                <w:rFonts w:cs="Arial"/>
                <w:sz w:val="20"/>
                <w:szCs w:val="20"/>
              </w:rPr>
              <w:t>N/A</w:t>
            </w:r>
          </w:p>
        </w:tc>
        <w:tc>
          <w:tcPr>
            <w:tcW w:w="1530" w:type="dxa"/>
            <w:shd w:val="thinDiagStripe" w:color="BFBFBF" w:themeColor="background1" w:themeShade="BF" w:fill="auto"/>
            <w:vAlign w:val="center"/>
          </w:tcPr>
          <w:p w14:paraId="3D8E03B2" w14:textId="2F1AAFEF" w:rsidR="002C408C" w:rsidRDefault="002C408C" w:rsidP="009E0FB1">
            <w:pPr>
              <w:spacing w:before="60" w:after="60"/>
              <w:jc w:val="center"/>
              <w:rPr>
                <w:rFonts w:cs="Arial"/>
                <w:sz w:val="20"/>
                <w:szCs w:val="20"/>
              </w:rPr>
            </w:pPr>
            <w:r>
              <w:rPr>
                <w:rFonts w:cs="Arial"/>
                <w:sz w:val="20"/>
                <w:szCs w:val="20"/>
              </w:rPr>
              <w:t>N/A</w:t>
            </w:r>
          </w:p>
        </w:tc>
      </w:tr>
      <w:tr w:rsidR="00DC4C2C" w:rsidRPr="00817D29" w14:paraId="4BA6A0FD" w14:textId="77777777" w:rsidTr="00E271B3">
        <w:trPr>
          <w:trHeight w:val="170"/>
        </w:trPr>
        <w:tc>
          <w:tcPr>
            <w:tcW w:w="1195" w:type="dxa"/>
            <w:shd w:val="clear" w:color="auto" w:fill="auto"/>
            <w:noWrap/>
            <w:vAlign w:val="center"/>
          </w:tcPr>
          <w:p w14:paraId="6338967F" w14:textId="527AFA60" w:rsidR="00DC4C2C" w:rsidRPr="009E0FB1" w:rsidRDefault="00DC4C2C" w:rsidP="009E0FB1">
            <w:pPr>
              <w:spacing w:before="60" w:after="60"/>
              <w:jc w:val="center"/>
              <w:rPr>
                <w:rStyle w:val="Strong"/>
                <w:b w:val="0"/>
              </w:rPr>
            </w:pPr>
            <w:r>
              <w:rPr>
                <w:rStyle w:val="Strong"/>
                <w:b w:val="0"/>
              </w:rPr>
              <w:t>NC</w:t>
            </w:r>
          </w:p>
        </w:tc>
        <w:tc>
          <w:tcPr>
            <w:tcW w:w="1345" w:type="dxa"/>
            <w:vAlign w:val="center"/>
          </w:tcPr>
          <w:p w14:paraId="0CF26C44" w14:textId="77777777" w:rsidR="00DC4C2C" w:rsidRPr="00817D29" w:rsidRDefault="00DC4C2C" w:rsidP="009E0FB1">
            <w:pPr>
              <w:spacing w:before="60" w:after="60"/>
              <w:jc w:val="center"/>
              <w:rPr>
                <w:rFonts w:cs="Arial"/>
                <w:sz w:val="20"/>
                <w:szCs w:val="20"/>
              </w:rPr>
            </w:pPr>
          </w:p>
        </w:tc>
        <w:tc>
          <w:tcPr>
            <w:tcW w:w="1294" w:type="dxa"/>
            <w:vAlign w:val="center"/>
          </w:tcPr>
          <w:p w14:paraId="4B303648" w14:textId="77777777" w:rsidR="00DC4C2C" w:rsidRPr="00817D29" w:rsidRDefault="00DC4C2C" w:rsidP="009E0FB1">
            <w:pPr>
              <w:spacing w:before="60" w:after="60"/>
              <w:jc w:val="center"/>
              <w:rPr>
                <w:rFonts w:cs="Arial"/>
                <w:sz w:val="20"/>
                <w:szCs w:val="20"/>
              </w:rPr>
            </w:pPr>
          </w:p>
        </w:tc>
        <w:tc>
          <w:tcPr>
            <w:tcW w:w="1222" w:type="dxa"/>
            <w:shd w:val="thinDiagStripe" w:color="BFBFBF" w:themeColor="background1" w:themeShade="BF" w:fill="auto"/>
            <w:vAlign w:val="center"/>
          </w:tcPr>
          <w:p w14:paraId="139F503C" w14:textId="52E4275D" w:rsidR="00DC4C2C" w:rsidRDefault="00DC4C2C" w:rsidP="009E0FB1">
            <w:pPr>
              <w:spacing w:before="60" w:after="60"/>
              <w:jc w:val="center"/>
              <w:rPr>
                <w:rFonts w:cs="Arial"/>
                <w:sz w:val="20"/>
                <w:szCs w:val="20"/>
              </w:rPr>
            </w:pPr>
            <w:r>
              <w:rPr>
                <w:rFonts w:cs="Arial"/>
                <w:sz w:val="20"/>
                <w:szCs w:val="20"/>
              </w:rPr>
              <w:t>N/A</w:t>
            </w:r>
          </w:p>
        </w:tc>
        <w:tc>
          <w:tcPr>
            <w:tcW w:w="1319" w:type="dxa"/>
            <w:tcBorders>
              <w:bottom w:val="single" w:sz="4" w:space="0" w:color="auto"/>
            </w:tcBorders>
          </w:tcPr>
          <w:p w14:paraId="61D5CCBC" w14:textId="77777777" w:rsidR="00DC4C2C" w:rsidRPr="00817D29" w:rsidRDefault="00DC4C2C" w:rsidP="009E0FB1">
            <w:pPr>
              <w:spacing w:before="60" w:after="60"/>
              <w:jc w:val="center"/>
              <w:rPr>
                <w:rFonts w:cs="Arial"/>
                <w:sz w:val="20"/>
                <w:szCs w:val="20"/>
              </w:rPr>
            </w:pPr>
          </w:p>
        </w:tc>
        <w:tc>
          <w:tcPr>
            <w:tcW w:w="1540" w:type="dxa"/>
            <w:shd w:val="thinDiagStripe" w:color="BFBFBF" w:themeColor="background1" w:themeShade="BF" w:fill="auto"/>
            <w:vAlign w:val="center"/>
          </w:tcPr>
          <w:p w14:paraId="621C3850" w14:textId="15C7099B" w:rsidR="00DC4C2C" w:rsidRDefault="00DC4C2C" w:rsidP="009E0FB1">
            <w:pPr>
              <w:spacing w:before="60" w:after="60"/>
              <w:jc w:val="center"/>
              <w:rPr>
                <w:rFonts w:cs="Arial"/>
                <w:sz w:val="20"/>
                <w:szCs w:val="20"/>
              </w:rPr>
            </w:pPr>
            <w:r>
              <w:rPr>
                <w:rFonts w:cs="Arial"/>
                <w:sz w:val="20"/>
                <w:szCs w:val="20"/>
              </w:rPr>
              <w:t>N/A</w:t>
            </w:r>
          </w:p>
        </w:tc>
        <w:tc>
          <w:tcPr>
            <w:tcW w:w="1530" w:type="dxa"/>
            <w:shd w:val="thinDiagStripe" w:color="BFBFBF" w:themeColor="background1" w:themeShade="BF" w:fill="auto"/>
            <w:vAlign w:val="center"/>
          </w:tcPr>
          <w:p w14:paraId="6FA9441B" w14:textId="0FC84B97" w:rsidR="00DC4C2C" w:rsidRDefault="00DC4C2C" w:rsidP="009E0FB1">
            <w:pPr>
              <w:spacing w:before="60" w:after="60"/>
              <w:jc w:val="center"/>
              <w:rPr>
                <w:rFonts w:cs="Arial"/>
                <w:sz w:val="20"/>
                <w:szCs w:val="20"/>
              </w:rPr>
            </w:pPr>
            <w:r>
              <w:rPr>
                <w:rFonts w:cs="Arial"/>
                <w:sz w:val="20"/>
                <w:szCs w:val="20"/>
              </w:rPr>
              <w:t>N/A</w:t>
            </w:r>
          </w:p>
        </w:tc>
      </w:tr>
      <w:tr w:rsidR="00E271B3" w:rsidRPr="00817D29" w14:paraId="314ADFEC" w14:textId="0C309EB5" w:rsidTr="00E271B3">
        <w:trPr>
          <w:trHeight w:val="170"/>
        </w:trPr>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8A5C6" w14:textId="210374D7" w:rsidR="002C408C" w:rsidRPr="009E0FB1" w:rsidRDefault="002C408C" w:rsidP="009E0FB1">
            <w:pPr>
              <w:spacing w:before="60" w:after="60"/>
              <w:jc w:val="center"/>
              <w:rPr>
                <w:rFonts w:cs="Arial"/>
                <w:bCs/>
                <w:sz w:val="20"/>
                <w:szCs w:val="20"/>
              </w:rPr>
            </w:pPr>
            <w:r>
              <w:rPr>
                <w:rFonts w:cs="Arial"/>
                <w:bCs/>
                <w:sz w:val="20"/>
                <w:szCs w:val="20"/>
              </w:rPr>
              <w:t>ER</w:t>
            </w:r>
          </w:p>
        </w:tc>
        <w:tc>
          <w:tcPr>
            <w:tcW w:w="1345" w:type="dxa"/>
            <w:tcBorders>
              <w:top w:val="single" w:sz="4" w:space="0" w:color="auto"/>
              <w:left w:val="single" w:sz="4" w:space="0" w:color="auto"/>
              <w:bottom w:val="single" w:sz="4" w:space="0" w:color="auto"/>
              <w:right w:val="single" w:sz="4" w:space="0" w:color="auto"/>
            </w:tcBorders>
            <w:vAlign w:val="center"/>
          </w:tcPr>
          <w:p w14:paraId="4D18B8B7" w14:textId="77777777" w:rsidR="002C408C" w:rsidRDefault="002C408C" w:rsidP="009E0FB1">
            <w:pPr>
              <w:spacing w:before="60" w:after="60"/>
              <w:jc w:val="center"/>
              <w:rPr>
                <w:rFonts w:cs="Arial"/>
                <w:sz w:val="20"/>
                <w:szCs w:val="20"/>
              </w:rPr>
            </w:pPr>
          </w:p>
        </w:tc>
        <w:tc>
          <w:tcPr>
            <w:tcW w:w="1294" w:type="dxa"/>
            <w:tcBorders>
              <w:top w:val="single" w:sz="4" w:space="0" w:color="auto"/>
              <w:left w:val="single" w:sz="4" w:space="0" w:color="auto"/>
              <w:bottom w:val="single" w:sz="4" w:space="0" w:color="auto"/>
              <w:right w:val="single" w:sz="4" w:space="0" w:color="auto"/>
            </w:tcBorders>
            <w:vAlign w:val="center"/>
          </w:tcPr>
          <w:p w14:paraId="77F4B280" w14:textId="182E8E60" w:rsidR="002C408C" w:rsidRDefault="002C408C" w:rsidP="009E0FB1">
            <w:pPr>
              <w:spacing w:before="60" w:after="60"/>
              <w:jc w:val="center"/>
              <w:rPr>
                <w:rFonts w:cs="Arial"/>
                <w:sz w:val="20"/>
                <w:szCs w:val="20"/>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79A798BA" w14:textId="5C5B575A" w:rsidR="002C408C" w:rsidRPr="00817D29" w:rsidRDefault="002C408C" w:rsidP="009E0FB1">
            <w:pPr>
              <w:spacing w:before="60" w:after="60"/>
              <w:jc w:val="center"/>
              <w:rPr>
                <w:rFonts w:cs="Arial"/>
                <w:sz w:val="20"/>
                <w:szCs w:val="20"/>
              </w:rPr>
            </w:pPr>
          </w:p>
        </w:tc>
        <w:tc>
          <w:tcPr>
            <w:tcW w:w="1319" w:type="dxa"/>
            <w:tcBorders>
              <w:top w:val="single" w:sz="4" w:space="0" w:color="auto"/>
              <w:left w:val="single" w:sz="4" w:space="0" w:color="auto"/>
              <w:bottom w:val="single" w:sz="4" w:space="0" w:color="auto"/>
              <w:right w:val="single" w:sz="4" w:space="0" w:color="auto"/>
            </w:tcBorders>
            <w:shd w:val="thinDiagStripe" w:color="BFBFBF" w:themeColor="background1" w:themeShade="BF" w:fill="auto"/>
          </w:tcPr>
          <w:p w14:paraId="755A455F" w14:textId="652E87C0" w:rsidR="002C408C" w:rsidRPr="00817D29" w:rsidRDefault="002C408C" w:rsidP="009E0FB1">
            <w:pPr>
              <w:spacing w:before="60" w:after="60"/>
              <w:jc w:val="center"/>
              <w:rPr>
                <w:rFonts w:cs="Arial"/>
                <w:sz w:val="20"/>
                <w:szCs w:val="20"/>
              </w:rPr>
            </w:pPr>
            <w:r>
              <w:rPr>
                <w:rFonts w:cs="Arial"/>
                <w:sz w:val="20"/>
                <w:szCs w:val="20"/>
              </w:rPr>
              <w:t>N/A</w:t>
            </w:r>
            <w:r w:rsidR="00DC4C2C">
              <w:rPr>
                <w:rFonts w:cs="Arial"/>
                <w:sz w:val="20"/>
                <w:szCs w:val="20"/>
              </w:rPr>
              <w:t>*</w:t>
            </w:r>
          </w:p>
        </w:tc>
        <w:tc>
          <w:tcPr>
            <w:tcW w:w="1540" w:type="dxa"/>
            <w:tcBorders>
              <w:top w:val="single" w:sz="4" w:space="0" w:color="auto"/>
              <w:left w:val="single" w:sz="4" w:space="0" w:color="auto"/>
              <w:bottom w:val="single" w:sz="4" w:space="0" w:color="auto"/>
              <w:right w:val="single" w:sz="4" w:space="0" w:color="auto"/>
            </w:tcBorders>
          </w:tcPr>
          <w:p w14:paraId="2E0A475A" w14:textId="19EB5CF8" w:rsidR="002C408C" w:rsidRPr="00817D29" w:rsidRDefault="002C408C" w:rsidP="009E0FB1">
            <w:pPr>
              <w:spacing w:before="60" w:after="60"/>
              <w:jc w:val="center"/>
              <w:rPr>
                <w:rFonts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14:paraId="40452D77" w14:textId="77777777" w:rsidR="002C408C" w:rsidRPr="00817D29" w:rsidRDefault="002C408C" w:rsidP="009E0FB1">
            <w:pPr>
              <w:spacing w:before="60" w:after="60"/>
              <w:jc w:val="center"/>
              <w:rPr>
                <w:rFonts w:cs="Arial"/>
                <w:sz w:val="20"/>
                <w:szCs w:val="20"/>
              </w:rPr>
            </w:pPr>
          </w:p>
        </w:tc>
      </w:tr>
      <w:tr w:rsidR="009F0DDC" w:rsidRPr="00817D29" w14:paraId="632C7C4E" w14:textId="77777777" w:rsidTr="00E271B3">
        <w:trPr>
          <w:trHeight w:val="170"/>
        </w:trPr>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E2650" w14:textId="3CA9A277" w:rsidR="009F0DDC" w:rsidRDefault="009F0DDC" w:rsidP="009E0FB1">
            <w:pPr>
              <w:spacing w:before="60" w:after="60"/>
              <w:jc w:val="center"/>
              <w:rPr>
                <w:rFonts w:cs="Arial"/>
                <w:bCs/>
                <w:sz w:val="20"/>
                <w:szCs w:val="20"/>
              </w:rPr>
            </w:pPr>
            <w:r>
              <w:rPr>
                <w:rFonts w:cs="Arial"/>
                <w:bCs/>
                <w:sz w:val="20"/>
                <w:szCs w:val="20"/>
              </w:rPr>
              <w:t>REA</w:t>
            </w:r>
          </w:p>
        </w:tc>
        <w:tc>
          <w:tcPr>
            <w:tcW w:w="1345" w:type="dxa"/>
            <w:tcBorders>
              <w:top w:val="single" w:sz="4" w:space="0" w:color="auto"/>
              <w:left w:val="single" w:sz="4" w:space="0" w:color="auto"/>
              <w:bottom w:val="single" w:sz="4" w:space="0" w:color="auto"/>
              <w:right w:val="single" w:sz="4" w:space="0" w:color="auto"/>
            </w:tcBorders>
            <w:vAlign w:val="center"/>
          </w:tcPr>
          <w:p w14:paraId="16508A88" w14:textId="77777777" w:rsidR="009F0DDC" w:rsidRDefault="009F0DDC" w:rsidP="009E0FB1">
            <w:pPr>
              <w:spacing w:before="60" w:after="60"/>
              <w:jc w:val="center"/>
              <w:rPr>
                <w:rFonts w:cs="Arial"/>
                <w:sz w:val="20"/>
                <w:szCs w:val="20"/>
              </w:rPr>
            </w:pPr>
          </w:p>
        </w:tc>
        <w:tc>
          <w:tcPr>
            <w:tcW w:w="1294" w:type="dxa"/>
            <w:tcBorders>
              <w:top w:val="single" w:sz="4" w:space="0" w:color="auto"/>
              <w:left w:val="single" w:sz="4" w:space="0" w:color="auto"/>
              <w:bottom w:val="single" w:sz="4" w:space="0" w:color="auto"/>
              <w:right w:val="single" w:sz="4" w:space="0" w:color="auto"/>
            </w:tcBorders>
            <w:vAlign w:val="center"/>
          </w:tcPr>
          <w:p w14:paraId="2ADF311D" w14:textId="77777777" w:rsidR="009F0DDC" w:rsidRDefault="009F0DDC" w:rsidP="009E0FB1">
            <w:pPr>
              <w:spacing w:before="60" w:after="60"/>
              <w:jc w:val="center"/>
              <w:rPr>
                <w:rFonts w:cs="Arial"/>
                <w:sz w:val="20"/>
                <w:szCs w:val="20"/>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4F6BF7BB" w14:textId="77777777" w:rsidR="009F0DDC" w:rsidRPr="00817D29" w:rsidRDefault="009F0DDC" w:rsidP="009E0FB1">
            <w:pPr>
              <w:spacing w:before="60" w:after="60"/>
              <w:jc w:val="center"/>
              <w:rPr>
                <w:rFonts w:cs="Arial"/>
                <w:sz w:val="20"/>
                <w:szCs w:val="20"/>
              </w:rPr>
            </w:pPr>
          </w:p>
        </w:tc>
        <w:tc>
          <w:tcPr>
            <w:tcW w:w="1319" w:type="dxa"/>
            <w:tcBorders>
              <w:top w:val="single" w:sz="4" w:space="0" w:color="auto"/>
              <w:left w:val="single" w:sz="4" w:space="0" w:color="auto"/>
              <w:bottom w:val="single" w:sz="4" w:space="0" w:color="auto"/>
              <w:right w:val="single" w:sz="4" w:space="0" w:color="auto"/>
            </w:tcBorders>
            <w:shd w:val="thinDiagStripe" w:color="BFBFBF" w:themeColor="background1" w:themeShade="BF" w:fill="auto"/>
          </w:tcPr>
          <w:p w14:paraId="7C0BA4BC" w14:textId="297CB8AD" w:rsidR="009F0DDC" w:rsidRDefault="008902CA" w:rsidP="009E0FB1">
            <w:pPr>
              <w:spacing w:before="60" w:after="60"/>
              <w:jc w:val="center"/>
              <w:rPr>
                <w:rFonts w:cs="Arial"/>
                <w:sz w:val="20"/>
                <w:szCs w:val="20"/>
              </w:rPr>
            </w:pPr>
            <w:r>
              <w:rPr>
                <w:rFonts w:cs="Arial"/>
                <w:sz w:val="20"/>
                <w:szCs w:val="20"/>
              </w:rPr>
              <w:t>N/A*</w:t>
            </w:r>
          </w:p>
        </w:tc>
        <w:tc>
          <w:tcPr>
            <w:tcW w:w="1540" w:type="dxa"/>
            <w:tcBorders>
              <w:top w:val="single" w:sz="4" w:space="0" w:color="auto"/>
              <w:left w:val="single" w:sz="4" w:space="0" w:color="auto"/>
              <w:bottom w:val="single" w:sz="4" w:space="0" w:color="auto"/>
              <w:right w:val="single" w:sz="4" w:space="0" w:color="auto"/>
            </w:tcBorders>
          </w:tcPr>
          <w:p w14:paraId="65BBBE66" w14:textId="77777777" w:rsidR="009F0DDC" w:rsidRPr="00817D29" w:rsidRDefault="009F0DDC" w:rsidP="009E0FB1">
            <w:pPr>
              <w:spacing w:before="60" w:after="60"/>
              <w:jc w:val="center"/>
              <w:rPr>
                <w:rFonts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14:paraId="6E8443DE" w14:textId="77777777" w:rsidR="009F0DDC" w:rsidRPr="00817D29" w:rsidRDefault="009F0DDC" w:rsidP="009E0FB1">
            <w:pPr>
              <w:spacing w:before="60" w:after="60"/>
              <w:jc w:val="center"/>
              <w:rPr>
                <w:rFonts w:cs="Arial"/>
                <w:sz w:val="20"/>
                <w:szCs w:val="20"/>
              </w:rPr>
            </w:pPr>
          </w:p>
        </w:tc>
      </w:tr>
    </w:tbl>
    <w:p w14:paraId="2D5FC9D5" w14:textId="122AFDF0" w:rsidR="00E4452C" w:rsidRDefault="00DC4C2C" w:rsidP="00E4452C">
      <w:pPr>
        <w:rPr>
          <w:rFonts w:cs="Arial"/>
          <w:sz w:val="20"/>
          <w:szCs w:val="20"/>
        </w:rPr>
      </w:pPr>
      <w:r>
        <w:rPr>
          <w:rFonts w:cs="Arial"/>
          <w:sz w:val="20"/>
          <w:szCs w:val="20"/>
        </w:rPr>
        <w:t>* IMC may be useful for determining program incentive.</w:t>
      </w:r>
    </w:p>
    <w:p w14:paraId="393A10EF" w14:textId="57A24B55" w:rsidR="001B242B" w:rsidRPr="001D4579" w:rsidRDefault="00C069A2" w:rsidP="000E72A3">
      <w:pPr>
        <w:pStyle w:val="Heading2-CalTF2"/>
      </w:pPr>
      <w:bookmarkStart w:id="85" w:name="_Toc324318372"/>
      <w:bookmarkStart w:id="86" w:name="_Toc324340501"/>
      <w:bookmarkStart w:id="87" w:name="_Toc385592999"/>
      <w:r w:rsidRPr="001D4579">
        <w:lastRenderedPageBreak/>
        <w:t>Base Case</w:t>
      </w:r>
      <w:r w:rsidR="00C221D5" w:rsidRPr="001D4579">
        <w:t>(</w:t>
      </w:r>
      <w:r w:rsidRPr="001D4579">
        <w:t>s</w:t>
      </w:r>
      <w:r w:rsidR="00C221D5" w:rsidRPr="001D4579">
        <w:t>)</w:t>
      </w:r>
      <w:r w:rsidRPr="001D4579">
        <w:t xml:space="preserve"> Costs</w:t>
      </w:r>
      <w:bookmarkEnd w:id="84"/>
      <w:bookmarkEnd w:id="85"/>
      <w:bookmarkEnd w:id="86"/>
      <w:bookmarkEnd w:id="87"/>
    </w:p>
    <w:p w14:paraId="529D82AC" w14:textId="4987F922" w:rsidR="000E72A3" w:rsidRPr="00901F81" w:rsidRDefault="000E72A3" w:rsidP="000E72A3">
      <w:pPr>
        <w:rPr>
          <w:color w:val="FF0000"/>
          <w:sz w:val="20"/>
          <w:szCs w:val="20"/>
        </w:rPr>
      </w:pPr>
      <w:bookmarkStart w:id="88" w:name="_Toc304800219"/>
      <w:bookmarkStart w:id="89" w:name="_Toc324318373"/>
      <w:bookmarkStart w:id="90" w:name="_Toc324340502"/>
      <w:r w:rsidRPr="00901F81">
        <w:rPr>
          <w:rFonts w:cs="Arial"/>
          <w:color w:val="FF0000"/>
          <w:sz w:val="20"/>
        </w:rPr>
        <w:t xml:space="preserve">See Appendix </w:t>
      </w:r>
      <w:r w:rsidRPr="00901F81">
        <w:rPr>
          <w:color w:val="FF0000"/>
          <w:sz w:val="20"/>
          <w:szCs w:val="20"/>
        </w:rPr>
        <w:t xml:space="preserve">2 table title “Baseline Technologies for UES and Cost calculations” for guidance on determining baseline costs for different application types.  Include detailed description of </w:t>
      </w:r>
      <w:r w:rsidR="00980C54" w:rsidRPr="00901F81">
        <w:rPr>
          <w:color w:val="FF0000"/>
          <w:sz w:val="20"/>
          <w:szCs w:val="20"/>
        </w:rPr>
        <w:t xml:space="preserve">base case </w:t>
      </w:r>
      <w:r w:rsidRPr="00901F81">
        <w:rPr>
          <w:color w:val="FF0000"/>
          <w:sz w:val="20"/>
          <w:szCs w:val="20"/>
        </w:rPr>
        <w:t xml:space="preserve">cost estimation methodology or sources, including all assumptions and calculations.  </w:t>
      </w:r>
      <w:r w:rsidR="004D0438">
        <w:rPr>
          <w:color w:val="FF0000"/>
          <w:sz w:val="20"/>
          <w:szCs w:val="20"/>
        </w:rPr>
        <w:t xml:space="preserve">If DEER costs are not used, </w:t>
      </w:r>
      <w:r w:rsidR="004D0438">
        <w:rPr>
          <w:rFonts w:cs="Arial"/>
          <w:color w:val="FF0000"/>
          <w:sz w:val="20"/>
          <w:szCs w:val="20"/>
        </w:rPr>
        <w:t>i</w:t>
      </w:r>
      <w:r w:rsidR="004D0438" w:rsidRPr="00DC4423">
        <w:rPr>
          <w:rFonts w:cs="Arial"/>
          <w:color w:val="FF0000"/>
          <w:sz w:val="20"/>
          <w:szCs w:val="20"/>
        </w:rPr>
        <w:t>nclude detailed, all-inclusive, and defensible explanation</w:t>
      </w:r>
      <w:r w:rsidR="004D0438">
        <w:rPr>
          <w:rFonts w:cs="Arial"/>
          <w:color w:val="FF0000"/>
          <w:sz w:val="20"/>
          <w:szCs w:val="20"/>
        </w:rPr>
        <w:t xml:space="preserve"> of cost estimation methodologies and reasons for not using DEER.</w:t>
      </w:r>
      <w:r w:rsidR="004D0438" w:rsidRPr="00DC4423">
        <w:rPr>
          <w:rFonts w:cs="Arial"/>
          <w:color w:val="FF0000"/>
          <w:sz w:val="20"/>
          <w:szCs w:val="20"/>
        </w:rPr>
        <w:t xml:space="preserve"> </w:t>
      </w:r>
      <w:r w:rsidR="004D0438">
        <w:rPr>
          <w:rFonts w:cs="Arial"/>
          <w:color w:val="FF0000"/>
          <w:sz w:val="20"/>
          <w:szCs w:val="20"/>
        </w:rPr>
        <w:t xml:space="preserve"> </w:t>
      </w:r>
      <w:r w:rsidRPr="00901F81">
        <w:rPr>
          <w:color w:val="FF0000"/>
          <w:sz w:val="20"/>
          <w:szCs w:val="20"/>
        </w:rPr>
        <w:t>Methods must be easily understood by a CPUC technical reviewer</w:t>
      </w:r>
      <w:r w:rsidR="00901F81">
        <w:rPr>
          <w:color w:val="FF0000"/>
          <w:sz w:val="20"/>
          <w:szCs w:val="20"/>
        </w:rPr>
        <w:t xml:space="preserve"> or third party</w:t>
      </w:r>
      <w:r w:rsidRPr="00901F81">
        <w:rPr>
          <w:color w:val="FF0000"/>
          <w:sz w:val="20"/>
          <w:szCs w:val="20"/>
        </w:rPr>
        <w:t xml:space="preserve">.  Reference relevant DEER, EM&amp;V reports, past workpaper dispositions, or other sources used to inform cost.  </w:t>
      </w:r>
    </w:p>
    <w:p w14:paraId="393A1115" w14:textId="65D467B2" w:rsidR="00C069A2" w:rsidRPr="001D4579" w:rsidRDefault="00663A00" w:rsidP="000E72A3">
      <w:pPr>
        <w:pStyle w:val="Heading2-CalTF2"/>
      </w:pPr>
      <w:bookmarkStart w:id="91" w:name="_Toc385593000"/>
      <w:r w:rsidRPr="001D4579">
        <w:t>Meas</w:t>
      </w:r>
      <w:r w:rsidR="00C069A2" w:rsidRPr="001D4579">
        <w:t xml:space="preserve">ure </w:t>
      </w:r>
      <w:r w:rsidR="00930877" w:rsidRPr="001D4579">
        <w:t xml:space="preserve">Case </w:t>
      </w:r>
      <w:r w:rsidR="00C069A2" w:rsidRPr="001D4579">
        <w:t>Costs</w:t>
      </w:r>
      <w:bookmarkEnd w:id="88"/>
      <w:bookmarkEnd w:id="89"/>
      <w:bookmarkEnd w:id="90"/>
      <w:bookmarkEnd w:id="91"/>
      <w:r w:rsidR="00930877" w:rsidRPr="001D4579">
        <w:t xml:space="preserve"> </w:t>
      </w:r>
    </w:p>
    <w:p w14:paraId="474F24C6" w14:textId="006D7BCD" w:rsidR="00980C54" w:rsidRPr="00901F81" w:rsidRDefault="00980C54" w:rsidP="00980C54">
      <w:pPr>
        <w:rPr>
          <w:color w:val="FF0000"/>
          <w:sz w:val="20"/>
          <w:szCs w:val="20"/>
        </w:rPr>
      </w:pPr>
      <w:bookmarkStart w:id="92" w:name="_Toc304800220"/>
      <w:bookmarkStart w:id="93" w:name="_Toc324318374"/>
      <w:bookmarkStart w:id="94" w:name="_Toc324340503"/>
      <w:r w:rsidRPr="00901F81">
        <w:rPr>
          <w:color w:val="FF0000"/>
          <w:sz w:val="20"/>
          <w:szCs w:val="20"/>
        </w:rPr>
        <w:t xml:space="preserve">Include detailed description of measure case cost estimation methodology or sources, including all assumptions and calculations.  </w:t>
      </w:r>
      <w:r w:rsidR="004D0438">
        <w:rPr>
          <w:color w:val="FF0000"/>
          <w:sz w:val="20"/>
          <w:szCs w:val="20"/>
        </w:rPr>
        <w:t xml:space="preserve">If DEER costs are not used, </w:t>
      </w:r>
      <w:r w:rsidR="004D0438">
        <w:rPr>
          <w:rFonts w:cs="Arial"/>
          <w:color w:val="FF0000"/>
          <w:sz w:val="20"/>
          <w:szCs w:val="20"/>
        </w:rPr>
        <w:t>i</w:t>
      </w:r>
      <w:r w:rsidR="004D0438" w:rsidRPr="00DC4423">
        <w:rPr>
          <w:rFonts w:cs="Arial"/>
          <w:color w:val="FF0000"/>
          <w:sz w:val="20"/>
          <w:szCs w:val="20"/>
        </w:rPr>
        <w:t>nclude detailed, all-inclusive, and defensible explanation</w:t>
      </w:r>
      <w:r w:rsidR="004D0438">
        <w:rPr>
          <w:rFonts w:cs="Arial"/>
          <w:color w:val="FF0000"/>
          <w:sz w:val="20"/>
          <w:szCs w:val="20"/>
        </w:rPr>
        <w:t xml:space="preserve"> of cost estimation methodologies and reasons for not using DEER.</w:t>
      </w:r>
      <w:r w:rsidR="004D0438" w:rsidRPr="00DC4423">
        <w:rPr>
          <w:rFonts w:cs="Arial"/>
          <w:color w:val="FF0000"/>
          <w:sz w:val="20"/>
          <w:szCs w:val="20"/>
        </w:rPr>
        <w:t xml:space="preserve"> </w:t>
      </w:r>
      <w:r w:rsidR="004D0438">
        <w:rPr>
          <w:rFonts w:cs="Arial"/>
          <w:color w:val="FF0000"/>
          <w:sz w:val="20"/>
          <w:szCs w:val="20"/>
        </w:rPr>
        <w:t xml:space="preserve"> </w:t>
      </w:r>
      <w:r w:rsidRPr="00901F81">
        <w:rPr>
          <w:color w:val="FF0000"/>
          <w:sz w:val="20"/>
          <w:szCs w:val="20"/>
        </w:rPr>
        <w:t>Methods must be easily understood by a CPUC technical reviewer</w:t>
      </w:r>
      <w:r w:rsidR="00901F81">
        <w:rPr>
          <w:color w:val="FF0000"/>
          <w:sz w:val="20"/>
          <w:szCs w:val="20"/>
        </w:rPr>
        <w:t xml:space="preserve"> or third party</w:t>
      </w:r>
      <w:r w:rsidRPr="00901F81">
        <w:rPr>
          <w:color w:val="FF0000"/>
          <w:sz w:val="20"/>
          <w:szCs w:val="20"/>
        </w:rPr>
        <w:t xml:space="preserve">.  Reference relevant DEER, EM&amp;V reports, past workpaper dispositions, or other sources used to inform cost.  </w:t>
      </w:r>
    </w:p>
    <w:p w14:paraId="08702EB1" w14:textId="419C9286" w:rsidR="008459A0" w:rsidRPr="001D4579" w:rsidRDefault="008459A0" w:rsidP="008459A0">
      <w:pPr>
        <w:pStyle w:val="Heading2-CalTF2"/>
      </w:pPr>
      <w:bookmarkStart w:id="95" w:name="_Toc385593001"/>
      <w:r>
        <w:t>Installation</w:t>
      </w:r>
      <w:r w:rsidR="00072D35">
        <w:t>/Labor</w:t>
      </w:r>
      <w:r>
        <w:t xml:space="preserve"> Costs</w:t>
      </w:r>
      <w:bookmarkEnd w:id="95"/>
    </w:p>
    <w:p w14:paraId="15C573F9" w14:textId="2EADE783" w:rsidR="008459A0" w:rsidRPr="00901F81" w:rsidRDefault="008459A0" w:rsidP="008459A0">
      <w:pPr>
        <w:rPr>
          <w:color w:val="FF0000"/>
          <w:sz w:val="20"/>
          <w:szCs w:val="20"/>
        </w:rPr>
      </w:pPr>
      <w:r w:rsidRPr="00901F81">
        <w:rPr>
          <w:color w:val="FF0000"/>
          <w:sz w:val="20"/>
          <w:szCs w:val="20"/>
        </w:rPr>
        <w:t xml:space="preserve">Include detailed description of </w:t>
      </w:r>
      <w:r w:rsidR="002C408C" w:rsidRPr="00901F81">
        <w:rPr>
          <w:color w:val="FF0000"/>
          <w:sz w:val="20"/>
          <w:szCs w:val="20"/>
        </w:rPr>
        <w:t>installation</w:t>
      </w:r>
      <w:r w:rsidR="00072D35">
        <w:rPr>
          <w:color w:val="FF0000"/>
          <w:sz w:val="20"/>
          <w:szCs w:val="20"/>
        </w:rPr>
        <w:t>/labor</w:t>
      </w:r>
      <w:r w:rsidRPr="00901F81">
        <w:rPr>
          <w:color w:val="FF0000"/>
          <w:sz w:val="20"/>
          <w:szCs w:val="20"/>
        </w:rPr>
        <w:t xml:space="preserve"> cost estimation methodology or sources, including all assumptions and calculations.  </w:t>
      </w:r>
      <w:r w:rsidR="004D0438">
        <w:rPr>
          <w:color w:val="FF0000"/>
          <w:sz w:val="20"/>
          <w:szCs w:val="20"/>
        </w:rPr>
        <w:t xml:space="preserve">If DEER costs are not used, </w:t>
      </w:r>
      <w:r w:rsidR="004D0438">
        <w:rPr>
          <w:rFonts w:cs="Arial"/>
          <w:color w:val="FF0000"/>
          <w:sz w:val="20"/>
          <w:szCs w:val="20"/>
        </w:rPr>
        <w:t>i</w:t>
      </w:r>
      <w:r w:rsidR="004D0438" w:rsidRPr="00DC4423">
        <w:rPr>
          <w:rFonts w:cs="Arial"/>
          <w:color w:val="FF0000"/>
          <w:sz w:val="20"/>
          <w:szCs w:val="20"/>
        </w:rPr>
        <w:t>nclude detailed, all-inclusive, and defensible explanation</w:t>
      </w:r>
      <w:r w:rsidR="004D0438">
        <w:rPr>
          <w:rFonts w:cs="Arial"/>
          <w:color w:val="FF0000"/>
          <w:sz w:val="20"/>
          <w:szCs w:val="20"/>
        </w:rPr>
        <w:t xml:space="preserve"> of cost estimation methodologies and reasons for not using DEER.</w:t>
      </w:r>
      <w:r w:rsidR="004D0438" w:rsidRPr="00DC4423">
        <w:rPr>
          <w:rFonts w:cs="Arial"/>
          <w:color w:val="FF0000"/>
          <w:sz w:val="20"/>
          <w:szCs w:val="20"/>
        </w:rPr>
        <w:t xml:space="preserve"> </w:t>
      </w:r>
      <w:r w:rsidR="004D0438">
        <w:rPr>
          <w:rFonts w:cs="Arial"/>
          <w:color w:val="FF0000"/>
          <w:sz w:val="20"/>
          <w:szCs w:val="20"/>
        </w:rPr>
        <w:t xml:space="preserve"> </w:t>
      </w:r>
      <w:r w:rsidRPr="00901F81">
        <w:rPr>
          <w:color w:val="FF0000"/>
          <w:sz w:val="20"/>
          <w:szCs w:val="20"/>
        </w:rPr>
        <w:t xml:space="preserve">Methods must be easily understood by a CPUC technical reviewer.  Reference relevant DEER, EM&amp;V reports, past workpaper dispositions, or other sources used to inform cost.  </w:t>
      </w:r>
    </w:p>
    <w:p w14:paraId="0DB67191" w14:textId="77777777" w:rsidR="008459A0" w:rsidRDefault="008459A0" w:rsidP="00980C54">
      <w:pPr>
        <w:rPr>
          <w:color w:val="FF0000"/>
          <w:sz w:val="20"/>
          <w:szCs w:val="20"/>
        </w:rPr>
      </w:pPr>
    </w:p>
    <w:p w14:paraId="7B564359" w14:textId="2298EFB5" w:rsidR="004D0438" w:rsidRPr="00901F81" w:rsidRDefault="004D0438" w:rsidP="00980C54">
      <w:pPr>
        <w:rPr>
          <w:color w:val="FF0000"/>
          <w:sz w:val="20"/>
          <w:szCs w:val="20"/>
        </w:rPr>
      </w:pPr>
      <w:r>
        <w:rPr>
          <w:color w:val="FF0000"/>
          <w:sz w:val="20"/>
          <w:szCs w:val="20"/>
        </w:rPr>
        <w:t xml:space="preserve">In most ROB cases, the </w:t>
      </w:r>
      <w:r w:rsidR="00600120">
        <w:rPr>
          <w:color w:val="FF0000"/>
          <w:sz w:val="20"/>
          <w:szCs w:val="20"/>
        </w:rPr>
        <w:t xml:space="preserve">installation/labor </w:t>
      </w:r>
      <w:r>
        <w:rPr>
          <w:color w:val="FF0000"/>
          <w:sz w:val="20"/>
          <w:szCs w:val="20"/>
        </w:rPr>
        <w:t xml:space="preserve">cost for the base and measure cases will be the same.  </w:t>
      </w:r>
    </w:p>
    <w:p w14:paraId="393A113C" w14:textId="4242999E" w:rsidR="0030550A" w:rsidRDefault="0030550A" w:rsidP="000E72A3">
      <w:pPr>
        <w:pStyle w:val="Heading2-CalTF2"/>
      </w:pPr>
      <w:bookmarkStart w:id="96" w:name="_Toc385593002"/>
      <w:r w:rsidRPr="001D4579">
        <w:t>Incremental &amp; Full Measure Costs</w:t>
      </w:r>
      <w:bookmarkEnd w:id="92"/>
      <w:bookmarkEnd w:id="93"/>
      <w:bookmarkEnd w:id="94"/>
      <w:bookmarkEnd w:id="96"/>
    </w:p>
    <w:p w14:paraId="4B73EBE1" w14:textId="235AA6BF" w:rsidR="004D0438" w:rsidRDefault="002942F8" w:rsidP="004D0438">
      <w:pPr>
        <w:rPr>
          <w:color w:val="FF0000"/>
          <w:sz w:val="20"/>
          <w:szCs w:val="20"/>
        </w:rPr>
      </w:pPr>
      <w:r w:rsidRPr="004D0438">
        <w:rPr>
          <w:color w:val="FF0000"/>
          <w:sz w:val="20"/>
          <w:szCs w:val="20"/>
        </w:rPr>
        <w:t>Choose the appropriate measure applic</w:t>
      </w:r>
      <w:r w:rsidR="00DA7C16" w:rsidRPr="004D0438">
        <w:rPr>
          <w:color w:val="FF0000"/>
          <w:sz w:val="20"/>
          <w:szCs w:val="20"/>
        </w:rPr>
        <w:t xml:space="preserve">ation type from the table below to indicate </w:t>
      </w:r>
      <w:r w:rsidR="002C408C" w:rsidRPr="004D0438">
        <w:rPr>
          <w:color w:val="FF0000"/>
          <w:sz w:val="20"/>
          <w:szCs w:val="20"/>
        </w:rPr>
        <w:t>how either incremental or full</w:t>
      </w:r>
      <w:r w:rsidR="00DA7C16" w:rsidRPr="004D0438">
        <w:rPr>
          <w:color w:val="FF0000"/>
          <w:sz w:val="20"/>
          <w:szCs w:val="20"/>
        </w:rPr>
        <w:t xml:space="preserve"> costs were calculated </w:t>
      </w:r>
      <w:r w:rsidR="00A62BDB" w:rsidRPr="004D0438">
        <w:rPr>
          <w:color w:val="FF0000"/>
          <w:sz w:val="20"/>
          <w:szCs w:val="20"/>
        </w:rPr>
        <w:t xml:space="preserve">(see Appendix 2) </w:t>
      </w:r>
      <w:r w:rsidR="00DA7C16" w:rsidRPr="004D0438">
        <w:rPr>
          <w:color w:val="FF0000"/>
          <w:sz w:val="20"/>
          <w:szCs w:val="20"/>
        </w:rPr>
        <w:t xml:space="preserve">using the </w:t>
      </w:r>
      <w:r w:rsidR="004D0438">
        <w:rPr>
          <w:color w:val="FF0000"/>
          <w:sz w:val="20"/>
          <w:szCs w:val="20"/>
        </w:rPr>
        <w:t>costs from sections 4.1, 4.2, and 4</w:t>
      </w:r>
      <w:r w:rsidR="002C408C" w:rsidRPr="004D0438">
        <w:rPr>
          <w:color w:val="FF0000"/>
          <w:sz w:val="20"/>
          <w:szCs w:val="20"/>
        </w:rPr>
        <w:t>.3.</w:t>
      </w:r>
      <w:r w:rsidR="004D0438">
        <w:rPr>
          <w:color w:val="FF0000"/>
          <w:sz w:val="20"/>
          <w:szCs w:val="20"/>
        </w:rPr>
        <w:t xml:space="preserve">  In most ROB cases, the installation/labor cost for the base and measure cases will be the same.  In the event that the installation/labor costs are different, the incremental measure cost will also include the difference in labor costs for the base and measure cases.</w:t>
      </w:r>
    </w:p>
    <w:p w14:paraId="4A5A1023" w14:textId="77777777" w:rsidR="004D0438" w:rsidRDefault="004D0438" w:rsidP="004D0438">
      <w:pPr>
        <w:rPr>
          <w:color w:val="FF0000"/>
          <w:sz w:val="20"/>
          <w:szCs w:val="20"/>
        </w:rPr>
      </w:pPr>
    </w:p>
    <w:p w14:paraId="6C2F0D14" w14:textId="77777777" w:rsidR="00A54B8A" w:rsidRDefault="004D0438" w:rsidP="00C87166">
      <w:pPr>
        <w:rPr>
          <w:color w:val="FF0000"/>
          <w:sz w:val="20"/>
          <w:szCs w:val="20"/>
        </w:rPr>
      </w:pPr>
      <w:r>
        <w:rPr>
          <w:color w:val="FF0000"/>
          <w:sz w:val="20"/>
          <w:szCs w:val="20"/>
        </w:rPr>
        <w:t>Note that the E3 calculator</w:t>
      </w:r>
      <w:r w:rsidR="00C87166">
        <w:rPr>
          <w:color w:val="FF0000"/>
          <w:sz w:val="20"/>
          <w:szCs w:val="20"/>
        </w:rPr>
        <w:t xml:space="preserve"> input field “Gross Measure Cost” requires the input of either IMC (for ROB or NC measures) or the full measure cost (for ER measures).</w:t>
      </w:r>
      <w:bookmarkStart w:id="97" w:name="_Toc385592679"/>
    </w:p>
    <w:p w14:paraId="2D9544E6" w14:textId="77777777" w:rsidR="00A54B8A" w:rsidRDefault="00A54B8A" w:rsidP="00C87166">
      <w:pPr>
        <w:rPr>
          <w:color w:val="FF0000"/>
          <w:sz w:val="20"/>
          <w:szCs w:val="20"/>
        </w:rPr>
      </w:pPr>
    </w:p>
    <w:p w14:paraId="24397B9F" w14:textId="6415A62F" w:rsidR="00DA7C16" w:rsidRPr="00C87166" w:rsidRDefault="00DA7C16" w:rsidP="00A54B8A">
      <w:pPr>
        <w:spacing w:after="60"/>
        <w:rPr>
          <w:sz w:val="20"/>
          <w:szCs w:val="20"/>
        </w:rPr>
      </w:pPr>
      <w:r w:rsidRPr="00C87166">
        <w:rPr>
          <w:b/>
          <w:sz w:val="20"/>
          <w:szCs w:val="20"/>
        </w:rPr>
        <w:t xml:space="preserve">Table </w:t>
      </w:r>
      <w:r w:rsidR="003F0CD3" w:rsidRPr="00C87166">
        <w:rPr>
          <w:b/>
          <w:sz w:val="20"/>
          <w:szCs w:val="20"/>
        </w:rPr>
        <w:fldChar w:fldCharType="begin"/>
      </w:r>
      <w:r w:rsidR="003F0CD3" w:rsidRPr="00C87166">
        <w:rPr>
          <w:b/>
          <w:sz w:val="20"/>
          <w:szCs w:val="20"/>
        </w:rPr>
        <w:instrText xml:space="preserve"> SEQ Table \* ARABIC </w:instrText>
      </w:r>
      <w:r w:rsidR="003F0CD3" w:rsidRPr="00C87166">
        <w:rPr>
          <w:b/>
          <w:sz w:val="20"/>
          <w:szCs w:val="20"/>
        </w:rPr>
        <w:fldChar w:fldCharType="separate"/>
      </w:r>
      <w:r w:rsidR="00C87166" w:rsidRPr="00C87166">
        <w:rPr>
          <w:b/>
          <w:noProof/>
          <w:sz w:val="20"/>
          <w:szCs w:val="20"/>
        </w:rPr>
        <w:t>9</w:t>
      </w:r>
      <w:r w:rsidR="003F0CD3" w:rsidRPr="00C87166">
        <w:rPr>
          <w:b/>
          <w:noProof/>
          <w:sz w:val="20"/>
          <w:szCs w:val="20"/>
        </w:rPr>
        <w:fldChar w:fldCharType="end"/>
      </w:r>
      <w:r w:rsidRPr="00C87166">
        <w:rPr>
          <w:b/>
          <w:sz w:val="20"/>
          <w:szCs w:val="20"/>
        </w:rPr>
        <w:t>.</w:t>
      </w:r>
      <w:r w:rsidRPr="00C87166">
        <w:rPr>
          <w:sz w:val="20"/>
          <w:szCs w:val="20"/>
        </w:rPr>
        <w:t xml:space="preserve"> Incremental and full measure cost</w:t>
      </w:r>
      <w:r w:rsidR="002C408C" w:rsidRPr="00C87166">
        <w:rPr>
          <w:sz w:val="20"/>
          <w:szCs w:val="20"/>
        </w:rPr>
        <w:t xml:space="preserve"> calculations</w:t>
      </w:r>
      <w:bookmarkEnd w:id="97"/>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2880"/>
        <w:gridCol w:w="2430"/>
        <w:gridCol w:w="2340"/>
      </w:tblGrid>
      <w:tr w:rsidR="00E271B3" w:rsidRPr="00817D29" w14:paraId="24AD4999" w14:textId="77777777" w:rsidTr="00E271B3">
        <w:trPr>
          <w:trHeight w:val="255"/>
        </w:trPr>
        <w:tc>
          <w:tcPr>
            <w:tcW w:w="1525" w:type="dxa"/>
            <w:shd w:val="clear" w:color="auto" w:fill="D9D9D9" w:themeFill="background1" w:themeFillShade="D9"/>
            <w:noWrap/>
            <w:vAlign w:val="center"/>
          </w:tcPr>
          <w:p w14:paraId="0EA63DE7" w14:textId="77777777" w:rsidR="00E271B3" w:rsidRPr="00817D29" w:rsidRDefault="00E271B3" w:rsidP="0085508A">
            <w:pPr>
              <w:spacing w:before="60" w:after="60"/>
              <w:jc w:val="center"/>
              <w:rPr>
                <w:rFonts w:cs="Arial"/>
                <w:sz w:val="20"/>
                <w:szCs w:val="20"/>
              </w:rPr>
            </w:pPr>
            <w:r w:rsidRPr="00817D29">
              <w:rPr>
                <w:rFonts w:cs="Arial"/>
                <w:sz w:val="20"/>
                <w:szCs w:val="20"/>
              </w:rPr>
              <w:t>Measure Application Type</w:t>
            </w:r>
          </w:p>
        </w:tc>
        <w:tc>
          <w:tcPr>
            <w:tcW w:w="2880" w:type="dxa"/>
            <w:shd w:val="clear" w:color="auto" w:fill="D9D9D9" w:themeFill="background1" w:themeFillShade="D9"/>
            <w:vAlign w:val="center"/>
          </w:tcPr>
          <w:p w14:paraId="5C1AE651" w14:textId="77777777" w:rsidR="00E271B3" w:rsidRDefault="00E271B3" w:rsidP="0085508A">
            <w:pPr>
              <w:spacing w:before="60" w:after="60"/>
              <w:jc w:val="center"/>
              <w:rPr>
                <w:rFonts w:cs="Arial"/>
                <w:sz w:val="20"/>
                <w:szCs w:val="20"/>
              </w:rPr>
            </w:pPr>
            <w:r>
              <w:rPr>
                <w:rFonts w:cs="Arial"/>
                <w:sz w:val="20"/>
                <w:szCs w:val="20"/>
              </w:rPr>
              <w:t xml:space="preserve">Incremental Measure Cost </w:t>
            </w:r>
          </w:p>
          <w:p w14:paraId="0F029D2D" w14:textId="77777777" w:rsidR="00E271B3" w:rsidRDefault="00E271B3" w:rsidP="0085508A">
            <w:pPr>
              <w:spacing w:before="60" w:after="60"/>
              <w:jc w:val="center"/>
              <w:rPr>
                <w:rFonts w:cs="Arial"/>
                <w:sz w:val="20"/>
                <w:szCs w:val="20"/>
              </w:rPr>
            </w:pPr>
            <w:r>
              <w:rPr>
                <w:rFonts w:cs="Arial"/>
                <w:sz w:val="20"/>
                <w:szCs w:val="20"/>
              </w:rPr>
              <w:t>($/unit)</w:t>
            </w:r>
          </w:p>
        </w:tc>
        <w:tc>
          <w:tcPr>
            <w:tcW w:w="2430" w:type="dxa"/>
            <w:tcBorders>
              <w:bottom w:val="single" w:sz="4" w:space="0" w:color="auto"/>
            </w:tcBorders>
            <w:shd w:val="clear" w:color="auto" w:fill="D9D9D9" w:themeFill="background1" w:themeFillShade="D9"/>
            <w:vAlign w:val="center"/>
          </w:tcPr>
          <w:p w14:paraId="64EAE227" w14:textId="77777777" w:rsidR="00E271B3" w:rsidRDefault="00E271B3" w:rsidP="00E271B3">
            <w:pPr>
              <w:spacing w:before="60"/>
              <w:jc w:val="center"/>
              <w:rPr>
                <w:rFonts w:cs="Arial"/>
                <w:sz w:val="20"/>
                <w:szCs w:val="20"/>
              </w:rPr>
            </w:pPr>
            <w:r>
              <w:rPr>
                <w:rFonts w:cs="Arial"/>
                <w:sz w:val="20"/>
                <w:szCs w:val="20"/>
              </w:rPr>
              <w:t xml:space="preserve">Full Measure Cost </w:t>
            </w:r>
          </w:p>
          <w:p w14:paraId="14859929" w14:textId="77777777" w:rsidR="00E271B3" w:rsidRDefault="00E271B3" w:rsidP="00E271B3">
            <w:pPr>
              <w:spacing w:before="60" w:after="60"/>
              <w:jc w:val="center"/>
              <w:rPr>
                <w:rFonts w:cs="Arial"/>
                <w:sz w:val="20"/>
                <w:szCs w:val="20"/>
              </w:rPr>
            </w:pPr>
            <w:r>
              <w:rPr>
                <w:rFonts w:cs="Arial"/>
                <w:sz w:val="20"/>
                <w:szCs w:val="20"/>
              </w:rPr>
              <w:t>(1</w:t>
            </w:r>
            <w:r w:rsidRPr="00E271B3">
              <w:rPr>
                <w:rFonts w:cs="Arial"/>
                <w:sz w:val="20"/>
                <w:szCs w:val="20"/>
                <w:vertAlign w:val="superscript"/>
              </w:rPr>
              <w:t>st</w:t>
            </w:r>
            <w:r>
              <w:rPr>
                <w:rFonts w:cs="Arial"/>
                <w:sz w:val="20"/>
                <w:szCs w:val="20"/>
              </w:rPr>
              <w:t xml:space="preserve"> Baseline period) </w:t>
            </w:r>
          </w:p>
          <w:p w14:paraId="2F1DF522" w14:textId="64518439" w:rsidR="00E271B3" w:rsidRDefault="00E271B3" w:rsidP="00E271B3">
            <w:pPr>
              <w:spacing w:before="60" w:after="60"/>
              <w:jc w:val="center"/>
              <w:rPr>
                <w:rFonts w:cs="Arial"/>
                <w:sz w:val="20"/>
                <w:szCs w:val="20"/>
              </w:rPr>
            </w:pPr>
            <w:r>
              <w:rPr>
                <w:rFonts w:cs="Arial"/>
                <w:sz w:val="20"/>
                <w:szCs w:val="20"/>
              </w:rPr>
              <w:t>($/unit)</w:t>
            </w:r>
          </w:p>
        </w:tc>
        <w:tc>
          <w:tcPr>
            <w:tcW w:w="2340" w:type="dxa"/>
            <w:tcBorders>
              <w:bottom w:val="single" w:sz="4" w:space="0" w:color="auto"/>
            </w:tcBorders>
            <w:shd w:val="clear" w:color="auto" w:fill="D9D9D9" w:themeFill="background1" w:themeFillShade="D9"/>
            <w:vAlign w:val="center"/>
          </w:tcPr>
          <w:p w14:paraId="55EA783F" w14:textId="77777777" w:rsidR="00E271B3" w:rsidRDefault="00E271B3" w:rsidP="00E271B3">
            <w:pPr>
              <w:spacing w:before="60"/>
              <w:jc w:val="center"/>
              <w:rPr>
                <w:rFonts w:cs="Arial"/>
                <w:sz w:val="20"/>
                <w:szCs w:val="20"/>
              </w:rPr>
            </w:pPr>
            <w:r>
              <w:rPr>
                <w:rFonts w:cs="Arial"/>
                <w:sz w:val="20"/>
                <w:szCs w:val="20"/>
              </w:rPr>
              <w:t xml:space="preserve">Full Base Cost </w:t>
            </w:r>
          </w:p>
          <w:p w14:paraId="264A5FBE" w14:textId="77777777" w:rsidR="00E271B3" w:rsidRDefault="00E271B3" w:rsidP="00E271B3">
            <w:pPr>
              <w:spacing w:after="60"/>
              <w:jc w:val="center"/>
              <w:rPr>
                <w:rFonts w:cs="Arial"/>
                <w:sz w:val="20"/>
                <w:szCs w:val="20"/>
              </w:rPr>
            </w:pPr>
            <w:r>
              <w:rPr>
                <w:rFonts w:cs="Arial"/>
                <w:sz w:val="20"/>
                <w:szCs w:val="20"/>
              </w:rPr>
              <w:t>(2</w:t>
            </w:r>
            <w:r w:rsidRPr="002C408C">
              <w:rPr>
                <w:rFonts w:cs="Arial"/>
                <w:sz w:val="20"/>
                <w:szCs w:val="20"/>
                <w:vertAlign w:val="superscript"/>
              </w:rPr>
              <w:t>nd</w:t>
            </w:r>
            <w:r>
              <w:rPr>
                <w:rFonts w:cs="Arial"/>
                <w:sz w:val="20"/>
                <w:szCs w:val="20"/>
              </w:rPr>
              <w:t xml:space="preserve"> baseline period) </w:t>
            </w:r>
          </w:p>
          <w:p w14:paraId="02196E68" w14:textId="0E47B81F" w:rsidR="00E271B3" w:rsidRDefault="00E271B3" w:rsidP="00E271B3">
            <w:pPr>
              <w:spacing w:after="60"/>
              <w:jc w:val="center"/>
              <w:rPr>
                <w:rFonts w:cs="Arial"/>
                <w:sz w:val="20"/>
                <w:szCs w:val="20"/>
              </w:rPr>
            </w:pPr>
            <w:r>
              <w:rPr>
                <w:rFonts w:cs="Arial"/>
                <w:sz w:val="20"/>
                <w:szCs w:val="20"/>
              </w:rPr>
              <w:t>($/unit)</w:t>
            </w:r>
          </w:p>
        </w:tc>
      </w:tr>
      <w:tr w:rsidR="00E271B3" w:rsidRPr="00817D29" w14:paraId="701BCF52" w14:textId="77777777" w:rsidTr="00E271B3">
        <w:trPr>
          <w:trHeight w:val="255"/>
        </w:trPr>
        <w:tc>
          <w:tcPr>
            <w:tcW w:w="1525" w:type="dxa"/>
            <w:shd w:val="clear" w:color="auto" w:fill="auto"/>
            <w:noWrap/>
            <w:vAlign w:val="center"/>
          </w:tcPr>
          <w:p w14:paraId="76FBE5EA" w14:textId="2222F522" w:rsidR="00E271B3" w:rsidRPr="00817D29" w:rsidRDefault="00E271B3" w:rsidP="0085508A">
            <w:pPr>
              <w:spacing w:before="60" w:after="60"/>
              <w:jc w:val="center"/>
              <w:rPr>
                <w:rFonts w:cs="Arial"/>
                <w:sz w:val="20"/>
                <w:szCs w:val="20"/>
              </w:rPr>
            </w:pPr>
            <w:r>
              <w:rPr>
                <w:rFonts w:cs="Arial"/>
                <w:sz w:val="20"/>
                <w:szCs w:val="20"/>
              </w:rPr>
              <w:t>ROB</w:t>
            </w:r>
            <w:r w:rsidR="00A54B8A">
              <w:rPr>
                <w:rFonts w:cs="Arial"/>
                <w:sz w:val="20"/>
                <w:szCs w:val="20"/>
              </w:rPr>
              <w:t>/NEW</w:t>
            </w:r>
          </w:p>
        </w:tc>
        <w:tc>
          <w:tcPr>
            <w:tcW w:w="2880" w:type="dxa"/>
            <w:tcBorders>
              <w:bottom w:val="single" w:sz="4" w:space="0" w:color="auto"/>
            </w:tcBorders>
            <w:shd w:val="clear" w:color="auto" w:fill="auto"/>
            <w:vAlign w:val="center"/>
          </w:tcPr>
          <w:p w14:paraId="65525D4D" w14:textId="77777777" w:rsidR="00E271B3" w:rsidRDefault="00E271B3" w:rsidP="00E271B3">
            <w:pPr>
              <w:spacing w:before="60" w:after="60"/>
              <w:jc w:val="center"/>
              <w:rPr>
                <w:rFonts w:cs="Arial"/>
                <w:sz w:val="20"/>
                <w:szCs w:val="20"/>
              </w:rPr>
            </w:pPr>
            <w:r w:rsidRPr="002942F8">
              <w:rPr>
                <w:rFonts w:cs="Arial"/>
                <w:b/>
                <w:sz w:val="20"/>
                <w:szCs w:val="20"/>
              </w:rPr>
              <w:t>Incremental Measure Cost</w:t>
            </w:r>
            <w:r>
              <w:rPr>
                <w:rFonts w:cs="Arial"/>
                <w:sz w:val="20"/>
                <w:szCs w:val="20"/>
              </w:rPr>
              <w:t xml:space="preserve"> = </w:t>
            </w:r>
          </w:p>
          <w:p w14:paraId="18227F75" w14:textId="77777777" w:rsidR="004D0438" w:rsidRDefault="004D0438" w:rsidP="004D0438">
            <w:pPr>
              <w:spacing w:before="60" w:after="60"/>
              <w:jc w:val="center"/>
              <w:rPr>
                <w:rFonts w:cs="Arial"/>
                <w:sz w:val="20"/>
                <w:szCs w:val="20"/>
              </w:rPr>
            </w:pPr>
            <w:r>
              <w:rPr>
                <w:rFonts w:cs="Arial"/>
                <w:sz w:val="20"/>
                <w:szCs w:val="20"/>
              </w:rPr>
              <w:t>(</w:t>
            </w:r>
            <w:r w:rsidR="00E271B3" w:rsidRPr="002942F8">
              <w:rPr>
                <w:rFonts w:cs="Arial"/>
                <w:sz w:val="20"/>
                <w:szCs w:val="20"/>
              </w:rPr>
              <w:t xml:space="preserve">Measure Equipment Cost </w:t>
            </w:r>
            <w:r>
              <w:rPr>
                <w:rFonts w:cs="Arial"/>
                <w:sz w:val="20"/>
                <w:szCs w:val="20"/>
              </w:rPr>
              <w:t xml:space="preserve">+ Measure Labor Cost) </w:t>
            </w:r>
            <w:r w:rsidR="00E271B3">
              <w:rPr>
                <w:rFonts w:cs="Arial"/>
                <w:sz w:val="20"/>
                <w:szCs w:val="20"/>
              </w:rPr>
              <w:t xml:space="preserve">– </w:t>
            </w:r>
          </w:p>
          <w:p w14:paraId="38B049EE" w14:textId="7E806B1D" w:rsidR="00E271B3" w:rsidRDefault="004D0438" w:rsidP="004D0438">
            <w:pPr>
              <w:spacing w:before="60" w:after="60"/>
              <w:jc w:val="center"/>
              <w:rPr>
                <w:rFonts w:cs="Arial"/>
                <w:sz w:val="20"/>
                <w:szCs w:val="20"/>
              </w:rPr>
            </w:pPr>
            <w:r>
              <w:rPr>
                <w:rFonts w:cs="Arial"/>
                <w:sz w:val="20"/>
                <w:szCs w:val="20"/>
              </w:rPr>
              <w:t>(</w:t>
            </w:r>
            <w:r w:rsidR="00E271B3">
              <w:rPr>
                <w:rFonts w:cs="Arial"/>
                <w:sz w:val="20"/>
                <w:szCs w:val="20"/>
              </w:rPr>
              <w:t>Base Case</w:t>
            </w:r>
            <w:r w:rsidR="00E271B3" w:rsidRPr="002942F8">
              <w:rPr>
                <w:rFonts w:cs="Arial"/>
                <w:sz w:val="20"/>
                <w:szCs w:val="20"/>
              </w:rPr>
              <w:t xml:space="preserve"> Equipment Cost</w:t>
            </w:r>
            <w:r>
              <w:rPr>
                <w:rFonts w:cs="Arial"/>
                <w:sz w:val="20"/>
                <w:szCs w:val="20"/>
              </w:rPr>
              <w:t xml:space="preserve"> + Base Case Labor Cost)</w:t>
            </w:r>
          </w:p>
        </w:tc>
        <w:tc>
          <w:tcPr>
            <w:tcW w:w="2430" w:type="dxa"/>
            <w:shd w:val="thinDiagStripe" w:color="BFBFBF" w:themeColor="background1" w:themeShade="BF" w:fill="auto"/>
            <w:vAlign w:val="center"/>
          </w:tcPr>
          <w:p w14:paraId="5E10F61E" w14:textId="64FC6AAB" w:rsidR="00E271B3" w:rsidRDefault="00E271B3" w:rsidP="0085508A">
            <w:pPr>
              <w:spacing w:before="60" w:after="60"/>
              <w:jc w:val="center"/>
              <w:rPr>
                <w:rFonts w:cs="Arial"/>
                <w:sz w:val="20"/>
                <w:szCs w:val="20"/>
              </w:rPr>
            </w:pPr>
            <w:r>
              <w:rPr>
                <w:rFonts w:cs="Arial"/>
                <w:sz w:val="20"/>
                <w:szCs w:val="20"/>
              </w:rPr>
              <w:t>N/A</w:t>
            </w:r>
          </w:p>
        </w:tc>
        <w:tc>
          <w:tcPr>
            <w:tcW w:w="2340" w:type="dxa"/>
            <w:shd w:val="thinDiagStripe" w:color="BFBFBF" w:themeColor="background1" w:themeShade="BF" w:fill="auto"/>
            <w:vAlign w:val="center"/>
          </w:tcPr>
          <w:p w14:paraId="4BBEC1C0" w14:textId="42951E6D" w:rsidR="00E271B3" w:rsidRDefault="00E271B3" w:rsidP="0085508A">
            <w:pPr>
              <w:spacing w:before="60" w:after="60"/>
              <w:jc w:val="center"/>
              <w:rPr>
                <w:rFonts w:cs="Arial"/>
                <w:sz w:val="20"/>
                <w:szCs w:val="20"/>
              </w:rPr>
            </w:pPr>
            <w:r>
              <w:rPr>
                <w:rFonts w:cs="Arial"/>
                <w:sz w:val="20"/>
                <w:szCs w:val="20"/>
              </w:rPr>
              <w:t>N/A</w:t>
            </w:r>
          </w:p>
        </w:tc>
      </w:tr>
      <w:tr w:rsidR="00E271B3" w:rsidRPr="00817D29" w14:paraId="1B5C3027" w14:textId="77777777" w:rsidTr="00E271B3">
        <w:trPr>
          <w:trHeight w:val="255"/>
        </w:trPr>
        <w:tc>
          <w:tcPr>
            <w:tcW w:w="1525" w:type="dxa"/>
            <w:shd w:val="clear" w:color="auto" w:fill="auto"/>
            <w:noWrap/>
            <w:vAlign w:val="center"/>
          </w:tcPr>
          <w:p w14:paraId="2D4E3173" w14:textId="1097299A" w:rsidR="00E271B3" w:rsidRPr="00817D29" w:rsidRDefault="00E271B3" w:rsidP="0085508A">
            <w:pPr>
              <w:spacing w:before="60" w:after="60"/>
              <w:jc w:val="center"/>
              <w:rPr>
                <w:rFonts w:cs="Arial"/>
                <w:sz w:val="20"/>
                <w:szCs w:val="20"/>
              </w:rPr>
            </w:pPr>
            <w:r>
              <w:rPr>
                <w:rFonts w:cs="Arial"/>
                <w:sz w:val="20"/>
                <w:szCs w:val="20"/>
              </w:rPr>
              <w:t>ER</w:t>
            </w:r>
          </w:p>
        </w:tc>
        <w:tc>
          <w:tcPr>
            <w:tcW w:w="2880" w:type="dxa"/>
            <w:shd w:val="thinDiagStripe" w:color="BFBFBF" w:themeColor="background1" w:themeShade="BF" w:fill="auto"/>
            <w:vAlign w:val="center"/>
          </w:tcPr>
          <w:p w14:paraId="2BCBD98D" w14:textId="6DBD228C" w:rsidR="00E271B3" w:rsidRDefault="00E271B3" w:rsidP="0085508A">
            <w:pPr>
              <w:spacing w:before="60" w:after="60"/>
              <w:jc w:val="center"/>
              <w:rPr>
                <w:rFonts w:cs="Arial"/>
                <w:sz w:val="20"/>
                <w:szCs w:val="20"/>
              </w:rPr>
            </w:pPr>
            <w:r>
              <w:rPr>
                <w:rFonts w:cs="Arial"/>
                <w:sz w:val="20"/>
                <w:szCs w:val="20"/>
              </w:rPr>
              <w:t>N/A</w:t>
            </w:r>
          </w:p>
        </w:tc>
        <w:tc>
          <w:tcPr>
            <w:tcW w:w="2430" w:type="dxa"/>
            <w:tcBorders>
              <w:bottom w:val="single" w:sz="4" w:space="0" w:color="auto"/>
            </w:tcBorders>
            <w:shd w:val="clear" w:color="auto" w:fill="auto"/>
            <w:vAlign w:val="center"/>
          </w:tcPr>
          <w:p w14:paraId="0BB23094" w14:textId="77777777" w:rsidR="00E271B3" w:rsidRDefault="00E271B3" w:rsidP="00E271B3">
            <w:pPr>
              <w:spacing w:before="60" w:after="60"/>
              <w:jc w:val="center"/>
              <w:rPr>
                <w:rFonts w:cs="Arial"/>
                <w:sz w:val="20"/>
                <w:szCs w:val="20"/>
              </w:rPr>
            </w:pPr>
            <w:r w:rsidRPr="002942F8">
              <w:rPr>
                <w:rFonts w:cs="Arial"/>
                <w:b/>
                <w:sz w:val="20"/>
                <w:szCs w:val="20"/>
              </w:rPr>
              <w:t>Full Measure Cost</w:t>
            </w:r>
            <w:r>
              <w:rPr>
                <w:rFonts w:cs="Arial"/>
                <w:sz w:val="20"/>
                <w:szCs w:val="20"/>
              </w:rPr>
              <w:t xml:space="preserve"> = </w:t>
            </w:r>
          </w:p>
          <w:p w14:paraId="4665C8B8" w14:textId="60F6BB08" w:rsidR="00E271B3" w:rsidRDefault="00E271B3" w:rsidP="00072D35">
            <w:pPr>
              <w:spacing w:before="60" w:after="60"/>
              <w:jc w:val="center"/>
              <w:rPr>
                <w:rFonts w:cs="Arial"/>
                <w:sz w:val="20"/>
                <w:szCs w:val="20"/>
              </w:rPr>
            </w:pPr>
            <w:r>
              <w:rPr>
                <w:rFonts w:cs="Arial"/>
                <w:sz w:val="20"/>
                <w:szCs w:val="20"/>
              </w:rPr>
              <w:t xml:space="preserve">Measure Equipment </w:t>
            </w:r>
            <w:r>
              <w:rPr>
                <w:rFonts w:cs="Arial"/>
                <w:sz w:val="20"/>
                <w:szCs w:val="20"/>
              </w:rPr>
              <w:lastRenderedPageBreak/>
              <w:t>Cost +</w:t>
            </w:r>
            <w:r w:rsidR="00072D35">
              <w:rPr>
                <w:rFonts w:cs="Arial"/>
                <w:sz w:val="20"/>
                <w:szCs w:val="20"/>
              </w:rPr>
              <w:t xml:space="preserve"> Labor</w:t>
            </w:r>
            <w:r>
              <w:rPr>
                <w:rFonts w:cs="Arial"/>
                <w:sz w:val="20"/>
                <w:szCs w:val="20"/>
              </w:rPr>
              <w:t xml:space="preserve"> Cost</w:t>
            </w:r>
          </w:p>
        </w:tc>
        <w:tc>
          <w:tcPr>
            <w:tcW w:w="2340" w:type="dxa"/>
            <w:tcBorders>
              <w:bottom w:val="single" w:sz="4" w:space="0" w:color="auto"/>
            </w:tcBorders>
            <w:shd w:val="clear" w:color="auto" w:fill="auto"/>
            <w:vAlign w:val="center"/>
          </w:tcPr>
          <w:p w14:paraId="19139112" w14:textId="449B797F" w:rsidR="00E271B3" w:rsidRDefault="00E271B3" w:rsidP="00E271B3">
            <w:pPr>
              <w:spacing w:before="60" w:after="60"/>
              <w:jc w:val="center"/>
              <w:rPr>
                <w:rFonts w:cs="Arial"/>
                <w:sz w:val="20"/>
                <w:szCs w:val="20"/>
              </w:rPr>
            </w:pPr>
            <w:r>
              <w:rPr>
                <w:rFonts w:cs="Arial"/>
                <w:b/>
                <w:sz w:val="20"/>
                <w:szCs w:val="20"/>
              </w:rPr>
              <w:lastRenderedPageBreak/>
              <w:t>Full</w:t>
            </w:r>
            <w:r w:rsidRPr="002942F8">
              <w:rPr>
                <w:rFonts w:cs="Arial"/>
                <w:b/>
                <w:sz w:val="20"/>
                <w:szCs w:val="20"/>
              </w:rPr>
              <w:t xml:space="preserve"> </w:t>
            </w:r>
            <w:r>
              <w:rPr>
                <w:rFonts w:cs="Arial"/>
                <w:b/>
                <w:sz w:val="20"/>
                <w:szCs w:val="20"/>
              </w:rPr>
              <w:t>Bas</w:t>
            </w:r>
            <w:r w:rsidRPr="002942F8">
              <w:rPr>
                <w:rFonts w:cs="Arial"/>
                <w:b/>
                <w:sz w:val="20"/>
                <w:szCs w:val="20"/>
              </w:rPr>
              <w:t>e Cost</w:t>
            </w:r>
            <w:r>
              <w:rPr>
                <w:rFonts w:cs="Arial"/>
                <w:sz w:val="20"/>
                <w:szCs w:val="20"/>
              </w:rPr>
              <w:t xml:space="preserve"> = </w:t>
            </w:r>
          </w:p>
          <w:p w14:paraId="49D21428" w14:textId="207EB6FC" w:rsidR="00E271B3" w:rsidRDefault="004D0438" w:rsidP="00072D35">
            <w:pPr>
              <w:spacing w:before="60" w:after="60"/>
              <w:jc w:val="center"/>
              <w:rPr>
                <w:rFonts w:cs="Arial"/>
                <w:sz w:val="20"/>
                <w:szCs w:val="20"/>
              </w:rPr>
            </w:pPr>
            <w:r>
              <w:rPr>
                <w:rFonts w:cs="Arial"/>
                <w:sz w:val="20"/>
                <w:szCs w:val="20"/>
              </w:rPr>
              <w:t>(-1)*(</w:t>
            </w:r>
            <w:r w:rsidR="00E271B3">
              <w:rPr>
                <w:rFonts w:cs="Arial"/>
                <w:sz w:val="20"/>
                <w:szCs w:val="20"/>
              </w:rPr>
              <w:t xml:space="preserve">Second Base </w:t>
            </w:r>
            <w:r w:rsidR="00E271B3">
              <w:rPr>
                <w:rFonts w:cs="Arial"/>
                <w:sz w:val="20"/>
                <w:szCs w:val="20"/>
              </w:rPr>
              <w:lastRenderedPageBreak/>
              <w:t>Case</w:t>
            </w:r>
            <w:r w:rsidR="00E271B3" w:rsidRPr="002942F8">
              <w:rPr>
                <w:rFonts w:cs="Arial"/>
                <w:sz w:val="20"/>
                <w:szCs w:val="20"/>
              </w:rPr>
              <w:t xml:space="preserve"> Equipment Cost</w:t>
            </w:r>
            <w:r w:rsidR="00E271B3">
              <w:rPr>
                <w:rFonts w:cs="Arial"/>
                <w:sz w:val="20"/>
                <w:szCs w:val="20"/>
              </w:rPr>
              <w:t xml:space="preserve"> + </w:t>
            </w:r>
            <w:r w:rsidR="00072D35">
              <w:rPr>
                <w:rFonts w:cs="Arial"/>
                <w:sz w:val="20"/>
                <w:szCs w:val="20"/>
              </w:rPr>
              <w:t>Labor</w:t>
            </w:r>
            <w:r w:rsidR="00E271B3">
              <w:rPr>
                <w:rFonts w:cs="Arial"/>
                <w:sz w:val="20"/>
                <w:szCs w:val="20"/>
              </w:rPr>
              <w:t xml:space="preserve"> Cost</w:t>
            </w:r>
            <w:r>
              <w:rPr>
                <w:rFonts w:cs="Arial"/>
                <w:sz w:val="20"/>
                <w:szCs w:val="20"/>
              </w:rPr>
              <w:t>)</w:t>
            </w:r>
            <w:r>
              <w:rPr>
                <w:rStyle w:val="FootnoteReference"/>
                <w:rFonts w:cs="Arial"/>
                <w:sz w:val="20"/>
                <w:szCs w:val="20"/>
              </w:rPr>
              <w:footnoteReference w:id="5"/>
            </w:r>
          </w:p>
        </w:tc>
      </w:tr>
      <w:tr w:rsidR="00A54B8A" w:rsidRPr="00817D29" w14:paraId="516F1D6D" w14:textId="77777777" w:rsidTr="00A54B8A">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542B3" w14:textId="40B67492" w:rsidR="00A54B8A" w:rsidRPr="00817D29" w:rsidRDefault="00A54B8A" w:rsidP="00E73C76">
            <w:pPr>
              <w:spacing w:before="60" w:after="60"/>
              <w:jc w:val="center"/>
              <w:rPr>
                <w:rFonts w:cs="Arial"/>
                <w:sz w:val="20"/>
                <w:szCs w:val="20"/>
              </w:rPr>
            </w:pPr>
            <w:r>
              <w:rPr>
                <w:rFonts w:cs="Arial"/>
                <w:sz w:val="20"/>
                <w:szCs w:val="20"/>
              </w:rPr>
              <w:lastRenderedPageBreak/>
              <w:t>REA</w:t>
            </w:r>
          </w:p>
        </w:tc>
        <w:tc>
          <w:tcPr>
            <w:tcW w:w="2880" w:type="dxa"/>
            <w:tcBorders>
              <w:top w:val="single" w:sz="4" w:space="0" w:color="auto"/>
              <w:left w:val="single" w:sz="4" w:space="0" w:color="auto"/>
              <w:bottom w:val="single" w:sz="4" w:space="0" w:color="auto"/>
              <w:right w:val="single" w:sz="4" w:space="0" w:color="auto"/>
            </w:tcBorders>
            <w:shd w:val="thinDiagStripe" w:color="BFBFBF" w:themeColor="background1" w:themeShade="BF" w:fill="auto"/>
            <w:vAlign w:val="center"/>
          </w:tcPr>
          <w:p w14:paraId="77DC9D7F" w14:textId="77777777" w:rsidR="00A54B8A" w:rsidRDefault="00A54B8A" w:rsidP="00E73C76">
            <w:pPr>
              <w:spacing w:before="60" w:after="60"/>
              <w:jc w:val="center"/>
              <w:rPr>
                <w:rFonts w:cs="Arial"/>
                <w:sz w:val="20"/>
                <w:szCs w:val="20"/>
              </w:rPr>
            </w:pPr>
            <w:r>
              <w:rPr>
                <w:rFonts w:cs="Arial"/>
                <w:sz w:val="20"/>
                <w:szCs w:val="20"/>
              </w:rPr>
              <w:t>N/A</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593147C" w14:textId="77777777" w:rsidR="00A54B8A" w:rsidRPr="00A54B8A" w:rsidRDefault="00A54B8A" w:rsidP="00E73C76">
            <w:pPr>
              <w:spacing w:before="60" w:after="60"/>
              <w:jc w:val="center"/>
              <w:rPr>
                <w:rFonts w:cs="Arial"/>
                <w:b/>
                <w:sz w:val="20"/>
                <w:szCs w:val="20"/>
              </w:rPr>
            </w:pPr>
            <w:r w:rsidRPr="002942F8">
              <w:rPr>
                <w:rFonts w:cs="Arial"/>
                <w:b/>
                <w:sz w:val="20"/>
                <w:szCs w:val="20"/>
              </w:rPr>
              <w:t>Full Measure Cost</w:t>
            </w:r>
            <w:r w:rsidRPr="00A54B8A">
              <w:rPr>
                <w:rFonts w:cs="Arial"/>
                <w:b/>
                <w:sz w:val="20"/>
                <w:szCs w:val="20"/>
              </w:rPr>
              <w:t xml:space="preserve"> = </w:t>
            </w:r>
          </w:p>
          <w:p w14:paraId="5685C2EB" w14:textId="77777777" w:rsidR="00A54B8A" w:rsidRPr="00A54B8A" w:rsidRDefault="00A54B8A" w:rsidP="00E73C76">
            <w:pPr>
              <w:spacing w:before="60" w:after="60"/>
              <w:jc w:val="center"/>
              <w:rPr>
                <w:rFonts w:cs="Arial"/>
                <w:sz w:val="20"/>
                <w:szCs w:val="20"/>
              </w:rPr>
            </w:pPr>
            <w:r w:rsidRPr="00A54B8A">
              <w:rPr>
                <w:rFonts w:cs="Arial"/>
                <w:sz w:val="20"/>
                <w:szCs w:val="20"/>
              </w:rPr>
              <w:t>Measure Equipment Cost + Labor Cost</w:t>
            </w:r>
          </w:p>
        </w:tc>
        <w:tc>
          <w:tcPr>
            <w:tcW w:w="2340" w:type="dxa"/>
            <w:tcBorders>
              <w:top w:val="single" w:sz="4" w:space="0" w:color="auto"/>
              <w:left w:val="single" w:sz="4" w:space="0" w:color="auto"/>
              <w:bottom w:val="single" w:sz="4" w:space="0" w:color="auto"/>
              <w:right w:val="single" w:sz="4" w:space="0" w:color="auto"/>
            </w:tcBorders>
            <w:shd w:val="thinDiagStripe" w:color="BFBFBF" w:themeColor="background1" w:themeShade="BF" w:fill="auto"/>
            <w:vAlign w:val="center"/>
          </w:tcPr>
          <w:p w14:paraId="0F191CB6" w14:textId="5F885E09" w:rsidR="00A54B8A" w:rsidRPr="00A54B8A" w:rsidRDefault="00A54B8A" w:rsidP="00E73C76">
            <w:pPr>
              <w:spacing w:before="60" w:after="60"/>
              <w:jc w:val="center"/>
              <w:rPr>
                <w:rFonts w:cs="Arial"/>
                <w:sz w:val="20"/>
                <w:szCs w:val="20"/>
              </w:rPr>
            </w:pPr>
            <w:r>
              <w:rPr>
                <w:rFonts w:cs="Arial"/>
                <w:sz w:val="20"/>
                <w:szCs w:val="20"/>
              </w:rPr>
              <w:t>N/A</w:t>
            </w:r>
          </w:p>
        </w:tc>
      </w:tr>
    </w:tbl>
    <w:p w14:paraId="7A00E035" w14:textId="77777777" w:rsidR="002C408C" w:rsidRPr="002C408C" w:rsidRDefault="002C408C" w:rsidP="002C408C"/>
    <w:p w14:paraId="7056513A" w14:textId="4BC8507C" w:rsidR="002C408C" w:rsidRDefault="002C408C" w:rsidP="002C408C">
      <w:pPr>
        <w:pStyle w:val="Caption"/>
        <w:spacing w:before="300" w:after="60"/>
        <w:rPr>
          <w:b w:val="0"/>
        </w:rPr>
      </w:pPr>
      <w:bookmarkStart w:id="98" w:name="_Toc385592680"/>
      <w:bookmarkStart w:id="99" w:name="_Toc304800221"/>
      <w:bookmarkStart w:id="100" w:name="_Toc324318377"/>
      <w:bookmarkStart w:id="101" w:name="_Toc324340404"/>
      <w:r>
        <w:t xml:space="preserve">Table </w:t>
      </w:r>
      <w:r w:rsidR="003709F9">
        <w:fldChar w:fldCharType="begin"/>
      </w:r>
      <w:r w:rsidR="003709F9">
        <w:instrText xml:space="preserve"> SEQ Table \* ARABIC </w:instrText>
      </w:r>
      <w:r w:rsidR="003709F9">
        <w:fldChar w:fldCharType="separate"/>
      </w:r>
      <w:r>
        <w:rPr>
          <w:noProof/>
        </w:rPr>
        <w:t>5</w:t>
      </w:r>
      <w:r w:rsidR="003709F9">
        <w:rPr>
          <w:noProof/>
        </w:rPr>
        <w:fldChar w:fldCharType="end"/>
      </w:r>
      <w:r>
        <w:t xml:space="preserve">. </w:t>
      </w:r>
      <w:r>
        <w:rPr>
          <w:b w:val="0"/>
        </w:rPr>
        <w:t>Incremental and full measure cost values</w:t>
      </w:r>
      <w:bookmarkEnd w:id="98"/>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2880"/>
        <w:gridCol w:w="2430"/>
        <w:gridCol w:w="2340"/>
      </w:tblGrid>
      <w:tr w:rsidR="00E271B3" w:rsidRPr="00817D29" w14:paraId="692838EF" w14:textId="77777777" w:rsidTr="0085508A">
        <w:trPr>
          <w:trHeight w:val="255"/>
        </w:trPr>
        <w:tc>
          <w:tcPr>
            <w:tcW w:w="1525" w:type="dxa"/>
            <w:shd w:val="clear" w:color="auto" w:fill="D9D9D9" w:themeFill="background1" w:themeFillShade="D9"/>
            <w:noWrap/>
            <w:vAlign w:val="center"/>
          </w:tcPr>
          <w:p w14:paraId="6BD25A8D" w14:textId="77777777" w:rsidR="00E271B3" w:rsidRPr="00817D29" w:rsidRDefault="00E271B3" w:rsidP="0085508A">
            <w:pPr>
              <w:spacing w:before="60" w:after="60"/>
              <w:jc w:val="center"/>
              <w:rPr>
                <w:rFonts w:cs="Arial"/>
                <w:sz w:val="20"/>
                <w:szCs w:val="20"/>
              </w:rPr>
            </w:pPr>
            <w:r w:rsidRPr="00817D29">
              <w:rPr>
                <w:rFonts w:cs="Arial"/>
                <w:sz w:val="20"/>
                <w:szCs w:val="20"/>
              </w:rPr>
              <w:t>Measure Application Type</w:t>
            </w:r>
          </w:p>
        </w:tc>
        <w:tc>
          <w:tcPr>
            <w:tcW w:w="2880" w:type="dxa"/>
            <w:shd w:val="clear" w:color="auto" w:fill="D9D9D9" w:themeFill="background1" w:themeFillShade="D9"/>
            <w:vAlign w:val="center"/>
          </w:tcPr>
          <w:p w14:paraId="7FE8B4B3" w14:textId="77777777" w:rsidR="00E271B3" w:rsidRDefault="00E271B3" w:rsidP="0085508A">
            <w:pPr>
              <w:spacing w:before="60" w:after="60"/>
              <w:jc w:val="center"/>
              <w:rPr>
                <w:rFonts w:cs="Arial"/>
                <w:sz w:val="20"/>
                <w:szCs w:val="20"/>
              </w:rPr>
            </w:pPr>
            <w:r>
              <w:rPr>
                <w:rFonts w:cs="Arial"/>
                <w:sz w:val="20"/>
                <w:szCs w:val="20"/>
              </w:rPr>
              <w:t xml:space="preserve">Incremental Measure Cost </w:t>
            </w:r>
          </w:p>
          <w:p w14:paraId="1D69435F" w14:textId="77777777" w:rsidR="00E271B3" w:rsidRDefault="00E271B3" w:rsidP="0085508A">
            <w:pPr>
              <w:spacing w:before="60" w:after="60"/>
              <w:jc w:val="center"/>
              <w:rPr>
                <w:rFonts w:cs="Arial"/>
                <w:sz w:val="20"/>
                <w:szCs w:val="20"/>
              </w:rPr>
            </w:pPr>
            <w:r>
              <w:rPr>
                <w:rFonts w:cs="Arial"/>
                <w:sz w:val="20"/>
                <w:szCs w:val="20"/>
              </w:rPr>
              <w:t>($/unit)</w:t>
            </w:r>
          </w:p>
        </w:tc>
        <w:tc>
          <w:tcPr>
            <w:tcW w:w="2430" w:type="dxa"/>
            <w:tcBorders>
              <w:bottom w:val="single" w:sz="4" w:space="0" w:color="auto"/>
            </w:tcBorders>
            <w:shd w:val="clear" w:color="auto" w:fill="D9D9D9" w:themeFill="background1" w:themeFillShade="D9"/>
            <w:vAlign w:val="center"/>
          </w:tcPr>
          <w:p w14:paraId="6A4A4F3A" w14:textId="77777777" w:rsidR="00E271B3" w:rsidRDefault="00E271B3" w:rsidP="0085508A">
            <w:pPr>
              <w:spacing w:before="60" w:after="60"/>
              <w:jc w:val="center"/>
              <w:rPr>
                <w:rFonts w:cs="Arial"/>
                <w:sz w:val="20"/>
                <w:szCs w:val="20"/>
              </w:rPr>
            </w:pPr>
            <w:r>
              <w:rPr>
                <w:rFonts w:cs="Arial"/>
                <w:sz w:val="20"/>
                <w:szCs w:val="20"/>
              </w:rPr>
              <w:t>Full Measure Cost</w:t>
            </w:r>
          </w:p>
          <w:p w14:paraId="3FCE5B5B" w14:textId="77777777" w:rsidR="00E271B3" w:rsidRDefault="00E271B3" w:rsidP="0085508A">
            <w:pPr>
              <w:spacing w:before="60" w:after="60"/>
              <w:jc w:val="center"/>
              <w:rPr>
                <w:rFonts w:cs="Arial"/>
                <w:sz w:val="20"/>
                <w:szCs w:val="20"/>
              </w:rPr>
            </w:pPr>
            <w:r>
              <w:rPr>
                <w:rFonts w:cs="Arial"/>
                <w:sz w:val="20"/>
                <w:szCs w:val="20"/>
              </w:rPr>
              <w:t>($/unit)</w:t>
            </w:r>
          </w:p>
        </w:tc>
        <w:tc>
          <w:tcPr>
            <w:tcW w:w="2340" w:type="dxa"/>
            <w:tcBorders>
              <w:bottom w:val="single" w:sz="4" w:space="0" w:color="auto"/>
            </w:tcBorders>
            <w:shd w:val="clear" w:color="auto" w:fill="D9D9D9" w:themeFill="background1" w:themeFillShade="D9"/>
            <w:vAlign w:val="center"/>
          </w:tcPr>
          <w:p w14:paraId="6A93927D" w14:textId="77777777" w:rsidR="00E271B3" w:rsidRDefault="00E271B3" w:rsidP="0085508A">
            <w:pPr>
              <w:spacing w:before="60" w:after="60"/>
              <w:jc w:val="center"/>
              <w:rPr>
                <w:rFonts w:cs="Arial"/>
                <w:sz w:val="20"/>
                <w:szCs w:val="20"/>
              </w:rPr>
            </w:pPr>
            <w:r>
              <w:rPr>
                <w:rFonts w:cs="Arial"/>
                <w:sz w:val="20"/>
                <w:szCs w:val="20"/>
              </w:rPr>
              <w:t xml:space="preserve">Full Base Cost </w:t>
            </w:r>
          </w:p>
          <w:p w14:paraId="3A67BCD9" w14:textId="77777777" w:rsidR="00E271B3" w:rsidRDefault="00E271B3" w:rsidP="0085508A">
            <w:pPr>
              <w:spacing w:before="60" w:after="60"/>
              <w:jc w:val="center"/>
              <w:rPr>
                <w:rFonts w:cs="Arial"/>
                <w:sz w:val="20"/>
                <w:szCs w:val="20"/>
              </w:rPr>
            </w:pPr>
            <w:r>
              <w:rPr>
                <w:rFonts w:cs="Arial"/>
                <w:sz w:val="20"/>
                <w:szCs w:val="20"/>
              </w:rPr>
              <w:t>(2</w:t>
            </w:r>
            <w:r w:rsidRPr="002C408C">
              <w:rPr>
                <w:rFonts w:cs="Arial"/>
                <w:sz w:val="20"/>
                <w:szCs w:val="20"/>
                <w:vertAlign w:val="superscript"/>
              </w:rPr>
              <w:t>nd</w:t>
            </w:r>
            <w:r>
              <w:rPr>
                <w:rFonts w:cs="Arial"/>
                <w:sz w:val="20"/>
                <w:szCs w:val="20"/>
              </w:rPr>
              <w:t xml:space="preserve"> Baseline)</w:t>
            </w:r>
          </w:p>
          <w:p w14:paraId="38C498D7" w14:textId="77777777" w:rsidR="00E271B3" w:rsidRDefault="00E271B3" w:rsidP="0085508A">
            <w:pPr>
              <w:spacing w:before="60" w:after="60"/>
              <w:jc w:val="center"/>
              <w:rPr>
                <w:rFonts w:cs="Arial"/>
                <w:sz w:val="20"/>
                <w:szCs w:val="20"/>
              </w:rPr>
            </w:pPr>
            <w:r>
              <w:rPr>
                <w:rFonts w:cs="Arial"/>
                <w:sz w:val="20"/>
                <w:szCs w:val="20"/>
              </w:rPr>
              <w:t>($/unit)</w:t>
            </w:r>
          </w:p>
        </w:tc>
      </w:tr>
      <w:tr w:rsidR="00E271B3" w:rsidRPr="00817D29" w14:paraId="4C2A7DD1" w14:textId="77777777" w:rsidTr="0085508A">
        <w:trPr>
          <w:trHeight w:val="255"/>
        </w:trPr>
        <w:tc>
          <w:tcPr>
            <w:tcW w:w="1525" w:type="dxa"/>
            <w:shd w:val="clear" w:color="auto" w:fill="auto"/>
            <w:noWrap/>
            <w:vAlign w:val="center"/>
          </w:tcPr>
          <w:p w14:paraId="471D17F1" w14:textId="00DE5BBA" w:rsidR="00E271B3" w:rsidRPr="00817D29" w:rsidRDefault="00E271B3" w:rsidP="0085508A">
            <w:pPr>
              <w:spacing w:before="60" w:after="60"/>
              <w:jc w:val="center"/>
              <w:rPr>
                <w:rFonts w:cs="Arial"/>
                <w:sz w:val="20"/>
                <w:szCs w:val="20"/>
              </w:rPr>
            </w:pPr>
            <w:r>
              <w:rPr>
                <w:rFonts w:cs="Arial"/>
                <w:sz w:val="20"/>
                <w:szCs w:val="20"/>
              </w:rPr>
              <w:t>ROB</w:t>
            </w:r>
            <w:r w:rsidR="00A54B8A">
              <w:rPr>
                <w:rFonts w:cs="Arial"/>
                <w:sz w:val="20"/>
                <w:szCs w:val="20"/>
              </w:rPr>
              <w:t>/NEW</w:t>
            </w:r>
          </w:p>
        </w:tc>
        <w:tc>
          <w:tcPr>
            <w:tcW w:w="2880" w:type="dxa"/>
            <w:tcBorders>
              <w:bottom w:val="single" w:sz="4" w:space="0" w:color="auto"/>
            </w:tcBorders>
            <w:shd w:val="clear" w:color="auto" w:fill="auto"/>
            <w:vAlign w:val="center"/>
          </w:tcPr>
          <w:p w14:paraId="3B869F4D" w14:textId="577A44DA" w:rsidR="00E271B3" w:rsidRDefault="00E271B3" w:rsidP="0085508A">
            <w:pPr>
              <w:spacing w:before="60" w:after="60"/>
              <w:jc w:val="center"/>
              <w:rPr>
                <w:rFonts w:cs="Arial"/>
                <w:sz w:val="20"/>
                <w:szCs w:val="20"/>
              </w:rPr>
            </w:pPr>
          </w:p>
        </w:tc>
        <w:tc>
          <w:tcPr>
            <w:tcW w:w="2430" w:type="dxa"/>
            <w:shd w:val="thinDiagStripe" w:color="BFBFBF" w:themeColor="background1" w:themeShade="BF" w:fill="auto"/>
            <w:vAlign w:val="center"/>
          </w:tcPr>
          <w:p w14:paraId="369A1282" w14:textId="77777777" w:rsidR="00E271B3" w:rsidRDefault="00E271B3" w:rsidP="0085508A">
            <w:pPr>
              <w:spacing w:before="60" w:after="60"/>
              <w:jc w:val="center"/>
              <w:rPr>
                <w:rFonts w:cs="Arial"/>
                <w:sz w:val="20"/>
                <w:szCs w:val="20"/>
              </w:rPr>
            </w:pPr>
            <w:r>
              <w:rPr>
                <w:rFonts w:cs="Arial"/>
                <w:sz w:val="20"/>
                <w:szCs w:val="20"/>
              </w:rPr>
              <w:t>N/A</w:t>
            </w:r>
          </w:p>
        </w:tc>
        <w:tc>
          <w:tcPr>
            <w:tcW w:w="2340" w:type="dxa"/>
            <w:shd w:val="thinDiagStripe" w:color="BFBFBF" w:themeColor="background1" w:themeShade="BF" w:fill="auto"/>
            <w:vAlign w:val="center"/>
          </w:tcPr>
          <w:p w14:paraId="4FC4CE48" w14:textId="77777777" w:rsidR="00E271B3" w:rsidRDefault="00E271B3" w:rsidP="0085508A">
            <w:pPr>
              <w:spacing w:before="60" w:after="60"/>
              <w:jc w:val="center"/>
              <w:rPr>
                <w:rFonts w:cs="Arial"/>
                <w:sz w:val="20"/>
                <w:szCs w:val="20"/>
              </w:rPr>
            </w:pPr>
            <w:r>
              <w:rPr>
                <w:rFonts w:cs="Arial"/>
                <w:sz w:val="20"/>
                <w:szCs w:val="20"/>
              </w:rPr>
              <w:t>N/A</w:t>
            </w:r>
          </w:p>
        </w:tc>
      </w:tr>
      <w:tr w:rsidR="00E271B3" w:rsidRPr="00817D29" w14:paraId="02FDA39C" w14:textId="77777777" w:rsidTr="00A54B8A">
        <w:trPr>
          <w:trHeight w:val="255"/>
        </w:trPr>
        <w:tc>
          <w:tcPr>
            <w:tcW w:w="1525" w:type="dxa"/>
            <w:shd w:val="clear" w:color="auto" w:fill="auto"/>
            <w:noWrap/>
            <w:vAlign w:val="center"/>
          </w:tcPr>
          <w:p w14:paraId="152996B7" w14:textId="77777777" w:rsidR="00E271B3" w:rsidRPr="00817D29" w:rsidRDefault="00E271B3" w:rsidP="0085508A">
            <w:pPr>
              <w:spacing w:before="60" w:after="60"/>
              <w:jc w:val="center"/>
              <w:rPr>
                <w:rFonts w:cs="Arial"/>
                <w:sz w:val="20"/>
                <w:szCs w:val="20"/>
              </w:rPr>
            </w:pPr>
            <w:r>
              <w:rPr>
                <w:rFonts w:cs="Arial"/>
                <w:sz w:val="20"/>
                <w:szCs w:val="20"/>
              </w:rPr>
              <w:t>ER</w:t>
            </w:r>
          </w:p>
        </w:tc>
        <w:tc>
          <w:tcPr>
            <w:tcW w:w="2880" w:type="dxa"/>
            <w:shd w:val="thinDiagStripe" w:color="BFBFBF" w:themeColor="background1" w:themeShade="BF" w:fill="auto"/>
            <w:vAlign w:val="center"/>
          </w:tcPr>
          <w:p w14:paraId="7787B182" w14:textId="77777777" w:rsidR="00E271B3" w:rsidRDefault="00E271B3" w:rsidP="0085508A">
            <w:pPr>
              <w:spacing w:before="60" w:after="60"/>
              <w:jc w:val="center"/>
              <w:rPr>
                <w:rFonts w:cs="Arial"/>
                <w:sz w:val="20"/>
                <w:szCs w:val="20"/>
              </w:rPr>
            </w:pPr>
            <w:r>
              <w:rPr>
                <w:rFonts w:cs="Arial"/>
                <w:sz w:val="20"/>
                <w:szCs w:val="20"/>
              </w:rPr>
              <w:t>N/A</w:t>
            </w:r>
          </w:p>
        </w:tc>
        <w:tc>
          <w:tcPr>
            <w:tcW w:w="2430" w:type="dxa"/>
            <w:shd w:val="clear" w:color="auto" w:fill="auto"/>
            <w:vAlign w:val="center"/>
          </w:tcPr>
          <w:p w14:paraId="5F8268C6" w14:textId="6E93F3E5" w:rsidR="00E271B3" w:rsidRDefault="00E271B3" w:rsidP="0085508A">
            <w:pPr>
              <w:spacing w:before="60" w:after="60"/>
              <w:jc w:val="center"/>
              <w:rPr>
                <w:rFonts w:cs="Arial"/>
                <w:sz w:val="20"/>
                <w:szCs w:val="20"/>
              </w:rPr>
            </w:pPr>
          </w:p>
        </w:tc>
        <w:tc>
          <w:tcPr>
            <w:tcW w:w="2340" w:type="dxa"/>
            <w:shd w:val="clear" w:color="auto" w:fill="auto"/>
            <w:vAlign w:val="center"/>
          </w:tcPr>
          <w:p w14:paraId="27FBD3EB" w14:textId="08B04D59" w:rsidR="00E271B3" w:rsidRDefault="00E271B3" w:rsidP="0085508A">
            <w:pPr>
              <w:spacing w:before="60" w:after="60"/>
              <w:jc w:val="center"/>
              <w:rPr>
                <w:rFonts w:cs="Arial"/>
                <w:sz w:val="20"/>
                <w:szCs w:val="20"/>
              </w:rPr>
            </w:pPr>
          </w:p>
        </w:tc>
      </w:tr>
      <w:tr w:rsidR="00A54B8A" w:rsidRPr="00817D29" w14:paraId="6F385C52" w14:textId="77777777" w:rsidTr="00A54B8A">
        <w:trPr>
          <w:trHeight w:val="255"/>
        </w:trPr>
        <w:tc>
          <w:tcPr>
            <w:tcW w:w="1525" w:type="dxa"/>
            <w:shd w:val="clear" w:color="auto" w:fill="auto"/>
            <w:noWrap/>
            <w:vAlign w:val="center"/>
          </w:tcPr>
          <w:p w14:paraId="2B2A2B54" w14:textId="603AA19C" w:rsidR="00A54B8A" w:rsidRDefault="00A54B8A" w:rsidP="0085508A">
            <w:pPr>
              <w:spacing w:before="60" w:after="60"/>
              <w:jc w:val="center"/>
              <w:rPr>
                <w:rFonts w:cs="Arial"/>
                <w:sz w:val="20"/>
                <w:szCs w:val="20"/>
              </w:rPr>
            </w:pPr>
            <w:r>
              <w:rPr>
                <w:rFonts w:cs="Arial"/>
                <w:sz w:val="20"/>
                <w:szCs w:val="20"/>
              </w:rPr>
              <w:t>REA</w:t>
            </w:r>
          </w:p>
        </w:tc>
        <w:tc>
          <w:tcPr>
            <w:tcW w:w="2880" w:type="dxa"/>
            <w:shd w:val="thinDiagStripe" w:color="BFBFBF" w:themeColor="background1" w:themeShade="BF" w:fill="auto"/>
            <w:vAlign w:val="center"/>
          </w:tcPr>
          <w:p w14:paraId="0BCD0DDC" w14:textId="56A390E6" w:rsidR="00A54B8A" w:rsidRDefault="00A54B8A" w:rsidP="0085508A">
            <w:pPr>
              <w:spacing w:before="60" w:after="60"/>
              <w:jc w:val="center"/>
              <w:rPr>
                <w:rFonts w:cs="Arial"/>
                <w:sz w:val="20"/>
                <w:szCs w:val="20"/>
              </w:rPr>
            </w:pPr>
            <w:r>
              <w:rPr>
                <w:rFonts w:cs="Arial"/>
                <w:sz w:val="20"/>
                <w:szCs w:val="20"/>
              </w:rPr>
              <w:t>N/A</w:t>
            </w:r>
          </w:p>
        </w:tc>
        <w:tc>
          <w:tcPr>
            <w:tcW w:w="2430" w:type="dxa"/>
            <w:tcBorders>
              <w:bottom w:val="single" w:sz="4" w:space="0" w:color="auto"/>
            </w:tcBorders>
            <w:shd w:val="clear" w:color="auto" w:fill="auto"/>
            <w:vAlign w:val="center"/>
          </w:tcPr>
          <w:p w14:paraId="54996A51" w14:textId="77777777" w:rsidR="00A54B8A" w:rsidRDefault="00A54B8A" w:rsidP="0085508A">
            <w:pPr>
              <w:spacing w:before="60" w:after="60"/>
              <w:jc w:val="center"/>
              <w:rPr>
                <w:rFonts w:cs="Arial"/>
                <w:sz w:val="20"/>
                <w:szCs w:val="20"/>
              </w:rPr>
            </w:pPr>
          </w:p>
        </w:tc>
        <w:tc>
          <w:tcPr>
            <w:tcW w:w="2340" w:type="dxa"/>
            <w:tcBorders>
              <w:bottom w:val="single" w:sz="4" w:space="0" w:color="auto"/>
            </w:tcBorders>
            <w:shd w:val="thinDiagStripe" w:color="BFBFBF" w:themeColor="background1" w:themeShade="BF" w:fill="auto"/>
            <w:vAlign w:val="center"/>
          </w:tcPr>
          <w:p w14:paraId="1C908483" w14:textId="6B0C6C4C" w:rsidR="00A54B8A" w:rsidRDefault="00A54B8A" w:rsidP="0085508A">
            <w:pPr>
              <w:spacing w:before="60" w:after="60"/>
              <w:jc w:val="center"/>
              <w:rPr>
                <w:rFonts w:cs="Arial"/>
                <w:sz w:val="20"/>
                <w:szCs w:val="20"/>
              </w:rPr>
            </w:pPr>
            <w:r>
              <w:rPr>
                <w:rFonts w:cs="Arial"/>
                <w:sz w:val="20"/>
                <w:szCs w:val="20"/>
              </w:rPr>
              <w:t>N/A</w:t>
            </w:r>
          </w:p>
        </w:tc>
      </w:tr>
    </w:tbl>
    <w:p w14:paraId="6AA8E126" w14:textId="77777777" w:rsidR="00E271B3" w:rsidRPr="00E271B3" w:rsidRDefault="00E271B3" w:rsidP="00E271B3"/>
    <w:p w14:paraId="23A44BA5" w14:textId="77777777" w:rsidR="00E271B3" w:rsidRDefault="00E271B3">
      <w:pPr>
        <w:rPr>
          <w:rFonts w:cs="Arial"/>
          <w:b/>
          <w:bCs/>
          <w:kern w:val="32"/>
          <w:sz w:val="32"/>
          <w:szCs w:val="32"/>
        </w:rPr>
      </w:pPr>
      <w:r>
        <w:br w:type="page"/>
      </w:r>
    </w:p>
    <w:p w14:paraId="393A11B4" w14:textId="5456DE8B" w:rsidR="0030080B" w:rsidRPr="002A750B" w:rsidRDefault="00A037B0" w:rsidP="00276CD0">
      <w:pPr>
        <w:pStyle w:val="Heading1"/>
        <w:rPr>
          <w:sz w:val="20"/>
          <w:szCs w:val="20"/>
        </w:rPr>
      </w:pPr>
      <w:bookmarkStart w:id="102" w:name="_Toc385593003"/>
      <w:r w:rsidRPr="00276CD0">
        <w:lastRenderedPageBreak/>
        <w:t>Appendi</w:t>
      </w:r>
      <w:r w:rsidR="00C17DDD">
        <w:t>x 1</w:t>
      </w:r>
      <w:r w:rsidR="00960D9F">
        <w:t xml:space="preserve"> -</w:t>
      </w:r>
      <w:r w:rsidR="00C17DDD">
        <w:t xml:space="preserve"> Supplemental Files</w:t>
      </w:r>
      <w:bookmarkEnd w:id="102"/>
    </w:p>
    <w:p w14:paraId="737C7DF0" w14:textId="6FB14189" w:rsidR="00A037B0" w:rsidRDefault="00A037B0" w:rsidP="00A037B0"/>
    <w:p w14:paraId="393A11B5" w14:textId="7E2C13E2" w:rsidR="00F52572" w:rsidRPr="00F52572" w:rsidRDefault="00F52572" w:rsidP="00F52572"/>
    <w:bookmarkStart w:id="103" w:name="_Toc324318383"/>
    <w:bookmarkStart w:id="104" w:name="_Toc324340513"/>
    <w:bookmarkStart w:id="105" w:name="_Toc304800222"/>
    <w:bookmarkEnd w:id="99"/>
    <w:bookmarkEnd w:id="100"/>
    <w:bookmarkEnd w:id="101"/>
    <w:bookmarkStart w:id="106" w:name="_MON_1490607687"/>
    <w:bookmarkEnd w:id="106"/>
    <w:p w14:paraId="783E3C0B" w14:textId="77777777" w:rsidR="00C17DDD" w:rsidRDefault="00EF3A4A">
      <w:r>
        <w:object w:dxaOrig="2040" w:dyaOrig="1320" w14:anchorId="0CD208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6pt" o:ole="">
            <v:imagedata r:id="rId27" o:title=""/>
          </v:shape>
          <o:OLEObject Type="Embed" ProgID="Excel.Sheet.12" ShapeID="_x0000_i1025" DrawAspect="Icon" ObjectID="_1490636901" r:id="rId28"/>
        </w:object>
      </w:r>
      <w:r w:rsidR="00C17DDD">
        <w:br w:type="page"/>
      </w:r>
    </w:p>
    <w:p w14:paraId="40F2DB65" w14:textId="66781876" w:rsidR="00B20507" w:rsidRPr="002A750B" w:rsidRDefault="00B20507" w:rsidP="00B20507">
      <w:pPr>
        <w:pStyle w:val="Heading1"/>
        <w:rPr>
          <w:sz w:val="20"/>
          <w:szCs w:val="20"/>
        </w:rPr>
      </w:pPr>
      <w:bookmarkStart w:id="107" w:name="_Toc385593004"/>
      <w:r w:rsidRPr="00276CD0">
        <w:lastRenderedPageBreak/>
        <w:t>Appendi</w:t>
      </w:r>
      <w:r>
        <w:t>x 2 – Commission Staff Comments / Review</w:t>
      </w:r>
    </w:p>
    <w:p w14:paraId="30C324A4" w14:textId="77777777" w:rsidR="00B20507" w:rsidRDefault="00B20507" w:rsidP="00B20507">
      <w:pPr>
        <w:rPr>
          <w:color w:val="FF0000"/>
          <w:sz w:val="20"/>
          <w:szCs w:val="20"/>
        </w:rPr>
      </w:pPr>
    </w:p>
    <w:p w14:paraId="06DEE9FC" w14:textId="62955CCC" w:rsidR="00B20507" w:rsidRPr="00901F81" w:rsidRDefault="00B20507" w:rsidP="00B20507">
      <w:pPr>
        <w:rPr>
          <w:color w:val="FF0000"/>
          <w:sz w:val="20"/>
          <w:szCs w:val="20"/>
        </w:rPr>
      </w:pPr>
      <w:r>
        <w:rPr>
          <w:color w:val="FF0000"/>
          <w:sz w:val="20"/>
          <w:szCs w:val="20"/>
        </w:rPr>
        <w:t>Include embedded file(s) with Commission staff feedback.</w:t>
      </w:r>
    </w:p>
    <w:p w14:paraId="6C16C790" w14:textId="77777777" w:rsidR="00B20507" w:rsidRDefault="00B20507">
      <w:pPr>
        <w:rPr>
          <w:rFonts w:cs="Arial"/>
          <w:b/>
          <w:bCs/>
          <w:kern w:val="32"/>
          <w:sz w:val="32"/>
          <w:szCs w:val="32"/>
        </w:rPr>
      </w:pPr>
      <w:r>
        <w:br w:type="page"/>
      </w:r>
    </w:p>
    <w:p w14:paraId="06926E02" w14:textId="40A4E1ED" w:rsidR="00C17DDD" w:rsidRPr="002A750B" w:rsidRDefault="00C17DDD" w:rsidP="00C17DDD">
      <w:pPr>
        <w:pStyle w:val="Heading1"/>
        <w:rPr>
          <w:sz w:val="20"/>
          <w:szCs w:val="20"/>
        </w:rPr>
      </w:pPr>
      <w:r w:rsidRPr="00276CD0">
        <w:lastRenderedPageBreak/>
        <w:t>Appendi</w:t>
      </w:r>
      <w:r w:rsidR="00B20507">
        <w:t>x 3</w:t>
      </w:r>
      <w:r w:rsidR="00960D9F">
        <w:t xml:space="preserve"> - </w:t>
      </w:r>
      <w:r w:rsidR="006B33C5">
        <w:t>Measure Application Type</w:t>
      </w:r>
      <w:r w:rsidR="00960D9F">
        <w:t xml:space="preserve"> Definitions</w:t>
      </w:r>
      <w:bookmarkEnd w:id="107"/>
    </w:p>
    <w:p w14:paraId="2912694A" w14:textId="77777777" w:rsidR="006B33C5" w:rsidRDefault="006B33C5" w:rsidP="006B33C5">
      <w:pPr>
        <w:rPr>
          <w:rFonts w:cs="Arial"/>
          <w:sz w:val="20"/>
          <w:szCs w:val="20"/>
        </w:rPr>
      </w:pPr>
    </w:p>
    <w:p w14:paraId="365172B7" w14:textId="184F1F82" w:rsidR="006B33C5" w:rsidRPr="001D4579" w:rsidRDefault="006B33C5" w:rsidP="006B33C5">
      <w:pPr>
        <w:rPr>
          <w:rFonts w:cs="Arial"/>
          <w:sz w:val="20"/>
          <w:szCs w:val="20"/>
        </w:rPr>
      </w:pPr>
      <w:r w:rsidRPr="001D4579">
        <w:rPr>
          <w:rFonts w:cs="Arial"/>
          <w:sz w:val="20"/>
          <w:szCs w:val="20"/>
        </w:rPr>
        <w:t xml:space="preserve">The DEER Measure Cost Data Users Guide found on </w:t>
      </w:r>
      <w:hyperlink r:id="rId29" w:history="1">
        <w:r w:rsidRPr="001D4579">
          <w:rPr>
            <w:rStyle w:val="Hyperlink"/>
            <w:rFonts w:cs="Arial"/>
            <w:sz w:val="20"/>
            <w:szCs w:val="20"/>
          </w:rPr>
          <w:t>www.deeresources.com</w:t>
        </w:r>
      </w:hyperlink>
      <w:r w:rsidRPr="001D4579">
        <w:rPr>
          <w:rFonts w:cs="Arial"/>
          <w:sz w:val="20"/>
          <w:szCs w:val="20"/>
        </w:rPr>
        <w:t xml:space="preserve"> under </w:t>
      </w:r>
      <w:r w:rsidRPr="001D4579">
        <w:rPr>
          <w:rFonts w:cs="Arial"/>
          <w:i/>
          <w:sz w:val="20"/>
          <w:szCs w:val="20"/>
        </w:rPr>
        <w:t>DEER2011 Database Format</w:t>
      </w:r>
      <w:r w:rsidRPr="001D4579">
        <w:rPr>
          <w:rFonts w:cs="Arial"/>
          <w:sz w:val="20"/>
          <w:szCs w:val="20"/>
        </w:rPr>
        <w:t xml:space="preserve"> hyperlink, </w:t>
      </w:r>
      <w:r w:rsidRPr="001D4579">
        <w:rPr>
          <w:rStyle w:val="breadcrumbs"/>
          <w:rFonts w:cs="Arial"/>
          <w:color w:val="333333"/>
          <w:sz w:val="19"/>
          <w:szCs w:val="19"/>
          <w:lang w:val="en-GB"/>
        </w:rPr>
        <w:t>DEER2011 for 13-14</w:t>
      </w:r>
      <w:r w:rsidRPr="001D4579">
        <w:rPr>
          <w:rFonts w:cs="Arial"/>
          <w:color w:val="333333"/>
          <w:sz w:val="19"/>
          <w:szCs w:val="19"/>
          <w:lang w:val="en-GB"/>
        </w:rPr>
        <w:t>,</w:t>
      </w:r>
      <w:r w:rsidRPr="001D4579">
        <w:rPr>
          <w:rFonts w:cs="Arial"/>
          <w:sz w:val="20"/>
          <w:szCs w:val="20"/>
        </w:rPr>
        <w:t xml:space="preserve"> spreadsheet </w:t>
      </w:r>
      <w:r w:rsidRPr="001D4579">
        <w:rPr>
          <w:rFonts w:cs="Arial"/>
          <w:i/>
          <w:sz w:val="20"/>
          <w:szCs w:val="20"/>
        </w:rPr>
        <w:t>SPTdata_format-V0.97.xls</w:t>
      </w:r>
      <w:r w:rsidRPr="001D4579">
        <w:rPr>
          <w:rFonts w:cs="Arial"/>
          <w:sz w:val="20"/>
          <w:szCs w:val="20"/>
        </w:rPr>
        <w:t>, defines the</w:t>
      </w:r>
      <w:r>
        <w:rPr>
          <w:rFonts w:cs="Arial"/>
          <w:sz w:val="20"/>
          <w:szCs w:val="20"/>
        </w:rPr>
        <w:t xml:space="preserve"> measure application type</w:t>
      </w:r>
      <w:r w:rsidRPr="001D4579">
        <w:rPr>
          <w:rFonts w:cs="Arial"/>
          <w:sz w:val="20"/>
          <w:szCs w:val="20"/>
        </w:rPr>
        <w:t xml:space="preserve"> terms as follows:</w:t>
      </w:r>
    </w:p>
    <w:p w14:paraId="6DAA9E09" w14:textId="77777777" w:rsidR="006B33C5" w:rsidRPr="001D4579" w:rsidRDefault="006B33C5" w:rsidP="006B33C5">
      <w:pPr>
        <w:rPr>
          <w:rFonts w:cs="Arial"/>
          <w:i/>
        </w:rPr>
      </w:pPr>
    </w:p>
    <w:p w14:paraId="457DAB04" w14:textId="22020606" w:rsidR="006B33C5" w:rsidRPr="00E8670C" w:rsidRDefault="006B33C5" w:rsidP="006162E0">
      <w:pPr>
        <w:pStyle w:val="Caption"/>
        <w:keepNext/>
        <w:spacing w:before="60" w:after="60"/>
        <w:rPr>
          <w:rFonts w:cs="Arial"/>
          <w:b w:val="0"/>
        </w:rPr>
      </w:pPr>
      <w:bookmarkStart w:id="108" w:name="RANGE!B222"/>
      <w:r w:rsidRPr="00E8670C">
        <w:rPr>
          <w:rFonts w:cs="Arial"/>
          <w:b w:val="0"/>
        </w:rPr>
        <w:t>Measure Application Type</w:t>
      </w:r>
      <w:bookmarkEnd w:id="108"/>
    </w:p>
    <w:tbl>
      <w:tblPr>
        <w:tblW w:w="9090" w:type="dxa"/>
        <w:tblInd w:w="-5" w:type="dxa"/>
        <w:tblLook w:val="04A0" w:firstRow="1" w:lastRow="0" w:firstColumn="1" w:lastColumn="0" w:noHBand="0" w:noVBand="1"/>
      </w:tblPr>
      <w:tblGrid>
        <w:gridCol w:w="900"/>
        <w:gridCol w:w="2610"/>
        <w:gridCol w:w="5580"/>
      </w:tblGrid>
      <w:tr w:rsidR="006B33C5" w:rsidRPr="00E8670C" w14:paraId="428D3584" w14:textId="77777777" w:rsidTr="007C506F">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B220B77" w14:textId="77777777" w:rsidR="006B33C5" w:rsidRPr="00E8670C" w:rsidRDefault="006B33C5" w:rsidP="006162E0">
            <w:pPr>
              <w:keepNext/>
              <w:spacing w:before="60" w:after="60"/>
              <w:jc w:val="center"/>
              <w:rPr>
                <w:rFonts w:cs="Arial"/>
                <w:color w:val="000000"/>
                <w:sz w:val="20"/>
                <w:szCs w:val="20"/>
              </w:rPr>
            </w:pPr>
            <w:r w:rsidRPr="00E8670C">
              <w:rPr>
                <w:rFonts w:cs="Arial"/>
                <w:color w:val="000000"/>
                <w:sz w:val="20"/>
                <w:szCs w:val="20"/>
              </w:rPr>
              <w:t>Code</w:t>
            </w:r>
          </w:p>
        </w:tc>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41ECD64" w14:textId="77777777" w:rsidR="006B33C5" w:rsidRPr="00E8670C" w:rsidRDefault="006B33C5" w:rsidP="006162E0">
            <w:pPr>
              <w:keepNext/>
              <w:spacing w:before="60" w:after="60"/>
              <w:jc w:val="center"/>
              <w:rPr>
                <w:rFonts w:cs="Arial"/>
                <w:color w:val="000000"/>
                <w:sz w:val="20"/>
                <w:szCs w:val="20"/>
              </w:rPr>
            </w:pPr>
            <w:r w:rsidRPr="00E8670C">
              <w:rPr>
                <w:rFonts w:cs="Arial"/>
                <w:color w:val="000000"/>
                <w:sz w:val="20"/>
                <w:szCs w:val="20"/>
              </w:rPr>
              <w:t>Description</w:t>
            </w:r>
          </w:p>
        </w:tc>
        <w:tc>
          <w:tcPr>
            <w:tcW w:w="5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CBA4F9D" w14:textId="77777777" w:rsidR="006B33C5" w:rsidRPr="00E8670C" w:rsidRDefault="006B33C5" w:rsidP="006162E0">
            <w:pPr>
              <w:keepNext/>
              <w:spacing w:before="60" w:after="60"/>
              <w:jc w:val="center"/>
              <w:rPr>
                <w:rFonts w:cs="Arial"/>
                <w:color w:val="000000"/>
                <w:sz w:val="20"/>
                <w:szCs w:val="20"/>
              </w:rPr>
            </w:pPr>
            <w:r w:rsidRPr="00E8670C">
              <w:rPr>
                <w:rFonts w:cs="Arial"/>
                <w:color w:val="000000"/>
                <w:sz w:val="20"/>
                <w:szCs w:val="20"/>
              </w:rPr>
              <w:t>Comment</w:t>
            </w:r>
          </w:p>
        </w:tc>
      </w:tr>
      <w:tr w:rsidR="006B33C5" w:rsidRPr="00E8670C" w14:paraId="449A6540" w14:textId="77777777" w:rsidTr="00162B2C">
        <w:trPr>
          <w:trHeight w:val="6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AEFFB" w14:textId="77777777" w:rsidR="006B33C5" w:rsidRPr="00E8670C" w:rsidRDefault="006B33C5" w:rsidP="00162B2C">
            <w:pPr>
              <w:keepNext/>
              <w:spacing w:before="60" w:after="60"/>
              <w:jc w:val="center"/>
              <w:rPr>
                <w:rFonts w:cs="Arial"/>
                <w:sz w:val="20"/>
                <w:szCs w:val="20"/>
              </w:rPr>
            </w:pPr>
            <w:r w:rsidRPr="00E8670C">
              <w:rPr>
                <w:rFonts w:cs="Arial"/>
                <w:sz w:val="20"/>
                <w:szCs w:val="20"/>
              </w:rPr>
              <w:t>ER</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540A8" w14:textId="77777777" w:rsidR="006B33C5" w:rsidRPr="00E8670C" w:rsidRDefault="006B33C5" w:rsidP="00162B2C">
            <w:pPr>
              <w:keepNext/>
              <w:spacing w:before="60" w:after="60"/>
              <w:jc w:val="center"/>
              <w:rPr>
                <w:rFonts w:cs="Arial"/>
                <w:sz w:val="20"/>
                <w:szCs w:val="20"/>
              </w:rPr>
            </w:pPr>
            <w:r w:rsidRPr="00E8670C">
              <w:rPr>
                <w:rFonts w:cs="Arial"/>
                <w:sz w:val="20"/>
                <w:szCs w:val="20"/>
              </w:rPr>
              <w:t>Early retirement</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E4A05" w14:textId="60F0DAFD" w:rsidR="006B33C5" w:rsidRPr="00E8670C" w:rsidRDefault="00E8670C" w:rsidP="006162E0">
            <w:pPr>
              <w:keepNext/>
              <w:spacing w:before="60" w:after="60"/>
              <w:rPr>
                <w:rFonts w:cs="Arial"/>
                <w:iCs/>
                <w:sz w:val="20"/>
                <w:szCs w:val="20"/>
              </w:rPr>
            </w:pPr>
            <w:r w:rsidRPr="00E8670C">
              <w:rPr>
                <w:rFonts w:cs="Arial"/>
                <w:iCs/>
                <w:sz w:val="20"/>
                <w:szCs w:val="20"/>
              </w:rPr>
              <w:t>M</w:t>
            </w:r>
            <w:r w:rsidR="006B33C5" w:rsidRPr="00E8670C">
              <w:rPr>
                <w:rFonts w:cs="Arial"/>
                <w:iCs/>
                <w:sz w:val="20"/>
                <w:szCs w:val="20"/>
              </w:rPr>
              <w:t>easure applied while existing equipment still viable, or retrofit of existing equipment</w:t>
            </w:r>
          </w:p>
        </w:tc>
      </w:tr>
      <w:tr w:rsidR="00A54B8A" w:rsidRPr="00E8670C" w14:paraId="313D9251" w14:textId="77777777" w:rsidTr="00E73C76">
        <w:trPr>
          <w:trHeight w:val="6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59CCA" w14:textId="77777777" w:rsidR="00A54B8A" w:rsidRPr="00E8670C" w:rsidRDefault="00A54B8A" w:rsidP="00E73C76">
            <w:pPr>
              <w:spacing w:before="60" w:after="60"/>
              <w:jc w:val="center"/>
              <w:rPr>
                <w:rFonts w:cs="Arial"/>
                <w:sz w:val="20"/>
                <w:szCs w:val="20"/>
              </w:rPr>
            </w:pPr>
            <w:r>
              <w:rPr>
                <w:rFonts w:cs="Arial"/>
                <w:sz w:val="20"/>
                <w:szCs w:val="20"/>
              </w:rPr>
              <w:t>EAR</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CAB3B" w14:textId="77777777" w:rsidR="00A54B8A" w:rsidRPr="00E8670C" w:rsidRDefault="00A54B8A" w:rsidP="00E73C76">
            <w:pPr>
              <w:spacing w:before="60" w:after="60"/>
              <w:jc w:val="center"/>
              <w:rPr>
                <w:rFonts w:cs="Arial"/>
                <w:sz w:val="20"/>
                <w:szCs w:val="20"/>
              </w:rPr>
            </w:pPr>
            <w:r>
              <w:rPr>
                <w:rFonts w:cs="Arial"/>
                <w:sz w:val="20"/>
                <w:szCs w:val="20"/>
              </w:rPr>
              <w:t>Retrofit Add-on</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3851B29A" w14:textId="77777777" w:rsidR="00A54B8A" w:rsidRPr="00E8670C" w:rsidRDefault="00A54B8A" w:rsidP="00E73C76">
            <w:pPr>
              <w:spacing w:before="60" w:after="60"/>
              <w:rPr>
                <w:rFonts w:cs="Arial"/>
                <w:iCs/>
                <w:sz w:val="20"/>
                <w:szCs w:val="20"/>
              </w:rPr>
            </w:pPr>
            <w:r>
              <w:rPr>
                <w:rFonts w:cs="Arial"/>
                <w:iCs/>
                <w:sz w:val="20"/>
                <w:szCs w:val="20"/>
              </w:rPr>
              <w:t>Retrofit to existing equipment without replacement</w:t>
            </w:r>
          </w:p>
        </w:tc>
      </w:tr>
      <w:tr w:rsidR="006B33C5" w:rsidRPr="00E8670C" w14:paraId="155E0F58" w14:textId="77777777" w:rsidTr="00162B2C">
        <w:trPr>
          <w:trHeight w:val="6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B345E" w14:textId="77777777" w:rsidR="006B33C5" w:rsidRPr="00E8670C" w:rsidRDefault="006B33C5" w:rsidP="00162B2C">
            <w:pPr>
              <w:keepNext/>
              <w:spacing w:before="60" w:after="60"/>
              <w:jc w:val="center"/>
              <w:rPr>
                <w:rFonts w:cs="Arial"/>
                <w:sz w:val="20"/>
                <w:szCs w:val="20"/>
              </w:rPr>
            </w:pPr>
            <w:r w:rsidRPr="00E8670C">
              <w:rPr>
                <w:rFonts w:cs="Arial"/>
                <w:sz w:val="20"/>
                <w:szCs w:val="20"/>
              </w:rPr>
              <w:t>ROB</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4FE78" w14:textId="77777777" w:rsidR="006B33C5" w:rsidRPr="00E8670C" w:rsidRDefault="006B33C5" w:rsidP="00162B2C">
            <w:pPr>
              <w:keepNext/>
              <w:spacing w:before="60" w:after="60"/>
              <w:jc w:val="center"/>
              <w:rPr>
                <w:rFonts w:cs="Arial"/>
                <w:sz w:val="20"/>
                <w:szCs w:val="20"/>
              </w:rPr>
            </w:pPr>
            <w:r w:rsidRPr="00E8670C">
              <w:rPr>
                <w:rFonts w:cs="Arial"/>
                <w:sz w:val="20"/>
                <w:szCs w:val="20"/>
              </w:rPr>
              <w:t>Replace on Burnout</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33967" w14:textId="1B40256A" w:rsidR="006B33C5" w:rsidRPr="00E8670C" w:rsidRDefault="00E8670C" w:rsidP="006162E0">
            <w:pPr>
              <w:keepNext/>
              <w:spacing w:before="60" w:after="60"/>
              <w:rPr>
                <w:rFonts w:cs="Arial"/>
                <w:iCs/>
                <w:sz w:val="20"/>
                <w:szCs w:val="20"/>
              </w:rPr>
            </w:pPr>
            <w:r w:rsidRPr="00E8670C">
              <w:rPr>
                <w:rFonts w:cs="Arial"/>
                <w:iCs/>
                <w:sz w:val="20"/>
                <w:szCs w:val="20"/>
              </w:rPr>
              <w:t>M</w:t>
            </w:r>
            <w:r w:rsidR="006B33C5" w:rsidRPr="00E8670C">
              <w:rPr>
                <w:rFonts w:cs="Arial"/>
                <w:iCs/>
                <w:sz w:val="20"/>
                <w:szCs w:val="20"/>
              </w:rPr>
              <w:t>easure applied when existing equipment fails or maintenance requires replacement</w:t>
            </w:r>
          </w:p>
        </w:tc>
      </w:tr>
      <w:tr w:rsidR="006B33C5" w:rsidRPr="00E8670C" w14:paraId="63DD40B6" w14:textId="77777777" w:rsidTr="00162B2C">
        <w:trPr>
          <w:trHeight w:val="6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F5E29" w14:textId="77777777" w:rsidR="006B33C5" w:rsidRPr="00E8670C" w:rsidRDefault="006B33C5" w:rsidP="00162B2C">
            <w:pPr>
              <w:spacing w:before="60" w:after="60"/>
              <w:jc w:val="center"/>
              <w:rPr>
                <w:rFonts w:cs="Arial"/>
                <w:sz w:val="20"/>
                <w:szCs w:val="20"/>
              </w:rPr>
            </w:pPr>
            <w:r w:rsidRPr="00E8670C">
              <w:rPr>
                <w:rFonts w:cs="Arial"/>
                <w:sz w:val="20"/>
                <w:szCs w:val="20"/>
              </w:rPr>
              <w:t>NC</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C37C4" w14:textId="77777777" w:rsidR="006B33C5" w:rsidRPr="00E8670C" w:rsidRDefault="006B33C5" w:rsidP="00162B2C">
            <w:pPr>
              <w:spacing w:before="60" w:after="60"/>
              <w:jc w:val="center"/>
              <w:rPr>
                <w:rFonts w:cs="Arial"/>
                <w:sz w:val="20"/>
                <w:szCs w:val="20"/>
              </w:rPr>
            </w:pPr>
            <w:r w:rsidRPr="00E8670C">
              <w:rPr>
                <w:rFonts w:cs="Arial"/>
                <w:sz w:val="20"/>
                <w:szCs w:val="20"/>
              </w:rPr>
              <w:t>New Construction</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4311F" w14:textId="0F831629" w:rsidR="006B33C5" w:rsidRPr="00E8670C" w:rsidRDefault="00E8670C" w:rsidP="006162E0">
            <w:pPr>
              <w:spacing w:before="60" w:after="60"/>
              <w:rPr>
                <w:rFonts w:cs="Arial"/>
                <w:iCs/>
                <w:sz w:val="20"/>
                <w:szCs w:val="20"/>
              </w:rPr>
            </w:pPr>
            <w:r w:rsidRPr="00E8670C">
              <w:rPr>
                <w:rFonts w:cs="Arial"/>
                <w:iCs/>
                <w:sz w:val="20"/>
                <w:szCs w:val="20"/>
              </w:rPr>
              <w:t>M</w:t>
            </w:r>
            <w:r w:rsidR="006B33C5" w:rsidRPr="00E8670C">
              <w:rPr>
                <w:rFonts w:cs="Arial"/>
                <w:iCs/>
                <w:sz w:val="20"/>
                <w:szCs w:val="20"/>
              </w:rPr>
              <w:t>easure applied during construction design phase as an alternative to a code-compliant standard design</w:t>
            </w:r>
          </w:p>
        </w:tc>
      </w:tr>
    </w:tbl>
    <w:p w14:paraId="6B3CF634" w14:textId="77777777" w:rsidR="00162B2C" w:rsidRPr="00E8670C" w:rsidRDefault="00162B2C" w:rsidP="006162E0">
      <w:pPr>
        <w:spacing w:after="60"/>
        <w:rPr>
          <w:rFonts w:cs="Arial"/>
          <w:b/>
          <w:sz w:val="20"/>
          <w:szCs w:val="20"/>
        </w:rPr>
      </w:pPr>
    </w:p>
    <w:p w14:paraId="5457030F" w14:textId="660BA76A" w:rsidR="006162E0" w:rsidRPr="00E8670C" w:rsidRDefault="006162E0" w:rsidP="007C506F">
      <w:pPr>
        <w:spacing w:after="60"/>
        <w:rPr>
          <w:rFonts w:cs="Arial"/>
          <w:sz w:val="20"/>
          <w:szCs w:val="20"/>
        </w:rPr>
      </w:pPr>
      <w:r w:rsidRPr="00E8670C">
        <w:rPr>
          <w:rFonts w:cs="Arial"/>
          <w:sz w:val="20"/>
          <w:szCs w:val="20"/>
        </w:rPr>
        <w:t xml:space="preserve">Baseline Technologies for UES </w:t>
      </w:r>
      <w:r w:rsidR="007C506F" w:rsidRPr="00E8670C">
        <w:rPr>
          <w:rFonts w:cs="Arial"/>
          <w:sz w:val="20"/>
          <w:szCs w:val="20"/>
        </w:rPr>
        <w:t>and Cost calculations</w:t>
      </w:r>
      <w:r w:rsidR="001A646D">
        <w:rPr>
          <w:rStyle w:val="FootnoteReference"/>
          <w:rFonts w:cs="Arial"/>
          <w:sz w:val="20"/>
          <w:szCs w:val="20"/>
        </w:rPr>
        <w:footnoteReference w:id="6"/>
      </w:r>
    </w:p>
    <w:tbl>
      <w:tblPr>
        <w:tblStyle w:val="TableGrid"/>
        <w:tblW w:w="8995" w:type="dxa"/>
        <w:tblLook w:val="04A0" w:firstRow="1" w:lastRow="0" w:firstColumn="1" w:lastColumn="0" w:noHBand="0" w:noVBand="1"/>
      </w:tblPr>
      <w:tblGrid>
        <w:gridCol w:w="1345"/>
        <w:gridCol w:w="1440"/>
        <w:gridCol w:w="1620"/>
        <w:gridCol w:w="2970"/>
        <w:gridCol w:w="1620"/>
      </w:tblGrid>
      <w:tr w:rsidR="007C506F" w:rsidRPr="00E8670C" w14:paraId="4A74F84E" w14:textId="77777777" w:rsidTr="00C87166">
        <w:tc>
          <w:tcPr>
            <w:tcW w:w="1345" w:type="dxa"/>
            <w:shd w:val="clear" w:color="auto" w:fill="D9D9D9" w:themeFill="background1" w:themeFillShade="D9"/>
            <w:vAlign w:val="center"/>
          </w:tcPr>
          <w:p w14:paraId="5A8658C1" w14:textId="34B940E0" w:rsidR="007C506F" w:rsidRPr="00E8670C" w:rsidRDefault="007C506F" w:rsidP="00970A26">
            <w:pPr>
              <w:spacing w:before="60" w:after="60"/>
              <w:jc w:val="center"/>
              <w:rPr>
                <w:rFonts w:cs="Arial"/>
                <w:sz w:val="20"/>
                <w:szCs w:val="20"/>
              </w:rPr>
            </w:pPr>
            <w:r w:rsidRPr="00E8670C">
              <w:rPr>
                <w:rFonts w:cs="Arial"/>
                <w:sz w:val="20"/>
                <w:szCs w:val="20"/>
              </w:rPr>
              <w:t>Measure Application Type</w:t>
            </w:r>
          </w:p>
        </w:tc>
        <w:tc>
          <w:tcPr>
            <w:tcW w:w="1440" w:type="dxa"/>
            <w:tcBorders>
              <w:bottom w:val="single" w:sz="4" w:space="0" w:color="auto"/>
            </w:tcBorders>
            <w:shd w:val="clear" w:color="auto" w:fill="D9D9D9" w:themeFill="background1" w:themeFillShade="D9"/>
            <w:vAlign w:val="center"/>
          </w:tcPr>
          <w:p w14:paraId="3BFA8C95" w14:textId="372902AD" w:rsidR="007C506F" w:rsidRPr="00E8670C" w:rsidRDefault="007C506F" w:rsidP="00970A26">
            <w:pPr>
              <w:spacing w:before="60" w:after="60"/>
              <w:jc w:val="center"/>
              <w:rPr>
                <w:rFonts w:cs="Arial"/>
                <w:sz w:val="20"/>
                <w:szCs w:val="20"/>
              </w:rPr>
            </w:pPr>
            <w:r w:rsidRPr="00E8670C">
              <w:rPr>
                <w:rFonts w:cs="Arial"/>
                <w:sz w:val="20"/>
                <w:szCs w:val="20"/>
              </w:rPr>
              <w:t>Baseline</w:t>
            </w:r>
          </w:p>
        </w:tc>
        <w:tc>
          <w:tcPr>
            <w:tcW w:w="1620" w:type="dxa"/>
            <w:tcBorders>
              <w:bottom w:val="single" w:sz="4" w:space="0" w:color="auto"/>
            </w:tcBorders>
            <w:shd w:val="clear" w:color="auto" w:fill="D9D9D9" w:themeFill="background1" w:themeFillShade="D9"/>
            <w:vAlign w:val="center"/>
          </w:tcPr>
          <w:p w14:paraId="6F07CF2F" w14:textId="0F61A791" w:rsidR="007C506F" w:rsidRPr="00E8670C" w:rsidRDefault="007C506F" w:rsidP="00970A26">
            <w:pPr>
              <w:spacing w:before="60" w:after="60"/>
              <w:jc w:val="center"/>
              <w:rPr>
                <w:rFonts w:cs="Arial"/>
                <w:sz w:val="20"/>
                <w:szCs w:val="20"/>
              </w:rPr>
            </w:pPr>
            <w:r w:rsidRPr="00E8670C">
              <w:rPr>
                <w:rFonts w:cs="Arial"/>
                <w:sz w:val="20"/>
                <w:szCs w:val="20"/>
              </w:rPr>
              <w:t xml:space="preserve">Baseline Technology </w:t>
            </w:r>
          </w:p>
        </w:tc>
        <w:tc>
          <w:tcPr>
            <w:tcW w:w="2970" w:type="dxa"/>
            <w:tcBorders>
              <w:bottom w:val="single" w:sz="4" w:space="0" w:color="auto"/>
            </w:tcBorders>
            <w:shd w:val="clear" w:color="auto" w:fill="D9D9D9" w:themeFill="background1" w:themeFillShade="D9"/>
            <w:vAlign w:val="center"/>
          </w:tcPr>
          <w:p w14:paraId="27063443" w14:textId="1428387C" w:rsidR="007C506F" w:rsidRPr="00E8670C" w:rsidRDefault="001A646D" w:rsidP="001A646D">
            <w:pPr>
              <w:spacing w:before="60" w:after="60"/>
              <w:jc w:val="center"/>
              <w:rPr>
                <w:rFonts w:cs="Arial"/>
                <w:sz w:val="20"/>
                <w:szCs w:val="20"/>
              </w:rPr>
            </w:pPr>
            <w:r>
              <w:rPr>
                <w:rFonts w:cs="Arial"/>
                <w:sz w:val="20"/>
                <w:szCs w:val="20"/>
              </w:rPr>
              <w:t>Measure Cost Calculation</w:t>
            </w:r>
          </w:p>
        </w:tc>
        <w:tc>
          <w:tcPr>
            <w:tcW w:w="1620" w:type="dxa"/>
            <w:tcBorders>
              <w:bottom w:val="single" w:sz="4" w:space="0" w:color="auto"/>
            </w:tcBorders>
            <w:shd w:val="clear" w:color="auto" w:fill="D9D9D9" w:themeFill="background1" w:themeFillShade="D9"/>
            <w:vAlign w:val="center"/>
          </w:tcPr>
          <w:p w14:paraId="19A42D92" w14:textId="7200E2B5" w:rsidR="007C506F" w:rsidRPr="00E8670C" w:rsidRDefault="007C506F" w:rsidP="00970A26">
            <w:pPr>
              <w:spacing w:before="60" w:after="60"/>
              <w:jc w:val="center"/>
              <w:rPr>
                <w:rFonts w:cs="Arial"/>
                <w:sz w:val="20"/>
                <w:szCs w:val="20"/>
              </w:rPr>
            </w:pPr>
            <w:r w:rsidRPr="00E8670C">
              <w:rPr>
                <w:rFonts w:cs="Arial"/>
                <w:sz w:val="20"/>
                <w:szCs w:val="20"/>
              </w:rPr>
              <w:t>Duration</w:t>
            </w:r>
          </w:p>
        </w:tc>
      </w:tr>
      <w:tr w:rsidR="00A54B8A" w:rsidRPr="00E8670C" w14:paraId="744885B2" w14:textId="77777777" w:rsidTr="00E73C76">
        <w:tc>
          <w:tcPr>
            <w:tcW w:w="1345" w:type="dxa"/>
            <w:vMerge w:val="restart"/>
            <w:vAlign w:val="center"/>
          </w:tcPr>
          <w:p w14:paraId="0898A519" w14:textId="77777777" w:rsidR="00A54B8A" w:rsidRPr="00E8670C" w:rsidRDefault="00A54B8A" w:rsidP="00E73C76">
            <w:pPr>
              <w:spacing w:before="60" w:after="60"/>
              <w:jc w:val="center"/>
              <w:rPr>
                <w:rFonts w:cs="Arial"/>
                <w:sz w:val="20"/>
                <w:szCs w:val="20"/>
              </w:rPr>
            </w:pPr>
            <w:r w:rsidRPr="00E8670C">
              <w:rPr>
                <w:rFonts w:cs="Arial"/>
                <w:sz w:val="20"/>
                <w:szCs w:val="20"/>
              </w:rPr>
              <w:t>ER</w:t>
            </w:r>
          </w:p>
        </w:tc>
        <w:tc>
          <w:tcPr>
            <w:tcW w:w="1440" w:type="dxa"/>
            <w:tcBorders>
              <w:bottom w:val="nil"/>
            </w:tcBorders>
            <w:vAlign w:val="center"/>
          </w:tcPr>
          <w:p w14:paraId="630261D5" w14:textId="77777777" w:rsidR="00A54B8A" w:rsidRPr="00E8670C" w:rsidRDefault="00A54B8A" w:rsidP="00E73C76">
            <w:pPr>
              <w:spacing w:before="60" w:after="60"/>
              <w:jc w:val="center"/>
              <w:rPr>
                <w:rFonts w:cs="Arial"/>
                <w:sz w:val="20"/>
                <w:szCs w:val="20"/>
              </w:rPr>
            </w:pPr>
            <w:r w:rsidRPr="00E8670C">
              <w:rPr>
                <w:rFonts w:cs="Arial"/>
                <w:sz w:val="20"/>
                <w:szCs w:val="20"/>
              </w:rPr>
              <w:t>First</w:t>
            </w:r>
          </w:p>
        </w:tc>
        <w:tc>
          <w:tcPr>
            <w:tcW w:w="1620" w:type="dxa"/>
            <w:tcBorders>
              <w:bottom w:val="nil"/>
            </w:tcBorders>
            <w:vAlign w:val="center"/>
          </w:tcPr>
          <w:p w14:paraId="6D701998" w14:textId="77777777" w:rsidR="00A54B8A" w:rsidRPr="00E8670C" w:rsidRDefault="00A54B8A" w:rsidP="00E73C76">
            <w:pPr>
              <w:spacing w:before="60" w:after="60"/>
              <w:jc w:val="center"/>
              <w:rPr>
                <w:rFonts w:cs="Arial"/>
                <w:sz w:val="20"/>
                <w:szCs w:val="20"/>
              </w:rPr>
            </w:pPr>
            <w:r w:rsidRPr="00E8670C">
              <w:rPr>
                <w:rFonts w:cs="Arial"/>
                <w:sz w:val="20"/>
                <w:szCs w:val="20"/>
              </w:rPr>
              <w:t>Existing technology</w:t>
            </w:r>
          </w:p>
        </w:tc>
        <w:tc>
          <w:tcPr>
            <w:tcW w:w="2970" w:type="dxa"/>
            <w:tcBorders>
              <w:bottom w:val="nil"/>
            </w:tcBorders>
            <w:vAlign w:val="center"/>
          </w:tcPr>
          <w:p w14:paraId="0092C7AC" w14:textId="77777777" w:rsidR="00A54B8A" w:rsidRPr="00E8670C" w:rsidRDefault="00A54B8A" w:rsidP="00E73C76">
            <w:pPr>
              <w:spacing w:before="60" w:after="60"/>
              <w:jc w:val="center"/>
              <w:rPr>
                <w:rFonts w:cs="Arial"/>
                <w:sz w:val="20"/>
                <w:szCs w:val="20"/>
              </w:rPr>
            </w:pPr>
            <w:r>
              <w:rPr>
                <w:rFonts w:cs="Arial"/>
                <w:sz w:val="20"/>
                <w:szCs w:val="20"/>
              </w:rPr>
              <w:t>Measure equipment cost + labor cost</w:t>
            </w:r>
          </w:p>
        </w:tc>
        <w:tc>
          <w:tcPr>
            <w:tcW w:w="1620" w:type="dxa"/>
            <w:tcBorders>
              <w:bottom w:val="nil"/>
            </w:tcBorders>
            <w:vAlign w:val="center"/>
          </w:tcPr>
          <w:p w14:paraId="1A02B0E2" w14:textId="77777777" w:rsidR="00A54B8A" w:rsidRPr="00E8670C" w:rsidRDefault="00A54B8A" w:rsidP="00E73C76">
            <w:pPr>
              <w:spacing w:before="60" w:after="60"/>
              <w:jc w:val="center"/>
              <w:rPr>
                <w:rFonts w:cs="Arial"/>
                <w:sz w:val="20"/>
                <w:szCs w:val="20"/>
              </w:rPr>
            </w:pPr>
            <w:r>
              <w:rPr>
                <w:rFonts w:cs="Arial"/>
                <w:sz w:val="20"/>
                <w:szCs w:val="20"/>
              </w:rPr>
              <w:t xml:space="preserve">RUL = </w:t>
            </w:r>
            <w:r w:rsidRPr="00E8670C">
              <w:rPr>
                <w:rFonts w:cs="Arial"/>
                <w:sz w:val="20"/>
                <w:szCs w:val="20"/>
              </w:rPr>
              <w:t>1/3</w:t>
            </w:r>
            <w:r>
              <w:rPr>
                <w:rFonts w:cs="Arial"/>
                <w:sz w:val="20"/>
                <w:szCs w:val="20"/>
              </w:rPr>
              <w:t>*</w:t>
            </w:r>
            <w:r w:rsidRPr="00E8670C">
              <w:rPr>
                <w:rFonts w:cs="Arial"/>
                <w:sz w:val="20"/>
                <w:szCs w:val="20"/>
              </w:rPr>
              <w:t>EUL</w:t>
            </w:r>
            <w:r>
              <w:rPr>
                <w:rStyle w:val="FootnoteReference"/>
                <w:rFonts w:cs="Arial"/>
                <w:sz w:val="20"/>
                <w:szCs w:val="20"/>
              </w:rPr>
              <w:footnoteReference w:id="7"/>
            </w:r>
          </w:p>
        </w:tc>
      </w:tr>
      <w:tr w:rsidR="00A54B8A" w:rsidRPr="00E8670C" w14:paraId="16CB9964" w14:textId="77777777" w:rsidTr="00E73C76">
        <w:tc>
          <w:tcPr>
            <w:tcW w:w="1345" w:type="dxa"/>
            <w:vMerge/>
            <w:vAlign w:val="center"/>
          </w:tcPr>
          <w:p w14:paraId="1D3E00D4" w14:textId="77777777" w:rsidR="00A54B8A" w:rsidRPr="00E8670C" w:rsidRDefault="00A54B8A" w:rsidP="00E73C76">
            <w:pPr>
              <w:spacing w:before="60" w:after="60"/>
              <w:jc w:val="center"/>
              <w:rPr>
                <w:rFonts w:cs="Arial"/>
                <w:sz w:val="20"/>
                <w:szCs w:val="20"/>
              </w:rPr>
            </w:pPr>
          </w:p>
        </w:tc>
        <w:tc>
          <w:tcPr>
            <w:tcW w:w="1440" w:type="dxa"/>
            <w:tcBorders>
              <w:top w:val="nil"/>
              <w:bottom w:val="single" w:sz="4" w:space="0" w:color="auto"/>
            </w:tcBorders>
            <w:shd w:val="clear" w:color="auto" w:fill="F2F2F2" w:themeFill="background1" w:themeFillShade="F2"/>
            <w:vAlign w:val="center"/>
          </w:tcPr>
          <w:p w14:paraId="6EB28A52" w14:textId="77777777" w:rsidR="00A54B8A" w:rsidRPr="00E8670C" w:rsidRDefault="00A54B8A" w:rsidP="00E73C76">
            <w:pPr>
              <w:spacing w:before="60" w:after="60"/>
              <w:jc w:val="center"/>
              <w:rPr>
                <w:rFonts w:cs="Arial"/>
                <w:sz w:val="20"/>
                <w:szCs w:val="20"/>
              </w:rPr>
            </w:pPr>
            <w:r w:rsidRPr="00E8670C">
              <w:rPr>
                <w:rFonts w:cs="Arial"/>
                <w:sz w:val="20"/>
                <w:szCs w:val="20"/>
              </w:rPr>
              <w:t>Second</w:t>
            </w:r>
          </w:p>
        </w:tc>
        <w:tc>
          <w:tcPr>
            <w:tcW w:w="1620" w:type="dxa"/>
            <w:tcBorders>
              <w:top w:val="nil"/>
              <w:bottom w:val="single" w:sz="4" w:space="0" w:color="auto"/>
            </w:tcBorders>
            <w:shd w:val="clear" w:color="auto" w:fill="F2F2F2" w:themeFill="background1" w:themeFillShade="F2"/>
            <w:vAlign w:val="center"/>
          </w:tcPr>
          <w:p w14:paraId="52716CAA" w14:textId="77777777" w:rsidR="00A54B8A" w:rsidRPr="00E8670C" w:rsidRDefault="00A54B8A" w:rsidP="00E73C76">
            <w:pPr>
              <w:spacing w:before="60" w:after="60"/>
              <w:jc w:val="center"/>
              <w:rPr>
                <w:rFonts w:cs="Arial"/>
                <w:sz w:val="20"/>
                <w:szCs w:val="20"/>
              </w:rPr>
            </w:pPr>
            <w:r w:rsidRPr="00E8670C">
              <w:rPr>
                <w:rFonts w:cs="Arial"/>
                <w:sz w:val="20"/>
                <w:szCs w:val="20"/>
              </w:rPr>
              <w:t>Code or standard</w:t>
            </w:r>
          </w:p>
        </w:tc>
        <w:tc>
          <w:tcPr>
            <w:tcW w:w="2970" w:type="dxa"/>
            <w:tcBorders>
              <w:top w:val="nil"/>
              <w:bottom w:val="single" w:sz="4" w:space="0" w:color="auto"/>
            </w:tcBorders>
            <w:shd w:val="clear" w:color="auto" w:fill="F2F2F2" w:themeFill="background1" w:themeFillShade="F2"/>
            <w:vAlign w:val="center"/>
          </w:tcPr>
          <w:p w14:paraId="64629FC8" w14:textId="77777777" w:rsidR="00A54B8A" w:rsidRPr="00E8670C" w:rsidRDefault="00A54B8A" w:rsidP="00E73C76">
            <w:pPr>
              <w:spacing w:before="60" w:after="60"/>
              <w:jc w:val="center"/>
              <w:rPr>
                <w:rFonts w:cs="Arial"/>
                <w:sz w:val="20"/>
                <w:szCs w:val="20"/>
              </w:rPr>
            </w:pPr>
            <w:r>
              <w:rPr>
                <w:rFonts w:cs="Arial"/>
                <w:sz w:val="20"/>
                <w:szCs w:val="20"/>
              </w:rPr>
              <w:t>(-1)*(Code/standard equipment cost + labor cost)</w:t>
            </w:r>
          </w:p>
        </w:tc>
        <w:tc>
          <w:tcPr>
            <w:tcW w:w="1620" w:type="dxa"/>
            <w:tcBorders>
              <w:top w:val="nil"/>
              <w:bottom w:val="single" w:sz="4" w:space="0" w:color="auto"/>
            </w:tcBorders>
            <w:shd w:val="clear" w:color="auto" w:fill="F2F2F2" w:themeFill="background1" w:themeFillShade="F2"/>
            <w:vAlign w:val="center"/>
          </w:tcPr>
          <w:p w14:paraId="36989652" w14:textId="77777777" w:rsidR="00A54B8A" w:rsidRPr="00E8670C" w:rsidRDefault="00A54B8A" w:rsidP="00E73C76">
            <w:pPr>
              <w:spacing w:before="60" w:after="60"/>
              <w:jc w:val="center"/>
              <w:rPr>
                <w:rFonts w:cs="Arial"/>
                <w:sz w:val="20"/>
                <w:szCs w:val="20"/>
              </w:rPr>
            </w:pPr>
            <w:r>
              <w:rPr>
                <w:rFonts w:cs="Arial"/>
                <w:sz w:val="20"/>
                <w:szCs w:val="20"/>
              </w:rPr>
              <w:t>EUL - RUL</w:t>
            </w:r>
          </w:p>
        </w:tc>
      </w:tr>
      <w:tr w:rsidR="007C506F" w:rsidRPr="00E8670C" w14:paraId="0253789A" w14:textId="77777777" w:rsidTr="00C87166">
        <w:tc>
          <w:tcPr>
            <w:tcW w:w="1345" w:type="dxa"/>
            <w:vMerge w:val="restart"/>
            <w:vAlign w:val="center"/>
          </w:tcPr>
          <w:p w14:paraId="0466A002" w14:textId="6A222249" w:rsidR="007C506F" w:rsidRPr="00E8670C" w:rsidRDefault="00A54B8A" w:rsidP="00970A26">
            <w:pPr>
              <w:spacing w:before="60" w:after="60"/>
              <w:jc w:val="center"/>
              <w:rPr>
                <w:rFonts w:cs="Arial"/>
                <w:sz w:val="20"/>
                <w:szCs w:val="20"/>
              </w:rPr>
            </w:pPr>
            <w:r>
              <w:rPr>
                <w:rFonts w:cs="Arial"/>
                <w:sz w:val="20"/>
                <w:szCs w:val="20"/>
              </w:rPr>
              <w:t>REA</w:t>
            </w:r>
          </w:p>
        </w:tc>
        <w:tc>
          <w:tcPr>
            <w:tcW w:w="1440" w:type="dxa"/>
            <w:tcBorders>
              <w:bottom w:val="nil"/>
            </w:tcBorders>
            <w:vAlign w:val="center"/>
          </w:tcPr>
          <w:p w14:paraId="33AA2D0D" w14:textId="3B58717A" w:rsidR="007C506F" w:rsidRPr="00E8670C" w:rsidRDefault="007C506F" w:rsidP="00970A26">
            <w:pPr>
              <w:spacing w:before="60" w:after="60"/>
              <w:jc w:val="center"/>
              <w:rPr>
                <w:rFonts w:cs="Arial"/>
                <w:sz w:val="20"/>
                <w:szCs w:val="20"/>
              </w:rPr>
            </w:pPr>
            <w:r w:rsidRPr="00E8670C">
              <w:rPr>
                <w:rFonts w:cs="Arial"/>
                <w:sz w:val="20"/>
                <w:szCs w:val="20"/>
              </w:rPr>
              <w:t>First</w:t>
            </w:r>
          </w:p>
        </w:tc>
        <w:tc>
          <w:tcPr>
            <w:tcW w:w="1620" w:type="dxa"/>
            <w:tcBorders>
              <w:bottom w:val="nil"/>
            </w:tcBorders>
            <w:vAlign w:val="center"/>
          </w:tcPr>
          <w:p w14:paraId="70150DC4" w14:textId="588C3714" w:rsidR="007C506F" w:rsidRPr="00E8670C" w:rsidRDefault="007C506F" w:rsidP="00970A26">
            <w:pPr>
              <w:spacing w:before="60" w:after="60"/>
              <w:jc w:val="center"/>
              <w:rPr>
                <w:rFonts w:cs="Arial"/>
                <w:sz w:val="20"/>
                <w:szCs w:val="20"/>
              </w:rPr>
            </w:pPr>
            <w:r w:rsidRPr="00E8670C">
              <w:rPr>
                <w:rFonts w:cs="Arial"/>
                <w:sz w:val="20"/>
                <w:szCs w:val="20"/>
              </w:rPr>
              <w:t>Existing technology</w:t>
            </w:r>
          </w:p>
        </w:tc>
        <w:tc>
          <w:tcPr>
            <w:tcW w:w="2970" w:type="dxa"/>
            <w:tcBorders>
              <w:bottom w:val="nil"/>
            </w:tcBorders>
            <w:vAlign w:val="center"/>
          </w:tcPr>
          <w:p w14:paraId="5C685F6A" w14:textId="07D06F26" w:rsidR="007C506F" w:rsidRPr="00E8670C" w:rsidRDefault="001A646D" w:rsidP="00C87166">
            <w:pPr>
              <w:spacing w:before="60" w:after="60"/>
              <w:jc w:val="center"/>
              <w:rPr>
                <w:rFonts w:cs="Arial"/>
                <w:sz w:val="20"/>
                <w:szCs w:val="20"/>
              </w:rPr>
            </w:pPr>
            <w:r>
              <w:rPr>
                <w:rFonts w:cs="Arial"/>
                <w:sz w:val="20"/>
                <w:szCs w:val="20"/>
              </w:rPr>
              <w:t xml:space="preserve">Measure equipment cost + </w:t>
            </w:r>
            <w:r w:rsidR="00C87166">
              <w:rPr>
                <w:rFonts w:cs="Arial"/>
                <w:sz w:val="20"/>
                <w:szCs w:val="20"/>
              </w:rPr>
              <w:t>labor</w:t>
            </w:r>
            <w:r>
              <w:rPr>
                <w:rFonts w:cs="Arial"/>
                <w:sz w:val="20"/>
                <w:szCs w:val="20"/>
              </w:rPr>
              <w:t xml:space="preserve"> cost</w:t>
            </w:r>
          </w:p>
        </w:tc>
        <w:tc>
          <w:tcPr>
            <w:tcW w:w="1620" w:type="dxa"/>
            <w:tcBorders>
              <w:bottom w:val="nil"/>
            </w:tcBorders>
            <w:vAlign w:val="center"/>
          </w:tcPr>
          <w:p w14:paraId="72BE1C60" w14:textId="05460B06" w:rsidR="007C506F" w:rsidRPr="00E8670C" w:rsidRDefault="00A54B8A" w:rsidP="001A646D">
            <w:pPr>
              <w:spacing w:before="60" w:after="60"/>
              <w:jc w:val="center"/>
              <w:rPr>
                <w:rFonts w:cs="Arial"/>
                <w:sz w:val="20"/>
                <w:szCs w:val="20"/>
              </w:rPr>
            </w:pPr>
            <w:r>
              <w:rPr>
                <w:rFonts w:cs="Arial"/>
                <w:sz w:val="20"/>
                <w:szCs w:val="20"/>
              </w:rPr>
              <w:t>EUL</w:t>
            </w:r>
          </w:p>
        </w:tc>
      </w:tr>
      <w:tr w:rsidR="007C506F" w:rsidRPr="00E8670C" w14:paraId="33DF8FD4" w14:textId="77777777" w:rsidTr="00C87166">
        <w:tc>
          <w:tcPr>
            <w:tcW w:w="1345" w:type="dxa"/>
            <w:vMerge/>
            <w:vAlign w:val="center"/>
          </w:tcPr>
          <w:p w14:paraId="57466ACF" w14:textId="45C40E77" w:rsidR="007C506F" w:rsidRPr="00E8670C" w:rsidRDefault="007C506F" w:rsidP="00970A26">
            <w:pPr>
              <w:spacing w:before="60" w:after="60"/>
              <w:jc w:val="center"/>
              <w:rPr>
                <w:rFonts w:cs="Arial"/>
                <w:sz w:val="20"/>
                <w:szCs w:val="20"/>
              </w:rPr>
            </w:pPr>
          </w:p>
        </w:tc>
        <w:tc>
          <w:tcPr>
            <w:tcW w:w="1440" w:type="dxa"/>
            <w:tcBorders>
              <w:top w:val="nil"/>
              <w:bottom w:val="single" w:sz="4" w:space="0" w:color="auto"/>
            </w:tcBorders>
            <w:shd w:val="clear" w:color="auto" w:fill="F2F2F2" w:themeFill="background1" w:themeFillShade="F2"/>
            <w:vAlign w:val="center"/>
          </w:tcPr>
          <w:p w14:paraId="69BD6A2E" w14:textId="4B062BDD" w:rsidR="007C506F" w:rsidRPr="00E8670C" w:rsidRDefault="007C506F" w:rsidP="00970A26">
            <w:pPr>
              <w:spacing w:before="60" w:after="60"/>
              <w:jc w:val="center"/>
              <w:rPr>
                <w:rFonts w:cs="Arial"/>
                <w:sz w:val="20"/>
                <w:szCs w:val="20"/>
              </w:rPr>
            </w:pPr>
            <w:r w:rsidRPr="00E8670C">
              <w:rPr>
                <w:rFonts w:cs="Arial"/>
                <w:sz w:val="20"/>
                <w:szCs w:val="20"/>
              </w:rPr>
              <w:t>Second</w:t>
            </w:r>
          </w:p>
        </w:tc>
        <w:tc>
          <w:tcPr>
            <w:tcW w:w="1620" w:type="dxa"/>
            <w:tcBorders>
              <w:top w:val="nil"/>
              <w:bottom w:val="single" w:sz="4" w:space="0" w:color="auto"/>
            </w:tcBorders>
            <w:shd w:val="clear" w:color="auto" w:fill="F2F2F2" w:themeFill="background1" w:themeFillShade="F2"/>
            <w:vAlign w:val="center"/>
          </w:tcPr>
          <w:p w14:paraId="437C7040" w14:textId="63BDEB45" w:rsidR="007C506F" w:rsidRPr="00E8670C" w:rsidRDefault="00A54B8A" w:rsidP="00970A26">
            <w:pPr>
              <w:spacing w:before="60" w:after="60"/>
              <w:jc w:val="center"/>
              <w:rPr>
                <w:rFonts w:cs="Arial"/>
                <w:sz w:val="20"/>
                <w:szCs w:val="20"/>
              </w:rPr>
            </w:pPr>
            <w:r>
              <w:rPr>
                <w:rFonts w:cs="Arial"/>
                <w:sz w:val="20"/>
                <w:szCs w:val="20"/>
              </w:rPr>
              <w:t>N/A</w:t>
            </w:r>
          </w:p>
        </w:tc>
        <w:tc>
          <w:tcPr>
            <w:tcW w:w="2970" w:type="dxa"/>
            <w:tcBorders>
              <w:top w:val="nil"/>
              <w:bottom w:val="single" w:sz="4" w:space="0" w:color="auto"/>
            </w:tcBorders>
            <w:shd w:val="clear" w:color="auto" w:fill="F2F2F2" w:themeFill="background1" w:themeFillShade="F2"/>
            <w:vAlign w:val="center"/>
          </w:tcPr>
          <w:p w14:paraId="3A6792E1" w14:textId="6A73A8CD" w:rsidR="007C506F" w:rsidRPr="00E8670C" w:rsidRDefault="00A54B8A" w:rsidP="00C87166">
            <w:pPr>
              <w:spacing w:before="60" w:after="60"/>
              <w:jc w:val="center"/>
              <w:rPr>
                <w:rFonts w:cs="Arial"/>
                <w:sz w:val="20"/>
                <w:szCs w:val="20"/>
              </w:rPr>
            </w:pPr>
            <w:r>
              <w:rPr>
                <w:rFonts w:cs="Arial"/>
                <w:sz w:val="20"/>
                <w:szCs w:val="20"/>
              </w:rPr>
              <w:t>N/A</w:t>
            </w:r>
          </w:p>
        </w:tc>
        <w:tc>
          <w:tcPr>
            <w:tcW w:w="1620" w:type="dxa"/>
            <w:tcBorders>
              <w:top w:val="nil"/>
              <w:bottom w:val="single" w:sz="4" w:space="0" w:color="auto"/>
            </w:tcBorders>
            <w:shd w:val="clear" w:color="auto" w:fill="F2F2F2" w:themeFill="background1" w:themeFillShade="F2"/>
            <w:vAlign w:val="center"/>
          </w:tcPr>
          <w:p w14:paraId="17EB2B0F" w14:textId="021B4005" w:rsidR="007C506F" w:rsidRPr="00E8670C" w:rsidRDefault="00A54B8A" w:rsidP="00970A26">
            <w:pPr>
              <w:spacing w:before="60" w:after="60"/>
              <w:jc w:val="center"/>
              <w:rPr>
                <w:rFonts w:cs="Arial"/>
                <w:sz w:val="20"/>
                <w:szCs w:val="20"/>
              </w:rPr>
            </w:pPr>
            <w:r>
              <w:rPr>
                <w:rFonts w:cs="Arial"/>
                <w:sz w:val="20"/>
                <w:szCs w:val="20"/>
              </w:rPr>
              <w:t>N/A</w:t>
            </w:r>
          </w:p>
        </w:tc>
      </w:tr>
      <w:tr w:rsidR="007C506F" w:rsidRPr="00E8670C" w14:paraId="33831E4F" w14:textId="77777777" w:rsidTr="00C87166">
        <w:tc>
          <w:tcPr>
            <w:tcW w:w="1345" w:type="dxa"/>
            <w:vMerge w:val="restart"/>
            <w:shd w:val="clear" w:color="auto" w:fill="auto"/>
            <w:vAlign w:val="center"/>
          </w:tcPr>
          <w:p w14:paraId="44345798" w14:textId="435FD644" w:rsidR="007C506F" w:rsidRPr="00E8670C" w:rsidRDefault="007C506F" w:rsidP="00970A26">
            <w:pPr>
              <w:spacing w:before="60" w:after="60"/>
              <w:jc w:val="center"/>
              <w:rPr>
                <w:rFonts w:cs="Arial"/>
                <w:sz w:val="20"/>
                <w:szCs w:val="20"/>
              </w:rPr>
            </w:pPr>
            <w:r w:rsidRPr="00E8670C">
              <w:rPr>
                <w:rFonts w:cs="Arial"/>
                <w:sz w:val="20"/>
                <w:szCs w:val="20"/>
              </w:rPr>
              <w:t>ROB</w:t>
            </w:r>
          </w:p>
        </w:tc>
        <w:tc>
          <w:tcPr>
            <w:tcW w:w="1440" w:type="dxa"/>
            <w:tcBorders>
              <w:bottom w:val="nil"/>
            </w:tcBorders>
            <w:shd w:val="clear" w:color="auto" w:fill="auto"/>
            <w:vAlign w:val="center"/>
          </w:tcPr>
          <w:p w14:paraId="2711474D" w14:textId="77777777" w:rsidR="007C506F" w:rsidRPr="00E8670C" w:rsidRDefault="007C506F" w:rsidP="00471494">
            <w:pPr>
              <w:spacing w:before="60" w:after="60"/>
              <w:jc w:val="center"/>
              <w:rPr>
                <w:rFonts w:cs="Arial"/>
                <w:sz w:val="20"/>
                <w:szCs w:val="20"/>
              </w:rPr>
            </w:pPr>
            <w:r w:rsidRPr="00E8670C">
              <w:rPr>
                <w:rFonts w:cs="Arial"/>
                <w:sz w:val="20"/>
                <w:szCs w:val="20"/>
              </w:rPr>
              <w:t>First</w:t>
            </w:r>
          </w:p>
        </w:tc>
        <w:tc>
          <w:tcPr>
            <w:tcW w:w="1620" w:type="dxa"/>
            <w:tcBorders>
              <w:bottom w:val="nil"/>
            </w:tcBorders>
            <w:shd w:val="clear" w:color="auto" w:fill="auto"/>
            <w:vAlign w:val="center"/>
          </w:tcPr>
          <w:p w14:paraId="5CE909B9" w14:textId="05B01BBC" w:rsidR="007C506F" w:rsidRPr="00E8670C" w:rsidRDefault="007C506F" w:rsidP="00471494">
            <w:pPr>
              <w:spacing w:before="60" w:after="60"/>
              <w:jc w:val="center"/>
              <w:rPr>
                <w:rFonts w:cs="Arial"/>
                <w:sz w:val="20"/>
                <w:szCs w:val="20"/>
              </w:rPr>
            </w:pPr>
            <w:r w:rsidRPr="00E8670C">
              <w:rPr>
                <w:rFonts w:cs="Arial"/>
                <w:sz w:val="20"/>
                <w:szCs w:val="20"/>
              </w:rPr>
              <w:t>Code or standard</w:t>
            </w:r>
          </w:p>
        </w:tc>
        <w:tc>
          <w:tcPr>
            <w:tcW w:w="2970" w:type="dxa"/>
            <w:tcBorders>
              <w:bottom w:val="nil"/>
            </w:tcBorders>
            <w:vAlign w:val="center"/>
          </w:tcPr>
          <w:p w14:paraId="210BF857" w14:textId="07E921FD" w:rsidR="007C506F" w:rsidRPr="00E8670C" w:rsidRDefault="00C87166" w:rsidP="001A646D">
            <w:pPr>
              <w:spacing w:before="60" w:after="60"/>
              <w:jc w:val="center"/>
              <w:rPr>
                <w:rFonts w:cs="Arial"/>
                <w:sz w:val="20"/>
                <w:szCs w:val="20"/>
              </w:rPr>
            </w:pPr>
            <w:r>
              <w:rPr>
                <w:rFonts w:cs="Arial"/>
                <w:sz w:val="20"/>
                <w:szCs w:val="20"/>
              </w:rPr>
              <w:t>(</w:t>
            </w:r>
            <w:r w:rsidR="001A646D">
              <w:rPr>
                <w:rFonts w:cs="Arial"/>
                <w:sz w:val="20"/>
                <w:szCs w:val="20"/>
              </w:rPr>
              <w:t xml:space="preserve">Measure equipment cost </w:t>
            </w:r>
            <w:r>
              <w:rPr>
                <w:rFonts w:cs="Arial"/>
                <w:sz w:val="20"/>
                <w:szCs w:val="20"/>
              </w:rPr>
              <w:t xml:space="preserve">+ labor cost) </w:t>
            </w:r>
            <w:r w:rsidR="001A646D">
              <w:rPr>
                <w:rFonts w:cs="Arial"/>
                <w:sz w:val="20"/>
                <w:szCs w:val="20"/>
              </w:rPr>
              <w:t xml:space="preserve">– </w:t>
            </w:r>
            <w:r>
              <w:rPr>
                <w:rFonts w:cs="Arial"/>
                <w:sz w:val="20"/>
                <w:szCs w:val="20"/>
              </w:rPr>
              <w:t>(</w:t>
            </w:r>
            <w:r w:rsidR="001A646D">
              <w:rPr>
                <w:rFonts w:cs="Arial"/>
                <w:sz w:val="20"/>
                <w:szCs w:val="20"/>
              </w:rPr>
              <w:t>Code/standard cost</w:t>
            </w:r>
            <w:r>
              <w:rPr>
                <w:rFonts w:cs="Arial"/>
                <w:sz w:val="20"/>
                <w:szCs w:val="20"/>
              </w:rPr>
              <w:t xml:space="preserve"> + labor cost)</w:t>
            </w:r>
          </w:p>
        </w:tc>
        <w:tc>
          <w:tcPr>
            <w:tcW w:w="1620" w:type="dxa"/>
            <w:tcBorders>
              <w:bottom w:val="nil"/>
            </w:tcBorders>
            <w:shd w:val="clear" w:color="auto" w:fill="auto"/>
            <w:vAlign w:val="center"/>
          </w:tcPr>
          <w:p w14:paraId="7326D33F" w14:textId="327A834D" w:rsidR="007C506F" w:rsidRPr="00E8670C" w:rsidRDefault="007C506F" w:rsidP="00471494">
            <w:pPr>
              <w:spacing w:before="60" w:after="60"/>
              <w:jc w:val="center"/>
              <w:rPr>
                <w:rFonts w:cs="Arial"/>
                <w:sz w:val="20"/>
                <w:szCs w:val="20"/>
              </w:rPr>
            </w:pPr>
            <w:r w:rsidRPr="00E8670C">
              <w:rPr>
                <w:rFonts w:cs="Arial"/>
                <w:sz w:val="20"/>
                <w:szCs w:val="20"/>
              </w:rPr>
              <w:t>Full EUL</w:t>
            </w:r>
          </w:p>
        </w:tc>
      </w:tr>
      <w:tr w:rsidR="007C506F" w:rsidRPr="00E8670C" w14:paraId="10758646" w14:textId="77777777" w:rsidTr="00C87166">
        <w:tc>
          <w:tcPr>
            <w:tcW w:w="1345" w:type="dxa"/>
            <w:vMerge/>
            <w:shd w:val="clear" w:color="auto" w:fill="auto"/>
            <w:vAlign w:val="center"/>
          </w:tcPr>
          <w:p w14:paraId="482E9171" w14:textId="77777777" w:rsidR="007C506F" w:rsidRPr="00E8670C" w:rsidRDefault="007C506F" w:rsidP="00970A26">
            <w:pPr>
              <w:spacing w:before="60" w:after="60"/>
              <w:jc w:val="center"/>
              <w:rPr>
                <w:rFonts w:cs="Arial"/>
                <w:sz w:val="20"/>
                <w:szCs w:val="20"/>
              </w:rPr>
            </w:pPr>
          </w:p>
        </w:tc>
        <w:tc>
          <w:tcPr>
            <w:tcW w:w="1440" w:type="dxa"/>
            <w:tcBorders>
              <w:top w:val="nil"/>
              <w:bottom w:val="single" w:sz="4" w:space="0" w:color="auto"/>
            </w:tcBorders>
            <w:shd w:val="clear" w:color="auto" w:fill="F2F2F2" w:themeFill="background1" w:themeFillShade="F2"/>
            <w:vAlign w:val="center"/>
          </w:tcPr>
          <w:p w14:paraId="3D8E8699" w14:textId="77777777" w:rsidR="007C506F" w:rsidRPr="00E8670C" w:rsidRDefault="007C506F" w:rsidP="00471494">
            <w:pPr>
              <w:spacing w:before="60" w:after="60"/>
              <w:jc w:val="center"/>
              <w:rPr>
                <w:rFonts w:cs="Arial"/>
                <w:sz w:val="20"/>
                <w:szCs w:val="20"/>
              </w:rPr>
            </w:pPr>
            <w:r w:rsidRPr="00E8670C">
              <w:rPr>
                <w:rFonts w:cs="Arial"/>
                <w:sz w:val="20"/>
                <w:szCs w:val="20"/>
              </w:rPr>
              <w:t>Second</w:t>
            </w:r>
          </w:p>
        </w:tc>
        <w:tc>
          <w:tcPr>
            <w:tcW w:w="1620" w:type="dxa"/>
            <w:tcBorders>
              <w:top w:val="nil"/>
              <w:bottom w:val="single" w:sz="4" w:space="0" w:color="auto"/>
            </w:tcBorders>
            <w:shd w:val="clear" w:color="auto" w:fill="F2F2F2" w:themeFill="background1" w:themeFillShade="F2"/>
            <w:vAlign w:val="center"/>
          </w:tcPr>
          <w:p w14:paraId="1FCE80AA" w14:textId="5024BA3C" w:rsidR="007C506F" w:rsidRPr="00E8670C" w:rsidRDefault="007C506F" w:rsidP="00471494">
            <w:pPr>
              <w:spacing w:before="60" w:after="60"/>
              <w:jc w:val="center"/>
              <w:rPr>
                <w:rFonts w:cs="Arial"/>
                <w:sz w:val="20"/>
                <w:szCs w:val="20"/>
              </w:rPr>
            </w:pPr>
            <w:r w:rsidRPr="00E8670C">
              <w:rPr>
                <w:rFonts w:cs="Arial"/>
                <w:sz w:val="20"/>
                <w:szCs w:val="20"/>
              </w:rPr>
              <w:t>N/A</w:t>
            </w:r>
          </w:p>
        </w:tc>
        <w:tc>
          <w:tcPr>
            <w:tcW w:w="2970" w:type="dxa"/>
            <w:tcBorders>
              <w:top w:val="nil"/>
              <w:bottom w:val="single" w:sz="4" w:space="0" w:color="auto"/>
            </w:tcBorders>
            <w:shd w:val="clear" w:color="auto" w:fill="F2F2F2" w:themeFill="background1" w:themeFillShade="F2"/>
            <w:vAlign w:val="center"/>
          </w:tcPr>
          <w:p w14:paraId="1A8463CC" w14:textId="7778B126" w:rsidR="007C506F" w:rsidRPr="00E8670C" w:rsidRDefault="007C506F" w:rsidP="00471494">
            <w:pPr>
              <w:spacing w:before="60" w:after="60"/>
              <w:jc w:val="center"/>
              <w:rPr>
                <w:rFonts w:cs="Arial"/>
                <w:sz w:val="20"/>
                <w:szCs w:val="20"/>
              </w:rPr>
            </w:pPr>
            <w:r w:rsidRPr="00E8670C">
              <w:rPr>
                <w:rFonts w:cs="Arial"/>
                <w:sz w:val="20"/>
                <w:szCs w:val="20"/>
              </w:rPr>
              <w:t>N/A</w:t>
            </w:r>
          </w:p>
        </w:tc>
        <w:tc>
          <w:tcPr>
            <w:tcW w:w="1620" w:type="dxa"/>
            <w:tcBorders>
              <w:top w:val="nil"/>
              <w:bottom w:val="single" w:sz="4" w:space="0" w:color="auto"/>
            </w:tcBorders>
            <w:shd w:val="clear" w:color="auto" w:fill="F2F2F2" w:themeFill="background1" w:themeFillShade="F2"/>
            <w:vAlign w:val="center"/>
          </w:tcPr>
          <w:p w14:paraId="502AAE82" w14:textId="6342F380" w:rsidR="007C506F" w:rsidRPr="00E8670C" w:rsidRDefault="007C506F" w:rsidP="00471494">
            <w:pPr>
              <w:spacing w:before="60" w:after="60"/>
              <w:jc w:val="center"/>
              <w:rPr>
                <w:rFonts w:cs="Arial"/>
                <w:sz w:val="20"/>
                <w:szCs w:val="20"/>
              </w:rPr>
            </w:pPr>
            <w:r w:rsidRPr="00E8670C">
              <w:rPr>
                <w:rFonts w:cs="Arial"/>
                <w:sz w:val="20"/>
                <w:szCs w:val="20"/>
              </w:rPr>
              <w:t>N/A</w:t>
            </w:r>
          </w:p>
        </w:tc>
      </w:tr>
      <w:tr w:rsidR="007C506F" w:rsidRPr="00E8670C" w14:paraId="294B75BB" w14:textId="77777777" w:rsidTr="00C87166">
        <w:tc>
          <w:tcPr>
            <w:tcW w:w="1345" w:type="dxa"/>
            <w:vMerge w:val="restart"/>
            <w:shd w:val="clear" w:color="auto" w:fill="auto"/>
            <w:vAlign w:val="center"/>
          </w:tcPr>
          <w:p w14:paraId="07ACE521" w14:textId="1B31AB7F" w:rsidR="007C506F" w:rsidRPr="00E8670C" w:rsidRDefault="007C506F" w:rsidP="007C506F">
            <w:pPr>
              <w:spacing w:before="60" w:after="60"/>
              <w:jc w:val="center"/>
              <w:rPr>
                <w:rFonts w:cs="Arial"/>
                <w:sz w:val="20"/>
                <w:szCs w:val="20"/>
              </w:rPr>
            </w:pPr>
            <w:r w:rsidRPr="00E8670C">
              <w:rPr>
                <w:rFonts w:cs="Arial"/>
                <w:sz w:val="20"/>
                <w:szCs w:val="20"/>
              </w:rPr>
              <w:t>NC</w:t>
            </w:r>
          </w:p>
        </w:tc>
        <w:tc>
          <w:tcPr>
            <w:tcW w:w="1440" w:type="dxa"/>
            <w:tcBorders>
              <w:bottom w:val="nil"/>
            </w:tcBorders>
            <w:shd w:val="clear" w:color="auto" w:fill="auto"/>
            <w:vAlign w:val="center"/>
          </w:tcPr>
          <w:p w14:paraId="0EDED139" w14:textId="77777777" w:rsidR="007C506F" w:rsidRPr="00E8670C" w:rsidRDefault="007C506F" w:rsidP="007C506F">
            <w:pPr>
              <w:spacing w:before="60" w:after="60"/>
              <w:jc w:val="center"/>
              <w:rPr>
                <w:rFonts w:cs="Arial"/>
                <w:sz w:val="20"/>
                <w:szCs w:val="20"/>
              </w:rPr>
            </w:pPr>
            <w:r w:rsidRPr="00E8670C">
              <w:rPr>
                <w:rFonts w:cs="Arial"/>
                <w:sz w:val="20"/>
                <w:szCs w:val="20"/>
              </w:rPr>
              <w:t>First</w:t>
            </w:r>
          </w:p>
        </w:tc>
        <w:tc>
          <w:tcPr>
            <w:tcW w:w="1620" w:type="dxa"/>
            <w:tcBorders>
              <w:bottom w:val="nil"/>
            </w:tcBorders>
            <w:shd w:val="clear" w:color="auto" w:fill="auto"/>
            <w:vAlign w:val="center"/>
          </w:tcPr>
          <w:p w14:paraId="150D2DF5" w14:textId="36402556" w:rsidR="007C506F" w:rsidRPr="00E8670C" w:rsidRDefault="007C506F" w:rsidP="007C506F">
            <w:pPr>
              <w:spacing w:before="60" w:after="60"/>
              <w:jc w:val="center"/>
              <w:rPr>
                <w:rFonts w:cs="Arial"/>
                <w:sz w:val="20"/>
                <w:szCs w:val="20"/>
              </w:rPr>
            </w:pPr>
            <w:r w:rsidRPr="00E8670C">
              <w:rPr>
                <w:rFonts w:cs="Arial"/>
                <w:sz w:val="20"/>
                <w:szCs w:val="20"/>
              </w:rPr>
              <w:t>Code or standard</w:t>
            </w:r>
          </w:p>
        </w:tc>
        <w:tc>
          <w:tcPr>
            <w:tcW w:w="2970" w:type="dxa"/>
            <w:tcBorders>
              <w:bottom w:val="nil"/>
            </w:tcBorders>
            <w:vAlign w:val="center"/>
          </w:tcPr>
          <w:p w14:paraId="5449FF55" w14:textId="75CD0B48" w:rsidR="007C506F" w:rsidRPr="00E8670C" w:rsidRDefault="00C87166" w:rsidP="007C506F">
            <w:pPr>
              <w:spacing w:before="60" w:after="60"/>
              <w:jc w:val="center"/>
              <w:rPr>
                <w:rFonts w:cs="Arial"/>
                <w:sz w:val="20"/>
                <w:szCs w:val="20"/>
              </w:rPr>
            </w:pPr>
            <w:r>
              <w:rPr>
                <w:rFonts w:cs="Arial"/>
                <w:sz w:val="20"/>
                <w:szCs w:val="20"/>
              </w:rPr>
              <w:t>(Measure equipment cost + labor cost) – (Code/standard cost + labor cost)</w:t>
            </w:r>
          </w:p>
        </w:tc>
        <w:tc>
          <w:tcPr>
            <w:tcW w:w="1620" w:type="dxa"/>
            <w:tcBorders>
              <w:bottom w:val="nil"/>
            </w:tcBorders>
            <w:shd w:val="clear" w:color="auto" w:fill="auto"/>
            <w:vAlign w:val="center"/>
          </w:tcPr>
          <w:p w14:paraId="35A8D6F6" w14:textId="63F54AF8" w:rsidR="007C506F" w:rsidRPr="00E8670C" w:rsidRDefault="007C506F" w:rsidP="007C506F">
            <w:pPr>
              <w:spacing w:before="60" w:after="60"/>
              <w:jc w:val="center"/>
              <w:rPr>
                <w:rFonts w:cs="Arial"/>
                <w:sz w:val="20"/>
                <w:szCs w:val="20"/>
              </w:rPr>
            </w:pPr>
            <w:r w:rsidRPr="00E8670C">
              <w:rPr>
                <w:rFonts w:cs="Arial"/>
                <w:sz w:val="20"/>
                <w:szCs w:val="20"/>
              </w:rPr>
              <w:t>Full EUL</w:t>
            </w:r>
          </w:p>
        </w:tc>
      </w:tr>
      <w:tr w:rsidR="007C506F" w:rsidRPr="00E8670C" w14:paraId="1C1F174A" w14:textId="77777777" w:rsidTr="00C87166">
        <w:trPr>
          <w:trHeight w:val="188"/>
        </w:trPr>
        <w:tc>
          <w:tcPr>
            <w:tcW w:w="1345" w:type="dxa"/>
            <w:vMerge/>
            <w:vAlign w:val="center"/>
          </w:tcPr>
          <w:p w14:paraId="4EF06305" w14:textId="77777777" w:rsidR="007C506F" w:rsidRPr="00E8670C" w:rsidRDefault="007C506F" w:rsidP="007C506F">
            <w:pPr>
              <w:spacing w:before="60" w:after="60"/>
              <w:jc w:val="center"/>
              <w:rPr>
                <w:rFonts w:cs="Arial"/>
                <w:sz w:val="20"/>
                <w:szCs w:val="20"/>
              </w:rPr>
            </w:pPr>
          </w:p>
        </w:tc>
        <w:tc>
          <w:tcPr>
            <w:tcW w:w="1440" w:type="dxa"/>
            <w:tcBorders>
              <w:top w:val="nil"/>
            </w:tcBorders>
            <w:shd w:val="clear" w:color="auto" w:fill="F2F2F2" w:themeFill="background1" w:themeFillShade="F2"/>
            <w:vAlign w:val="center"/>
          </w:tcPr>
          <w:p w14:paraId="771399B8" w14:textId="77777777" w:rsidR="007C506F" w:rsidRPr="00E8670C" w:rsidRDefault="007C506F" w:rsidP="007C506F">
            <w:pPr>
              <w:spacing w:before="60" w:after="60"/>
              <w:jc w:val="center"/>
              <w:rPr>
                <w:rFonts w:cs="Arial"/>
                <w:sz w:val="20"/>
                <w:szCs w:val="20"/>
              </w:rPr>
            </w:pPr>
            <w:r w:rsidRPr="00E8670C">
              <w:rPr>
                <w:rFonts w:cs="Arial"/>
                <w:sz w:val="20"/>
                <w:szCs w:val="20"/>
              </w:rPr>
              <w:t>Second</w:t>
            </w:r>
          </w:p>
        </w:tc>
        <w:tc>
          <w:tcPr>
            <w:tcW w:w="1620" w:type="dxa"/>
            <w:tcBorders>
              <w:top w:val="nil"/>
            </w:tcBorders>
            <w:shd w:val="clear" w:color="auto" w:fill="F2F2F2" w:themeFill="background1" w:themeFillShade="F2"/>
            <w:vAlign w:val="center"/>
          </w:tcPr>
          <w:p w14:paraId="45FD1F0E" w14:textId="53903406" w:rsidR="007C506F" w:rsidRPr="00E8670C" w:rsidRDefault="007C506F" w:rsidP="007C506F">
            <w:pPr>
              <w:spacing w:before="60" w:after="60"/>
              <w:jc w:val="center"/>
              <w:rPr>
                <w:rFonts w:cs="Arial"/>
                <w:sz w:val="20"/>
                <w:szCs w:val="20"/>
              </w:rPr>
            </w:pPr>
            <w:r w:rsidRPr="00E8670C">
              <w:rPr>
                <w:rFonts w:cs="Arial"/>
                <w:sz w:val="20"/>
                <w:szCs w:val="20"/>
              </w:rPr>
              <w:t>N/A</w:t>
            </w:r>
          </w:p>
        </w:tc>
        <w:tc>
          <w:tcPr>
            <w:tcW w:w="2970" w:type="dxa"/>
            <w:tcBorders>
              <w:top w:val="nil"/>
            </w:tcBorders>
            <w:shd w:val="clear" w:color="auto" w:fill="F2F2F2" w:themeFill="background1" w:themeFillShade="F2"/>
            <w:vAlign w:val="center"/>
          </w:tcPr>
          <w:p w14:paraId="522AC176" w14:textId="6C30E65B" w:rsidR="007C506F" w:rsidRPr="00E8670C" w:rsidRDefault="007C506F" w:rsidP="007C506F">
            <w:pPr>
              <w:spacing w:before="60" w:after="60"/>
              <w:jc w:val="center"/>
              <w:rPr>
                <w:rFonts w:cs="Arial"/>
                <w:sz w:val="20"/>
                <w:szCs w:val="20"/>
              </w:rPr>
            </w:pPr>
            <w:r w:rsidRPr="00E8670C">
              <w:rPr>
                <w:rFonts w:cs="Arial"/>
                <w:sz w:val="20"/>
                <w:szCs w:val="20"/>
              </w:rPr>
              <w:t>N/A</w:t>
            </w:r>
          </w:p>
        </w:tc>
        <w:tc>
          <w:tcPr>
            <w:tcW w:w="1620" w:type="dxa"/>
            <w:tcBorders>
              <w:top w:val="nil"/>
            </w:tcBorders>
            <w:shd w:val="clear" w:color="auto" w:fill="F2F2F2" w:themeFill="background1" w:themeFillShade="F2"/>
            <w:vAlign w:val="center"/>
          </w:tcPr>
          <w:p w14:paraId="1A9D35A1" w14:textId="35D547A8" w:rsidR="007C506F" w:rsidRPr="00E8670C" w:rsidRDefault="007C506F" w:rsidP="007C506F">
            <w:pPr>
              <w:spacing w:before="60" w:after="60"/>
              <w:jc w:val="center"/>
              <w:rPr>
                <w:rFonts w:cs="Arial"/>
                <w:sz w:val="20"/>
                <w:szCs w:val="20"/>
              </w:rPr>
            </w:pPr>
            <w:r w:rsidRPr="00E8670C">
              <w:rPr>
                <w:rFonts w:cs="Arial"/>
                <w:sz w:val="20"/>
                <w:szCs w:val="20"/>
              </w:rPr>
              <w:t>N/A</w:t>
            </w:r>
          </w:p>
        </w:tc>
      </w:tr>
    </w:tbl>
    <w:p w14:paraId="705526C5" w14:textId="77777777" w:rsidR="007C506F" w:rsidRDefault="007C506F" w:rsidP="004D0438">
      <w:pPr>
        <w:rPr>
          <w:rFonts w:cs="Arial"/>
          <w:sz w:val="20"/>
          <w:szCs w:val="20"/>
        </w:rPr>
      </w:pPr>
    </w:p>
    <w:p w14:paraId="473B4542" w14:textId="47DCC3F4" w:rsidR="004D0438" w:rsidRPr="00E8670C" w:rsidRDefault="004D0438" w:rsidP="004D0438">
      <w:pPr>
        <w:rPr>
          <w:rFonts w:cs="Arial"/>
          <w:sz w:val="20"/>
          <w:szCs w:val="20"/>
        </w:rPr>
      </w:pPr>
      <w:r>
        <w:rPr>
          <w:rFonts w:cs="Arial"/>
          <w:sz w:val="20"/>
          <w:szCs w:val="20"/>
        </w:rPr>
        <w:t>Measure cost overview developed by SCE:</w:t>
      </w:r>
    </w:p>
    <w:bookmarkStart w:id="109" w:name="_MON_1452319912"/>
    <w:bookmarkEnd w:id="109"/>
    <w:p w14:paraId="2D9437C5" w14:textId="77777777" w:rsidR="00072D35" w:rsidRDefault="004D0438" w:rsidP="004D0438">
      <w:pPr>
        <w:rPr>
          <w:rFonts w:asciiTheme="minorHAnsi" w:hAnsiTheme="minorHAnsi" w:cstheme="minorHAnsi"/>
          <w:i/>
          <w:color w:val="FF0000"/>
          <w:szCs w:val="22"/>
        </w:rPr>
      </w:pPr>
      <w:r>
        <w:rPr>
          <w:rFonts w:asciiTheme="minorHAnsi" w:hAnsiTheme="minorHAnsi" w:cstheme="minorHAnsi"/>
          <w:i/>
          <w:color w:val="FF0000"/>
          <w:szCs w:val="22"/>
        </w:rPr>
        <w:object w:dxaOrig="1531" w:dyaOrig="990" w14:anchorId="3A40E930">
          <v:shape id="_x0000_i1026" type="#_x0000_t75" style="width:76.45pt;height:49.5pt" o:ole="">
            <v:imagedata r:id="rId30" o:title=""/>
          </v:shape>
          <o:OLEObject Type="Embed" ProgID="Word.Document.12" ShapeID="_x0000_i1026" DrawAspect="Icon" ObjectID="_1490636902" r:id="rId31">
            <o:FieldCodes>\s</o:FieldCodes>
          </o:OLEObject>
        </w:object>
      </w:r>
    </w:p>
    <w:p w14:paraId="0E139B15" w14:textId="03D1BE7C" w:rsidR="00072D35" w:rsidRDefault="00072D35" w:rsidP="009301A2">
      <w:pPr>
        <w:pStyle w:val="Heading1"/>
      </w:pPr>
      <w:r>
        <w:rPr>
          <w:rFonts w:asciiTheme="minorHAnsi" w:hAnsiTheme="minorHAnsi" w:cstheme="minorHAnsi"/>
          <w:i/>
          <w:color w:val="FF0000"/>
          <w:szCs w:val="22"/>
        </w:rPr>
        <w:br w:type="page"/>
      </w:r>
      <w:bookmarkStart w:id="110" w:name="_Toc385593005"/>
      <w:r w:rsidRPr="00276CD0">
        <w:lastRenderedPageBreak/>
        <w:t>Appendi</w:t>
      </w:r>
      <w:r w:rsidR="00B20507">
        <w:t>x 4</w:t>
      </w:r>
      <w:r>
        <w:t xml:space="preserve"> – CPUC Quality Metrics</w:t>
      </w:r>
      <w:bookmarkEnd w:id="110"/>
    </w:p>
    <w:p w14:paraId="7D5B6948" w14:textId="6A0C7797" w:rsidR="00072D35" w:rsidRDefault="00072D35" w:rsidP="00072D35">
      <w:pPr>
        <w:spacing w:before="300" w:after="100"/>
        <w:rPr>
          <w:sz w:val="20"/>
          <w:szCs w:val="20"/>
        </w:rPr>
      </w:pPr>
      <w:r w:rsidRPr="00062208">
        <w:rPr>
          <w:sz w:val="20"/>
          <w:szCs w:val="20"/>
        </w:rPr>
        <w:t>CPUC workpaper development actions to ensure quality</w:t>
      </w:r>
      <w:r w:rsidR="00062208">
        <w:rPr>
          <w:sz w:val="20"/>
          <w:szCs w:val="20"/>
        </w:rPr>
        <w:t xml:space="preserve"> are listed below, adapted from ex ante implementation scoring metrics described in Attachment 7 of Decision (D).13-09-023.  The corresponding scoring metrics are shown below.</w:t>
      </w:r>
    </w:p>
    <w:tbl>
      <w:tblPr>
        <w:tblStyle w:val="TableGrid1"/>
        <w:tblW w:w="9270" w:type="dxa"/>
        <w:tblInd w:w="-5" w:type="dxa"/>
        <w:tblLook w:val="04A0" w:firstRow="1" w:lastRow="0" w:firstColumn="1" w:lastColumn="0" w:noHBand="0" w:noVBand="1"/>
      </w:tblPr>
      <w:tblGrid>
        <w:gridCol w:w="1170"/>
        <w:gridCol w:w="8100"/>
      </w:tblGrid>
      <w:tr w:rsidR="00062208" w:rsidRPr="00062208" w14:paraId="1F47F3C7" w14:textId="77777777" w:rsidTr="009F0DDC">
        <w:tc>
          <w:tcPr>
            <w:tcW w:w="1170" w:type="dxa"/>
            <w:shd w:val="clear" w:color="auto" w:fill="D9D9D9" w:themeFill="background1" w:themeFillShade="D9"/>
            <w:vAlign w:val="center"/>
          </w:tcPr>
          <w:p w14:paraId="0D33B136" w14:textId="77777777" w:rsidR="00062208" w:rsidRPr="00062208" w:rsidRDefault="00062208" w:rsidP="009F0DDC">
            <w:pPr>
              <w:spacing w:before="60" w:after="60"/>
              <w:jc w:val="center"/>
              <w:rPr>
                <w:rFonts w:cs="Arial"/>
                <w:b/>
                <w:sz w:val="20"/>
                <w:szCs w:val="20"/>
              </w:rPr>
            </w:pPr>
            <w:r w:rsidRPr="00062208">
              <w:rPr>
                <w:rFonts w:cs="Arial"/>
                <w:b/>
                <w:sz w:val="20"/>
                <w:szCs w:val="20"/>
              </w:rPr>
              <w:t>Metric</w:t>
            </w:r>
          </w:p>
        </w:tc>
        <w:tc>
          <w:tcPr>
            <w:tcW w:w="8100" w:type="dxa"/>
            <w:shd w:val="clear" w:color="auto" w:fill="D9D9D9" w:themeFill="background1" w:themeFillShade="D9"/>
            <w:vAlign w:val="center"/>
          </w:tcPr>
          <w:p w14:paraId="13222090" w14:textId="77777777" w:rsidR="00062208" w:rsidRPr="00062208" w:rsidRDefault="00062208" w:rsidP="009F0DDC">
            <w:pPr>
              <w:spacing w:before="60" w:after="60"/>
              <w:jc w:val="center"/>
              <w:rPr>
                <w:rFonts w:cs="Arial"/>
                <w:b/>
                <w:sz w:val="20"/>
                <w:szCs w:val="20"/>
              </w:rPr>
            </w:pPr>
            <w:r w:rsidRPr="00062208">
              <w:rPr>
                <w:rFonts w:cs="Arial"/>
                <w:b/>
                <w:sz w:val="20"/>
                <w:szCs w:val="20"/>
              </w:rPr>
              <w:t>Workpaper Development Action to Ensure Quality</w:t>
            </w:r>
          </w:p>
        </w:tc>
      </w:tr>
      <w:tr w:rsidR="00062208" w:rsidRPr="00062208" w14:paraId="32DAB2FD" w14:textId="77777777" w:rsidTr="009F0DDC">
        <w:tc>
          <w:tcPr>
            <w:tcW w:w="1170" w:type="dxa"/>
            <w:vAlign w:val="center"/>
          </w:tcPr>
          <w:p w14:paraId="265FED5D" w14:textId="77777777" w:rsidR="00062208" w:rsidRPr="00062208" w:rsidRDefault="00062208" w:rsidP="009F0DDC">
            <w:pPr>
              <w:spacing w:before="60" w:after="60"/>
              <w:jc w:val="center"/>
              <w:rPr>
                <w:rFonts w:cs="Arial"/>
                <w:sz w:val="20"/>
                <w:szCs w:val="20"/>
              </w:rPr>
            </w:pPr>
            <w:r w:rsidRPr="00062208">
              <w:rPr>
                <w:rFonts w:cs="Arial"/>
                <w:sz w:val="20"/>
                <w:szCs w:val="20"/>
              </w:rPr>
              <w:t>2</w:t>
            </w:r>
          </w:p>
        </w:tc>
        <w:tc>
          <w:tcPr>
            <w:tcW w:w="8100" w:type="dxa"/>
            <w:vAlign w:val="center"/>
          </w:tcPr>
          <w:p w14:paraId="4921DAFB" w14:textId="77777777" w:rsidR="00062208" w:rsidRPr="00062208" w:rsidRDefault="00062208" w:rsidP="009F0DDC">
            <w:pPr>
              <w:spacing w:before="60" w:after="60"/>
              <w:rPr>
                <w:rFonts w:cs="Arial"/>
                <w:sz w:val="20"/>
                <w:szCs w:val="20"/>
              </w:rPr>
            </w:pPr>
            <w:r w:rsidRPr="00062208">
              <w:rPr>
                <w:rFonts w:cs="Arial"/>
                <w:sz w:val="20"/>
                <w:szCs w:val="20"/>
              </w:rPr>
              <w:t>Address all aspects of the Uniform Workpaper Template</w:t>
            </w:r>
            <w:r w:rsidRPr="00062208">
              <w:rPr>
                <w:rStyle w:val="FootnoteReference"/>
                <w:rFonts w:cs="Arial"/>
                <w:sz w:val="20"/>
                <w:szCs w:val="20"/>
              </w:rPr>
              <w:footnoteReference w:id="8"/>
            </w:r>
          </w:p>
        </w:tc>
      </w:tr>
      <w:tr w:rsidR="00062208" w:rsidRPr="00062208" w14:paraId="7716E3AF" w14:textId="77777777" w:rsidTr="009F0DDC">
        <w:tc>
          <w:tcPr>
            <w:tcW w:w="1170" w:type="dxa"/>
            <w:vAlign w:val="center"/>
          </w:tcPr>
          <w:p w14:paraId="0B116BA8" w14:textId="77777777" w:rsidR="00062208" w:rsidRPr="00062208" w:rsidRDefault="00062208" w:rsidP="009F0DDC">
            <w:pPr>
              <w:spacing w:before="60" w:after="60"/>
              <w:jc w:val="center"/>
              <w:rPr>
                <w:rFonts w:cs="Arial"/>
                <w:sz w:val="20"/>
                <w:szCs w:val="20"/>
              </w:rPr>
            </w:pPr>
            <w:r w:rsidRPr="00062208">
              <w:rPr>
                <w:rFonts w:cs="Arial"/>
                <w:sz w:val="20"/>
                <w:szCs w:val="20"/>
              </w:rPr>
              <w:t>3a</w:t>
            </w:r>
            <w:r w:rsidRPr="00062208">
              <w:rPr>
                <w:rStyle w:val="FootnoteReference"/>
                <w:rFonts w:cs="Arial"/>
                <w:sz w:val="20"/>
                <w:szCs w:val="20"/>
              </w:rPr>
              <w:footnoteReference w:id="9"/>
            </w:r>
          </w:p>
        </w:tc>
        <w:tc>
          <w:tcPr>
            <w:tcW w:w="8100" w:type="dxa"/>
            <w:vAlign w:val="center"/>
          </w:tcPr>
          <w:p w14:paraId="365BB40B" w14:textId="77777777" w:rsidR="00062208" w:rsidRPr="00062208" w:rsidRDefault="00062208" w:rsidP="009F0DDC">
            <w:pPr>
              <w:spacing w:before="60" w:after="60"/>
              <w:rPr>
                <w:rFonts w:cs="Arial"/>
                <w:sz w:val="20"/>
                <w:szCs w:val="20"/>
              </w:rPr>
            </w:pPr>
            <w:r w:rsidRPr="00062208">
              <w:rPr>
                <w:rFonts w:cs="Arial"/>
                <w:sz w:val="20"/>
                <w:szCs w:val="20"/>
              </w:rPr>
              <w:t>Include appropriate program implementation background</w:t>
            </w:r>
          </w:p>
        </w:tc>
      </w:tr>
      <w:tr w:rsidR="00062208" w:rsidRPr="00062208" w14:paraId="56683E60" w14:textId="77777777" w:rsidTr="009F0DDC">
        <w:tc>
          <w:tcPr>
            <w:tcW w:w="1170" w:type="dxa"/>
            <w:vAlign w:val="center"/>
          </w:tcPr>
          <w:p w14:paraId="44299AAC" w14:textId="77777777" w:rsidR="00062208" w:rsidRPr="00062208" w:rsidRDefault="00062208" w:rsidP="009F0DDC">
            <w:pPr>
              <w:spacing w:before="60" w:after="60"/>
              <w:jc w:val="center"/>
              <w:rPr>
                <w:rFonts w:cs="Arial"/>
                <w:sz w:val="20"/>
                <w:szCs w:val="20"/>
              </w:rPr>
            </w:pPr>
            <w:r w:rsidRPr="00062208">
              <w:rPr>
                <w:rFonts w:cs="Arial"/>
                <w:sz w:val="20"/>
                <w:szCs w:val="20"/>
              </w:rPr>
              <w:t>3b</w:t>
            </w:r>
          </w:p>
        </w:tc>
        <w:tc>
          <w:tcPr>
            <w:tcW w:w="8100" w:type="dxa"/>
            <w:vAlign w:val="center"/>
          </w:tcPr>
          <w:p w14:paraId="0B1F9A1F" w14:textId="77777777" w:rsidR="00062208" w:rsidRPr="00062208" w:rsidRDefault="00062208" w:rsidP="009F0DDC">
            <w:pPr>
              <w:spacing w:before="60" w:after="60"/>
              <w:rPr>
                <w:rFonts w:cs="Arial"/>
                <w:sz w:val="20"/>
                <w:szCs w:val="20"/>
              </w:rPr>
            </w:pPr>
            <w:r w:rsidRPr="00062208">
              <w:rPr>
                <w:rFonts w:cs="Arial"/>
                <w:sz w:val="20"/>
                <w:szCs w:val="20"/>
              </w:rPr>
              <w:t>Include analysis of how implementation approach influences development of ex ante values</w:t>
            </w:r>
          </w:p>
        </w:tc>
      </w:tr>
      <w:tr w:rsidR="00062208" w:rsidRPr="00062208" w14:paraId="5631A7D6" w14:textId="77777777" w:rsidTr="009F0DDC">
        <w:tc>
          <w:tcPr>
            <w:tcW w:w="1170" w:type="dxa"/>
            <w:vAlign w:val="center"/>
          </w:tcPr>
          <w:p w14:paraId="782DBBAB" w14:textId="77777777" w:rsidR="00062208" w:rsidRPr="00062208" w:rsidRDefault="00062208" w:rsidP="009F0DDC">
            <w:pPr>
              <w:spacing w:before="60" w:after="60"/>
              <w:jc w:val="center"/>
              <w:rPr>
                <w:rFonts w:cs="Arial"/>
                <w:sz w:val="20"/>
                <w:szCs w:val="20"/>
              </w:rPr>
            </w:pPr>
            <w:r w:rsidRPr="00062208">
              <w:rPr>
                <w:rFonts w:cs="Arial"/>
                <w:sz w:val="20"/>
                <w:szCs w:val="20"/>
              </w:rPr>
              <w:t>3c</w:t>
            </w:r>
          </w:p>
        </w:tc>
        <w:tc>
          <w:tcPr>
            <w:tcW w:w="8100" w:type="dxa"/>
            <w:vAlign w:val="center"/>
          </w:tcPr>
          <w:p w14:paraId="0D858450" w14:textId="77777777" w:rsidR="00062208" w:rsidRPr="00062208" w:rsidRDefault="00062208" w:rsidP="009F0DDC">
            <w:pPr>
              <w:spacing w:before="60" w:after="60"/>
              <w:rPr>
                <w:rFonts w:cs="Arial"/>
                <w:sz w:val="20"/>
                <w:szCs w:val="20"/>
              </w:rPr>
            </w:pPr>
            <w:r w:rsidRPr="00062208">
              <w:rPr>
                <w:rFonts w:cs="Arial"/>
                <w:sz w:val="20"/>
                <w:szCs w:val="20"/>
              </w:rPr>
              <w:t xml:space="preserve">Include all applicable supporting materials </w:t>
            </w:r>
          </w:p>
        </w:tc>
      </w:tr>
      <w:tr w:rsidR="00062208" w:rsidRPr="00062208" w14:paraId="748D0B37" w14:textId="77777777" w:rsidTr="009F0DDC">
        <w:tc>
          <w:tcPr>
            <w:tcW w:w="1170" w:type="dxa"/>
            <w:vAlign w:val="center"/>
          </w:tcPr>
          <w:p w14:paraId="4A008E1D" w14:textId="77777777" w:rsidR="00062208" w:rsidRPr="00062208" w:rsidRDefault="00062208" w:rsidP="009F0DDC">
            <w:pPr>
              <w:spacing w:before="60" w:after="60"/>
              <w:jc w:val="center"/>
              <w:rPr>
                <w:rFonts w:cs="Arial"/>
                <w:sz w:val="20"/>
                <w:szCs w:val="20"/>
              </w:rPr>
            </w:pPr>
            <w:r w:rsidRPr="00062208">
              <w:rPr>
                <w:rFonts w:cs="Arial"/>
                <w:sz w:val="20"/>
                <w:szCs w:val="20"/>
              </w:rPr>
              <w:t>3d</w:t>
            </w:r>
          </w:p>
        </w:tc>
        <w:tc>
          <w:tcPr>
            <w:tcW w:w="8100" w:type="dxa"/>
            <w:vAlign w:val="center"/>
          </w:tcPr>
          <w:p w14:paraId="1258D26B" w14:textId="77777777" w:rsidR="00062208" w:rsidRPr="00062208" w:rsidRDefault="00062208" w:rsidP="009F0DDC">
            <w:pPr>
              <w:spacing w:before="60" w:after="60"/>
              <w:rPr>
                <w:rFonts w:cs="Arial"/>
                <w:sz w:val="20"/>
                <w:szCs w:val="20"/>
              </w:rPr>
            </w:pPr>
            <w:r w:rsidRPr="00062208">
              <w:rPr>
                <w:rFonts w:cs="Arial"/>
                <w:sz w:val="20"/>
                <w:szCs w:val="20"/>
              </w:rPr>
              <w:t>Include an adequate</w:t>
            </w:r>
            <w:r w:rsidRPr="00062208">
              <w:rPr>
                <w:rStyle w:val="FootnoteReference"/>
                <w:rFonts w:cs="Arial"/>
                <w:sz w:val="20"/>
                <w:szCs w:val="20"/>
              </w:rPr>
              <w:footnoteReference w:id="10"/>
            </w:r>
            <w:r w:rsidRPr="00062208">
              <w:rPr>
                <w:rFonts w:cs="Arial"/>
                <w:sz w:val="20"/>
                <w:szCs w:val="20"/>
              </w:rPr>
              <w:t xml:space="preserve"> description of assumptions or calculation methods</w:t>
            </w:r>
          </w:p>
        </w:tc>
      </w:tr>
      <w:tr w:rsidR="00062208" w:rsidRPr="00062208" w14:paraId="07A22065" w14:textId="77777777" w:rsidTr="009F0DDC">
        <w:tc>
          <w:tcPr>
            <w:tcW w:w="1170" w:type="dxa"/>
            <w:vAlign w:val="center"/>
          </w:tcPr>
          <w:p w14:paraId="61F42D99" w14:textId="77777777" w:rsidR="00062208" w:rsidRPr="00062208" w:rsidRDefault="00062208" w:rsidP="009F0DDC">
            <w:pPr>
              <w:spacing w:before="60" w:after="60"/>
              <w:jc w:val="center"/>
              <w:rPr>
                <w:rFonts w:cs="Arial"/>
                <w:sz w:val="20"/>
                <w:szCs w:val="20"/>
              </w:rPr>
            </w:pPr>
            <w:r w:rsidRPr="00062208">
              <w:rPr>
                <w:rFonts w:cs="Arial"/>
                <w:sz w:val="20"/>
                <w:szCs w:val="20"/>
              </w:rPr>
              <w:t>4</w:t>
            </w:r>
          </w:p>
        </w:tc>
        <w:tc>
          <w:tcPr>
            <w:tcW w:w="8100" w:type="dxa"/>
            <w:vAlign w:val="center"/>
          </w:tcPr>
          <w:p w14:paraId="6F8620B8" w14:textId="77777777" w:rsidR="00062208" w:rsidRPr="00062208" w:rsidRDefault="00062208" w:rsidP="009F0DDC">
            <w:pPr>
              <w:spacing w:before="60" w:after="60"/>
              <w:rPr>
                <w:rFonts w:cs="Arial"/>
                <w:sz w:val="20"/>
                <w:szCs w:val="20"/>
              </w:rPr>
            </w:pPr>
            <w:r w:rsidRPr="00062208">
              <w:rPr>
                <w:rFonts w:cs="Arial"/>
                <w:sz w:val="20"/>
                <w:szCs w:val="20"/>
              </w:rPr>
              <w:t>Pursue up-front collaboration on high impact measures with Commission staff prior to formal submission for review</w:t>
            </w:r>
          </w:p>
        </w:tc>
      </w:tr>
      <w:tr w:rsidR="00062208" w:rsidRPr="00062208" w14:paraId="7E706C46" w14:textId="77777777" w:rsidTr="009F0DDC">
        <w:tc>
          <w:tcPr>
            <w:tcW w:w="1170" w:type="dxa"/>
            <w:vAlign w:val="center"/>
          </w:tcPr>
          <w:p w14:paraId="71C16561" w14:textId="77777777" w:rsidR="00062208" w:rsidRPr="00062208" w:rsidRDefault="00062208" w:rsidP="009F0DDC">
            <w:pPr>
              <w:spacing w:before="60" w:after="60"/>
              <w:jc w:val="center"/>
              <w:rPr>
                <w:rFonts w:cs="Arial"/>
                <w:sz w:val="20"/>
                <w:szCs w:val="20"/>
              </w:rPr>
            </w:pPr>
            <w:r w:rsidRPr="00062208">
              <w:rPr>
                <w:rFonts w:cs="Arial"/>
                <w:sz w:val="20"/>
                <w:szCs w:val="20"/>
              </w:rPr>
              <w:t>7</w:t>
            </w:r>
          </w:p>
        </w:tc>
        <w:tc>
          <w:tcPr>
            <w:tcW w:w="8100" w:type="dxa"/>
            <w:vAlign w:val="center"/>
          </w:tcPr>
          <w:p w14:paraId="235B3E44" w14:textId="77777777" w:rsidR="00062208" w:rsidRPr="00062208" w:rsidRDefault="00062208" w:rsidP="009F0DDC">
            <w:pPr>
              <w:spacing w:before="60" w:after="60"/>
              <w:rPr>
                <w:rFonts w:cs="Arial"/>
                <w:sz w:val="20"/>
                <w:szCs w:val="20"/>
              </w:rPr>
            </w:pPr>
            <w:r w:rsidRPr="00062208">
              <w:rPr>
                <w:rFonts w:cs="Arial"/>
                <w:sz w:val="20"/>
                <w:szCs w:val="20"/>
              </w:rPr>
              <w:t>Include analysis of recent and relevant existing data and projects that are applicable to workpaper technologies for parameter development that reflects professional care, expertise, and experience</w:t>
            </w:r>
          </w:p>
        </w:tc>
      </w:tr>
      <w:tr w:rsidR="00062208" w:rsidRPr="00062208" w14:paraId="299BC3EB" w14:textId="77777777" w:rsidTr="009F0DDC">
        <w:tc>
          <w:tcPr>
            <w:tcW w:w="1170" w:type="dxa"/>
            <w:vAlign w:val="center"/>
          </w:tcPr>
          <w:p w14:paraId="39F6B4C3" w14:textId="77777777" w:rsidR="00062208" w:rsidRPr="00062208" w:rsidRDefault="00062208" w:rsidP="009F0DDC">
            <w:pPr>
              <w:spacing w:before="60" w:after="60"/>
              <w:jc w:val="center"/>
              <w:rPr>
                <w:rFonts w:cs="Arial"/>
                <w:sz w:val="20"/>
                <w:szCs w:val="20"/>
              </w:rPr>
            </w:pPr>
            <w:r w:rsidRPr="00062208">
              <w:rPr>
                <w:rFonts w:cs="Arial"/>
                <w:sz w:val="20"/>
                <w:szCs w:val="20"/>
              </w:rPr>
              <w:t>9</w:t>
            </w:r>
          </w:p>
        </w:tc>
        <w:tc>
          <w:tcPr>
            <w:tcW w:w="8100" w:type="dxa"/>
            <w:vAlign w:val="center"/>
          </w:tcPr>
          <w:p w14:paraId="48817614" w14:textId="77777777" w:rsidR="00062208" w:rsidRPr="00062208" w:rsidRDefault="00062208" w:rsidP="009F0DDC">
            <w:pPr>
              <w:spacing w:before="60" w:after="60"/>
              <w:rPr>
                <w:rFonts w:cs="Arial"/>
                <w:sz w:val="20"/>
                <w:szCs w:val="20"/>
              </w:rPr>
            </w:pPr>
            <w:r w:rsidRPr="00062208">
              <w:rPr>
                <w:rFonts w:cs="Arial"/>
                <w:sz w:val="20"/>
                <w:szCs w:val="20"/>
              </w:rPr>
              <w:t>Appropriately incorporate DEER assumptions, methods, and values for new or modified existing measures using professional care and expertise</w:t>
            </w:r>
          </w:p>
        </w:tc>
      </w:tr>
      <w:tr w:rsidR="00062208" w:rsidRPr="00062208" w14:paraId="307F79CD" w14:textId="77777777" w:rsidTr="009F0DDC">
        <w:tc>
          <w:tcPr>
            <w:tcW w:w="1170" w:type="dxa"/>
            <w:vAlign w:val="center"/>
          </w:tcPr>
          <w:p w14:paraId="57B7E25D" w14:textId="77777777" w:rsidR="00062208" w:rsidRPr="00062208" w:rsidRDefault="00062208" w:rsidP="009F0DDC">
            <w:pPr>
              <w:spacing w:before="60" w:after="60"/>
              <w:jc w:val="center"/>
              <w:rPr>
                <w:rFonts w:cs="Arial"/>
                <w:sz w:val="20"/>
                <w:szCs w:val="20"/>
              </w:rPr>
            </w:pPr>
            <w:r w:rsidRPr="00062208">
              <w:rPr>
                <w:rFonts w:cs="Arial"/>
                <w:sz w:val="20"/>
                <w:szCs w:val="20"/>
              </w:rPr>
              <w:t>10</w:t>
            </w:r>
          </w:p>
        </w:tc>
        <w:tc>
          <w:tcPr>
            <w:tcW w:w="8100" w:type="dxa"/>
            <w:vAlign w:val="center"/>
          </w:tcPr>
          <w:p w14:paraId="4473FB60" w14:textId="77777777" w:rsidR="00062208" w:rsidRPr="00062208" w:rsidRDefault="00062208" w:rsidP="009F0DDC">
            <w:pPr>
              <w:spacing w:before="60" w:after="60"/>
              <w:rPr>
                <w:rFonts w:cs="Arial"/>
                <w:sz w:val="20"/>
                <w:szCs w:val="20"/>
              </w:rPr>
            </w:pPr>
            <w:r w:rsidRPr="00062208">
              <w:rPr>
                <w:rFonts w:cs="Arial"/>
                <w:sz w:val="20"/>
                <w:szCs w:val="20"/>
              </w:rPr>
              <w:t>Incorporate cumulative experience into workpaper through inclusion of an analysis of previous activities, reviews, and direction.  (ED expects IOUs to immediately incorporate disposition guidance into workpapers to be submitted for formal review)</w:t>
            </w:r>
          </w:p>
        </w:tc>
      </w:tr>
    </w:tbl>
    <w:p w14:paraId="7E15288D" w14:textId="77777777" w:rsidR="00F372E4" w:rsidRPr="00062208" w:rsidRDefault="00F372E4" w:rsidP="004D0438">
      <w:pPr>
        <w:rPr>
          <w:sz w:val="20"/>
          <w:szCs w:val="20"/>
        </w:rPr>
      </w:pPr>
    </w:p>
    <w:p w14:paraId="7BB03660" w14:textId="77777777" w:rsidR="00F372E4" w:rsidRDefault="00F372E4">
      <w:r>
        <w:br w:type="page"/>
      </w:r>
    </w:p>
    <w:p w14:paraId="01C2670D" w14:textId="351C7C9C" w:rsidR="00F372E4" w:rsidRDefault="00F372E4" w:rsidP="00F372E4">
      <w:pPr>
        <w:pStyle w:val="Heading1"/>
      </w:pPr>
      <w:r w:rsidRPr="00276CD0">
        <w:lastRenderedPageBreak/>
        <w:t>Appendi</w:t>
      </w:r>
      <w:r w:rsidR="00B20507">
        <w:t>x 5</w:t>
      </w:r>
      <w:r>
        <w:t xml:space="preserve"> – DEER Resources Flow Chart</w:t>
      </w:r>
    </w:p>
    <w:bookmarkStart w:id="111" w:name="_MON_1461829007"/>
    <w:bookmarkEnd w:id="111"/>
    <w:p w14:paraId="47C25A9D" w14:textId="1CD34840" w:rsidR="00F372E4" w:rsidRPr="00F372E4" w:rsidRDefault="00EB141D" w:rsidP="00F372E4">
      <w:r>
        <w:object w:dxaOrig="1531" w:dyaOrig="990" w14:anchorId="188F40FE">
          <v:shape id="_x0000_i1027" type="#_x0000_t75" style="width:76.45pt;height:49.5pt" o:ole="">
            <v:imagedata r:id="rId32" o:title=""/>
          </v:shape>
          <o:OLEObject Type="Embed" ProgID="Word.Document.12" ShapeID="_x0000_i1027" DrawAspect="Icon" ObjectID="_1490636903" r:id="rId33">
            <o:FieldCodes>\s</o:FieldCodes>
          </o:OLEObject>
        </w:object>
      </w:r>
    </w:p>
    <w:p w14:paraId="46F97CF9" w14:textId="0CC1A3A9" w:rsidR="00A037B0" w:rsidRDefault="00A037B0" w:rsidP="004D0438">
      <w:pPr>
        <w:rPr>
          <w:rFonts w:cs="Arial"/>
          <w:b/>
          <w:bCs/>
          <w:kern w:val="32"/>
          <w:sz w:val="32"/>
          <w:szCs w:val="32"/>
        </w:rPr>
      </w:pPr>
      <w:r>
        <w:br w:type="page"/>
      </w:r>
    </w:p>
    <w:p w14:paraId="393A157E" w14:textId="6974C7A9" w:rsidR="00062208" w:rsidRDefault="000966CC" w:rsidP="003E2A8B">
      <w:pPr>
        <w:pStyle w:val="Heading1"/>
      </w:pPr>
      <w:bookmarkStart w:id="112" w:name="_Toc385593006"/>
      <w:r>
        <w:lastRenderedPageBreak/>
        <w:t>References</w:t>
      </w:r>
      <w:bookmarkEnd w:id="103"/>
      <w:bookmarkEnd w:id="104"/>
      <w:bookmarkEnd w:id="112"/>
      <w:r w:rsidR="00844B27">
        <w:t xml:space="preserve"> </w:t>
      </w:r>
      <w:bookmarkEnd w:id="105"/>
    </w:p>
    <w:p w14:paraId="7F8578EB" w14:textId="77777777" w:rsidR="00062208" w:rsidRPr="00062208" w:rsidRDefault="00062208" w:rsidP="00062208"/>
    <w:p w14:paraId="0A0CB11B" w14:textId="77777777" w:rsidR="00062208" w:rsidRPr="00062208" w:rsidRDefault="00EF3A4A" w:rsidP="00062208">
      <w:r>
        <w:object w:dxaOrig="2069" w:dyaOrig="1320" w14:anchorId="34997F7A">
          <v:shape id="_x0000_i1028" type="#_x0000_t75" style="width:103.45pt;height:66pt" o:ole="">
            <v:imagedata r:id="rId34" o:title=""/>
          </v:shape>
          <o:OLEObject Type="Embed" ProgID="Excel.Sheet.12" ShapeID="_x0000_i1028" DrawAspect="Icon" ObjectID="_1490636904" r:id="rId35"/>
        </w:object>
      </w:r>
    </w:p>
    <w:p w14:paraId="3DFA4064" w14:textId="77777777" w:rsidR="00062208" w:rsidRPr="00062208" w:rsidRDefault="00062208" w:rsidP="00062208"/>
    <w:p w14:paraId="01A13246" w14:textId="77777777" w:rsidR="00EF3A4A" w:rsidRPr="0034235C" w:rsidRDefault="00EF3A4A" w:rsidP="00EF3A4A">
      <w:pPr>
        <w:pStyle w:val="Reminders"/>
        <w:rPr>
          <w:rStyle w:val="ReminderChar"/>
          <w:rFonts w:asciiTheme="minorHAnsi" w:hAnsiTheme="minorHAnsi" w:cstheme="minorHAnsi"/>
          <w:color w:val="auto"/>
          <w:szCs w:val="22"/>
        </w:rPr>
      </w:pPr>
      <w:r w:rsidRPr="0034235C">
        <w:rPr>
          <w:rStyle w:val="ReminderChar"/>
          <w:rFonts w:asciiTheme="minorHAnsi" w:hAnsiTheme="minorHAnsi" w:cstheme="minorHAnsi"/>
          <w:color w:val="auto"/>
          <w:szCs w:val="22"/>
        </w:rPr>
        <w:t>[355]</w:t>
      </w:r>
    </w:p>
    <w:p w14:paraId="20126313" w14:textId="77777777" w:rsidR="00EF3A4A" w:rsidRPr="0034235C" w:rsidRDefault="00EF3A4A" w:rsidP="00EF3A4A">
      <w:pPr>
        <w:pStyle w:val="Reminders"/>
        <w:rPr>
          <w:rStyle w:val="ReminderChar"/>
          <w:rFonts w:asciiTheme="minorHAnsi" w:hAnsiTheme="minorHAnsi" w:cstheme="minorHAnsi"/>
          <w:color w:val="auto"/>
          <w:szCs w:val="22"/>
        </w:rPr>
      </w:pPr>
      <w:r w:rsidRPr="0034235C">
        <w:rPr>
          <w:rStyle w:val="ReminderChar"/>
          <w:rFonts w:asciiTheme="minorHAnsi" w:hAnsiTheme="minorHAnsi" w:cstheme="minorHAnsi"/>
          <w:color w:val="auto"/>
          <w:szCs w:val="22"/>
        </w:rPr>
        <w:t>[422]</w:t>
      </w:r>
    </w:p>
    <w:p w14:paraId="7C6F99DB" w14:textId="77777777" w:rsidR="00EF3A4A" w:rsidRPr="0034235C" w:rsidRDefault="00EF3A4A" w:rsidP="00EF3A4A">
      <w:pPr>
        <w:pStyle w:val="Reminders"/>
        <w:rPr>
          <w:rStyle w:val="ReminderChar"/>
          <w:rFonts w:asciiTheme="minorHAnsi" w:hAnsiTheme="minorHAnsi" w:cstheme="minorHAnsi"/>
          <w:color w:val="auto"/>
          <w:szCs w:val="22"/>
        </w:rPr>
      </w:pPr>
    </w:p>
    <w:p w14:paraId="606E569D" w14:textId="77777777" w:rsidR="00EF3A4A" w:rsidRPr="00397406" w:rsidRDefault="00EF3A4A" w:rsidP="00EF3A4A">
      <w:pPr>
        <w:rPr>
          <w:rFonts w:cstheme="minorHAnsi"/>
        </w:rPr>
      </w:pPr>
      <w:r>
        <w:rPr>
          <w:rFonts w:cstheme="minorHAnsi"/>
        </w:rPr>
        <w:t>[A] ECOVA. (2013). Set-top Boxes and Small Network Equipment.</w:t>
      </w:r>
    </w:p>
    <w:p w14:paraId="3F9F2D94" w14:textId="03FDA46C" w:rsidR="00062208" w:rsidRPr="00062208" w:rsidRDefault="00EF3A4A" w:rsidP="00EF3A4A">
      <w:r>
        <w:t>[B] Research Into Action. (2015). Final Report, Set-Top-Box Pilot and Market Assessment.</w:t>
      </w:r>
    </w:p>
    <w:p w14:paraId="36377F2E" w14:textId="77777777" w:rsidR="00062208" w:rsidRPr="00062208" w:rsidRDefault="00062208" w:rsidP="00062208"/>
    <w:p w14:paraId="27203AB4" w14:textId="77777777" w:rsidR="00062208" w:rsidRPr="00062208" w:rsidRDefault="00062208" w:rsidP="00062208"/>
    <w:p w14:paraId="2861183D" w14:textId="77777777" w:rsidR="00062208" w:rsidRPr="00062208" w:rsidRDefault="00062208" w:rsidP="00062208"/>
    <w:p w14:paraId="00CBCE83" w14:textId="77777777" w:rsidR="00062208" w:rsidRPr="00062208" w:rsidRDefault="00062208" w:rsidP="00062208"/>
    <w:p w14:paraId="0BA69B6E" w14:textId="77777777" w:rsidR="00062208" w:rsidRPr="00062208" w:rsidRDefault="00062208" w:rsidP="00062208"/>
    <w:p w14:paraId="158D0950" w14:textId="77777777" w:rsidR="00062208" w:rsidRPr="00062208" w:rsidRDefault="00062208" w:rsidP="00062208"/>
    <w:p w14:paraId="633F46D6" w14:textId="77777777" w:rsidR="00062208" w:rsidRPr="00062208" w:rsidRDefault="00062208" w:rsidP="00062208"/>
    <w:p w14:paraId="0652F108" w14:textId="77777777" w:rsidR="00062208" w:rsidRPr="00062208" w:rsidRDefault="00062208" w:rsidP="00062208"/>
    <w:p w14:paraId="03049502" w14:textId="77777777" w:rsidR="00062208" w:rsidRPr="00062208" w:rsidRDefault="00062208" w:rsidP="00062208"/>
    <w:p w14:paraId="484DBABB" w14:textId="77777777" w:rsidR="00062208" w:rsidRPr="00062208" w:rsidRDefault="00062208" w:rsidP="00062208"/>
    <w:p w14:paraId="74E72816" w14:textId="77777777" w:rsidR="00062208" w:rsidRPr="00062208" w:rsidRDefault="00062208" w:rsidP="00062208"/>
    <w:p w14:paraId="2251B650" w14:textId="77777777" w:rsidR="00062208" w:rsidRPr="00062208" w:rsidRDefault="00062208" w:rsidP="00062208"/>
    <w:p w14:paraId="31068488" w14:textId="77777777" w:rsidR="00062208" w:rsidRPr="00062208" w:rsidRDefault="00062208" w:rsidP="00062208"/>
    <w:p w14:paraId="2ED5718D" w14:textId="77777777" w:rsidR="00062208" w:rsidRPr="00062208" w:rsidRDefault="00062208" w:rsidP="00062208"/>
    <w:p w14:paraId="28B5161E" w14:textId="77777777" w:rsidR="00062208" w:rsidRPr="00062208" w:rsidRDefault="00062208" w:rsidP="00062208"/>
    <w:p w14:paraId="13B9106E" w14:textId="77777777" w:rsidR="00062208" w:rsidRPr="00062208" w:rsidRDefault="00062208" w:rsidP="00062208"/>
    <w:p w14:paraId="5AD16F30" w14:textId="77777777" w:rsidR="00062208" w:rsidRPr="00062208" w:rsidRDefault="00062208" w:rsidP="00062208"/>
    <w:p w14:paraId="401C94B5" w14:textId="2FA376C8" w:rsidR="00062208" w:rsidRDefault="00062208" w:rsidP="00062208"/>
    <w:p w14:paraId="2D10912D" w14:textId="77777777" w:rsidR="009168A1" w:rsidRPr="00062208" w:rsidRDefault="009168A1" w:rsidP="00062208">
      <w:pPr>
        <w:jc w:val="right"/>
      </w:pPr>
    </w:p>
    <w:sectPr w:rsidR="009168A1" w:rsidRPr="00062208" w:rsidSect="009F0DDC">
      <w:footerReference w:type="default" r:id="rId36"/>
      <w:endnotePr>
        <w:numFmt w:val="decimal"/>
      </w:endnotePr>
      <w:type w:val="continuous"/>
      <w:pgSz w:w="12240" w:h="15840"/>
      <w:pgMar w:top="1440" w:right="171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D12DC" w14:textId="77777777" w:rsidR="003709F9" w:rsidRDefault="003709F9">
      <w:r>
        <w:separator/>
      </w:r>
    </w:p>
    <w:p w14:paraId="3FE96773" w14:textId="77777777" w:rsidR="003709F9" w:rsidRDefault="003709F9"/>
  </w:endnote>
  <w:endnote w:type="continuationSeparator" w:id="0">
    <w:p w14:paraId="453216EC" w14:textId="77777777" w:rsidR="003709F9" w:rsidRDefault="003709F9">
      <w:r>
        <w:continuationSeparator/>
      </w:r>
    </w:p>
    <w:p w14:paraId="2DA63E1E" w14:textId="77777777" w:rsidR="003709F9" w:rsidRDefault="003709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A15A6" w14:textId="77777777" w:rsidR="000A3D4E" w:rsidRDefault="000A3D4E" w:rsidP="00E577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3A15A7" w14:textId="77777777" w:rsidR="000A3D4E" w:rsidRDefault="000A3D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A15A8" w14:textId="77777777" w:rsidR="000A3D4E" w:rsidRPr="00846195" w:rsidRDefault="000A3D4E" w:rsidP="00E57743">
    <w:pPr>
      <w:pStyle w:val="Footer"/>
      <w:framePr w:wrap="around" w:vAnchor="text" w:hAnchor="margin" w:xAlign="center" w:y="1"/>
      <w:rPr>
        <w:rStyle w:val="PageNumber"/>
        <w:b/>
        <w:sz w:val="20"/>
        <w:szCs w:val="20"/>
      </w:rPr>
    </w:pPr>
    <w:r w:rsidRPr="00846195">
      <w:rPr>
        <w:rStyle w:val="PageNumber"/>
        <w:b/>
        <w:sz w:val="20"/>
        <w:szCs w:val="20"/>
      </w:rPr>
      <w:fldChar w:fldCharType="begin"/>
    </w:r>
    <w:r w:rsidRPr="00846195">
      <w:rPr>
        <w:rStyle w:val="PageNumber"/>
        <w:b/>
        <w:sz w:val="20"/>
        <w:szCs w:val="20"/>
      </w:rPr>
      <w:instrText xml:space="preserve">PAGE  </w:instrText>
    </w:r>
    <w:r w:rsidRPr="00846195">
      <w:rPr>
        <w:rStyle w:val="PageNumber"/>
        <w:b/>
        <w:sz w:val="20"/>
        <w:szCs w:val="20"/>
      </w:rPr>
      <w:fldChar w:fldCharType="separate"/>
    </w:r>
    <w:r>
      <w:rPr>
        <w:rStyle w:val="PageNumber"/>
        <w:b/>
        <w:noProof/>
        <w:sz w:val="20"/>
        <w:szCs w:val="20"/>
      </w:rPr>
      <w:t>ii</w:t>
    </w:r>
    <w:r w:rsidRPr="00846195">
      <w:rPr>
        <w:rStyle w:val="PageNumber"/>
        <w:b/>
        <w:sz w:val="20"/>
        <w:szCs w:val="20"/>
      </w:rPr>
      <w:fldChar w:fldCharType="end"/>
    </w:r>
  </w:p>
  <w:p w14:paraId="393A15A9" w14:textId="77777777" w:rsidR="000A3D4E" w:rsidRDefault="000A3D4E" w:rsidP="00D7047A">
    <w:pPr>
      <w:pStyle w:val="Footer"/>
      <w:pBdr>
        <w:top w:val="single" w:sz="4" w:space="1" w:color="auto"/>
      </w:pBdr>
      <w:tabs>
        <w:tab w:val="clear" w:pos="8640"/>
        <w:tab w:val="right" w:pos="9360"/>
      </w:tabs>
      <w:rPr>
        <w:b/>
        <w:sz w:val="20"/>
        <w:szCs w:val="20"/>
      </w:rPr>
    </w:pPr>
    <w:r>
      <w:rPr>
        <w:b/>
        <w:color w:val="FF0000"/>
        <w:sz w:val="20"/>
        <w:szCs w:val="20"/>
      </w:rPr>
      <w:t>Work Paper PGE(End-Use)###</w:t>
    </w:r>
    <w:r>
      <w:rPr>
        <w:b/>
        <w:sz w:val="20"/>
        <w:szCs w:val="20"/>
      </w:rPr>
      <w:t xml:space="preserve">, Revision </w:t>
    </w:r>
    <w:r w:rsidRPr="000170B5">
      <w:rPr>
        <w:b/>
        <w:color w:val="FF0000"/>
        <w:sz w:val="20"/>
        <w:szCs w:val="20"/>
      </w:rPr>
      <w:t>X</w:t>
    </w:r>
    <w:r>
      <w:rPr>
        <w:b/>
        <w:sz w:val="20"/>
        <w:szCs w:val="20"/>
      </w:rPr>
      <w:tab/>
    </w:r>
    <w:r>
      <w:rPr>
        <w:b/>
        <w:sz w:val="20"/>
        <w:szCs w:val="20"/>
      </w:rPr>
      <w:tab/>
      <w:t>11/20/2007</w:t>
    </w:r>
  </w:p>
  <w:p w14:paraId="393A15AA" w14:textId="77777777" w:rsidR="000A3D4E" w:rsidRDefault="000A3D4E" w:rsidP="00D7047A">
    <w:pPr>
      <w:pStyle w:val="Footer"/>
      <w:rPr>
        <w:b/>
        <w:sz w:val="20"/>
        <w:szCs w:val="20"/>
      </w:rPr>
    </w:pPr>
    <w:r>
      <w:rPr>
        <w:b/>
        <w:sz w:val="20"/>
        <w:szCs w:val="20"/>
      </w:rPr>
      <w:t>Pacific Gas &amp; Electric Company</w:t>
    </w:r>
  </w:p>
  <w:p w14:paraId="393A15AB" w14:textId="77777777" w:rsidR="000A3D4E" w:rsidRPr="00844B27" w:rsidRDefault="000A3D4E" w:rsidP="00D7047A">
    <w:pPr>
      <w:pStyle w:val="Footer"/>
      <w:rPr>
        <w:b/>
        <w:color w:val="0000FF"/>
        <w:sz w:val="20"/>
        <w:szCs w:val="20"/>
      </w:rPr>
    </w:pPr>
    <w:r w:rsidRPr="00844B27">
      <w:rPr>
        <w:b/>
        <w:color w:val="0000FF"/>
        <w:sz w:val="20"/>
        <w:szCs w:val="20"/>
      </w:rPr>
      <w:fldChar w:fldCharType="begin"/>
    </w:r>
    <w:r w:rsidRPr="00844B27">
      <w:rPr>
        <w:b/>
        <w:color w:val="0000FF"/>
        <w:sz w:val="20"/>
        <w:szCs w:val="20"/>
      </w:rPr>
      <w:instrText xml:space="preserve"> FILENAME </w:instrText>
    </w:r>
    <w:r w:rsidRPr="00844B27">
      <w:rPr>
        <w:b/>
        <w:color w:val="0000FF"/>
        <w:sz w:val="20"/>
        <w:szCs w:val="20"/>
      </w:rPr>
      <w:fldChar w:fldCharType="separate"/>
    </w:r>
    <w:r>
      <w:rPr>
        <w:b/>
        <w:noProof/>
        <w:color w:val="0000FF"/>
        <w:sz w:val="20"/>
        <w:szCs w:val="20"/>
      </w:rPr>
      <w:t>PGECOAPP127 R0 Clothes Washers.docx</w:t>
    </w:r>
    <w:r w:rsidRPr="00844B27">
      <w:rPr>
        <w:b/>
        <w:color w:val="0000F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A15AD" w14:textId="237591B6" w:rsidR="000A3D4E" w:rsidRPr="002E0E3F" w:rsidRDefault="000A3D4E" w:rsidP="00274A7E">
    <w:pPr>
      <w:pStyle w:val="Footer"/>
      <w:jc w:val="right"/>
      <w:rPr>
        <w:rFonts w:cs="Arial"/>
        <w:b/>
        <w:sz w:val="36"/>
        <w:szCs w:val="36"/>
      </w:rPr>
    </w:pPr>
    <w:r>
      <w:rPr>
        <w:rFonts w:cs="Arial"/>
        <w:b/>
        <w:sz w:val="36"/>
        <w:szCs w:val="36"/>
      </w:rPr>
      <w:t xml:space="preserve">04/13/2015 </w:t>
    </w:r>
  </w:p>
  <w:p w14:paraId="393A15AE" w14:textId="77777777" w:rsidR="000A3D4E" w:rsidRDefault="000A3D4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A15B2" w14:textId="77777777" w:rsidR="000A3D4E" w:rsidRDefault="000A3D4E" w:rsidP="00E577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3A15B3" w14:textId="77777777" w:rsidR="000A3D4E" w:rsidRDefault="000A3D4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1B921" w14:textId="095D2D30" w:rsidR="000A3D4E" w:rsidRPr="00EB39D0" w:rsidRDefault="000A3D4E" w:rsidP="00EB39D0">
    <w:pPr>
      <w:pStyle w:val="Footer"/>
      <w:pBdr>
        <w:top w:val="single" w:sz="4" w:space="1" w:color="auto"/>
      </w:pBdr>
      <w:tabs>
        <w:tab w:val="clear" w:pos="4320"/>
        <w:tab w:val="clear" w:pos="8640"/>
        <w:tab w:val="right" w:pos="9360"/>
      </w:tabs>
      <w:rPr>
        <w:sz w:val="18"/>
        <w:szCs w:val="18"/>
      </w:rPr>
    </w:pPr>
    <w:r w:rsidRPr="00757FCE">
      <w:rPr>
        <w:sz w:val="18"/>
        <w:szCs w:val="18"/>
      </w:rPr>
      <w:t>Workpaper Name &amp; Revision Number</w:t>
    </w:r>
    <w:r w:rsidRPr="00757FCE">
      <w:rPr>
        <w:sz w:val="18"/>
        <w:szCs w:val="18"/>
      </w:rPr>
      <w:tab/>
    </w:r>
    <w:r>
      <w:rPr>
        <w:sz w:val="18"/>
        <w:szCs w:val="18"/>
      </w:rPr>
      <w:t>5/9/2014</w:t>
    </w:r>
  </w:p>
  <w:p w14:paraId="6AAE9732" w14:textId="707773E7" w:rsidR="000A3D4E" w:rsidRDefault="003709F9">
    <w:pPr>
      <w:pStyle w:val="Footer"/>
      <w:jc w:val="center"/>
    </w:pPr>
    <w:sdt>
      <w:sdtPr>
        <w:id w:val="849610852"/>
        <w:docPartObj>
          <w:docPartGallery w:val="Page Numbers (Bottom of Page)"/>
          <w:docPartUnique/>
        </w:docPartObj>
      </w:sdtPr>
      <w:sdtEndPr>
        <w:rPr>
          <w:noProof/>
        </w:rPr>
      </w:sdtEndPr>
      <w:sdtContent>
        <w:r w:rsidR="000A3D4E">
          <w:fldChar w:fldCharType="begin"/>
        </w:r>
        <w:r w:rsidR="000A3D4E">
          <w:instrText xml:space="preserve"> PAGE   \* MERGEFORMAT </w:instrText>
        </w:r>
        <w:r w:rsidR="000A3D4E">
          <w:fldChar w:fldCharType="separate"/>
        </w:r>
        <w:r w:rsidR="00196625">
          <w:rPr>
            <w:noProof/>
          </w:rPr>
          <w:t>ii</w:t>
        </w:r>
        <w:r w:rsidR="000A3D4E">
          <w:rPr>
            <w:noProof/>
          </w:rPr>
          <w:fldChar w:fldCharType="end"/>
        </w:r>
      </w:sdtContent>
    </w:sdt>
  </w:p>
  <w:p w14:paraId="4E0F0775" w14:textId="77777777" w:rsidR="000A3D4E" w:rsidRDefault="000A3D4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A15B8" w14:textId="77777777" w:rsidR="000A3D4E" w:rsidRPr="002E0E3F" w:rsidRDefault="000A3D4E" w:rsidP="00D7047A">
    <w:pPr>
      <w:pStyle w:val="Footer"/>
      <w:jc w:val="right"/>
      <w:rPr>
        <w:rFonts w:cs="Arial"/>
        <w:b/>
        <w:sz w:val="36"/>
        <w:szCs w:val="36"/>
      </w:rPr>
    </w:pPr>
    <w:r>
      <w:rPr>
        <w:rFonts w:cs="Arial"/>
        <w:b/>
        <w:sz w:val="36"/>
        <w:szCs w:val="36"/>
      </w:rPr>
      <w:t>Date of Last Revision</w:t>
    </w:r>
  </w:p>
  <w:p w14:paraId="393A15B9" w14:textId="77777777" w:rsidR="000A3D4E" w:rsidRDefault="000A3D4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33261" w14:textId="77777777" w:rsidR="000A3D4E" w:rsidRPr="00EB39D0" w:rsidRDefault="000A3D4E" w:rsidP="00EB39D0">
    <w:pPr>
      <w:pStyle w:val="Footer"/>
      <w:pBdr>
        <w:top w:val="single" w:sz="4" w:space="1" w:color="auto"/>
      </w:pBdr>
      <w:tabs>
        <w:tab w:val="clear" w:pos="4320"/>
        <w:tab w:val="clear" w:pos="8640"/>
        <w:tab w:val="right" w:pos="9360"/>
      </w:tabs>
      <w:rPr>
        <w:sz w:val="18"/>
        <w:szCs w:val="18"/>
      </w:rPr>
    </w:pPr>
    <w:r w:rsidRPr="00757FCE">
      <w:rPr>
        <w:sz w:val="18"/>
        <w:szCs w:val="18"/>
      </w:rPr>
      <w:t>Workpaper Name &amp; Revision Number</w:t>
    </w:r>
    <w:r w:rsidRPr="00757FCE">
      <w:rPr>
        <w:sz w:val="18"/>
        <w:szCs w:val="18"/>
      </w:rPr>
      <w:tab/>
    </w:r>
    <w:r>
      <w:rPr>
        <w:sz w:val="18"/>
        <w:szCs w:val="18"/>
      </w:rPr>
      <w:t>4/15/2014</w:t>
    </w:r>
  </w:p>
  <w:p w14:paraId="1A505DCD" w14:textId="77777777" w:rsidR="000A3D4E" w:rsidRDefault="003709F9">
    <w:pPr>
      <w:pStyle w:val="Footer"/>
      <w:jc w:val="center"/>
    </w:pPr>
    <w:sdt>
      <w:sdtPr>
        <w:id w:val="-1460566173"/>
        <w:docPartObj>
          <w:docPartGallery w:val="Page Numbers (Bottom of Page)"/>
          <w:docPartUnique/>
        </w:docPartObj>
      </w:sdtPr>
      <w:sdtEndPr>
        <w:rPr>
          <w:noProof/>
        </w:rPr>
      </w:sdtEndPr>
      <w:sdtContent>
        <w:r w:rsidR="000A3D4E">
          <w:fldChar w:fldCharType="begin"/>
        </w:r>
        <w:r w:rsidR="000A3D4E">
          <w:instrText xml:space="preserve"> PAGE   \* MERGEFORMAT </w:instrText>
        </w:r>
        <w:r w:rsidR="000A3D4E">
          <w:fldChar w:fldCharType="separate"/>
        </w:r>
        <w:r w:rsidR="00196625">
          <w:rPr>
            <w:noProof/>
          </w:rPr>
          <w:t>iv</w:t>
        </w:r>
        <w:r w:rsidR="000A3D4E">
          <w:rPr>
            <w:noProof/>
          </w:rPr>
          <w:fldChar w:fldCharType="end"/>
        </w:r>
      </w:sdtContent>
    </w:sdt>
  </w:p>
  <w:p w14:paraId="182B3B8B" w14:textId="77777777" w:rsidR="000A3D4E" w:rsidRDefault="000A3D4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12308" w14:textId="77777777" w:rsidR="000A3D4E" w:rsidRPr="00EB39D0" w:rsidRDefault="000A3D4E" w:rsidP="00EB39D0">
    <w:pPr>
      <w:pStyle w:val="Footer"/>
      <w:pBdr>
        <w:top w:val="single" w:sz="4" w:space="1" w:color="auto"/>
      </w:pBdr>
      <w:tabs>
        <w:tab w:val="clear" w:pos="4320"/>
        <w:tab w:val="clear" w:pos="8640"/>
        <w:tab w:val="right" w:pos="9360"/>
      </w:tabs>
      <w:rPr>
        <w:sz w:val="18"/>
        <w:szCs w:val="18"/>
      </w:rPr>
    </w:pPr>
    <w:r w:rsidRPr="00757FCE">
      <w:rPr>
        <w:sz w:val="18"/>
        <w:szCs w:val="18"/>
      </w:rPr>
      <w:t>Workpaper Name &amp; Revision Number</w:t>
    </w:r>
    <w:r w:rsidRPr="00757FCE">
      <w:rPr>
        <w:sz w:val="18"/>
        <w:szCs w:val="18"/>
      </w:rPr>
      <w:tab/>
    </w:r>
    <w:r>
      <w:rPr>
        <w:sz w:val="18"/>
        <w:szCs w:val="18"/>
      </w:rPr>
      <w:t>4/15/2014</w:t>
    </w:r>
  </w:p>
  <w:p w14:paraId="3B29DC06" w14:textId="77777777" w:rsidR="000A3D4E" w:rsidRDefault="003709F9">
    <w:pPr>
      <w:pStyle w:val="Footer"/>
      <w:jc w:val="center"/>
    </w:pPr>
    <w:sdt>
      <w:sdtPr>
        <w:id w:val="991754316"/>
        <w:docPartObj>
          <w:docPartGallery w:val="Page Numbers (Bottom of Page)"/>
          <w:docPartUnique/>
        </w:docPartObj>
      </w:sdtPr>
      <w:sdtEndPr>
        <w:rPr>
          <w:noProof/>
        </w:rPr>
      </w:sdtEndPr>
      <w:sdtContent>
        <w:r w:rsidR="000A3D4E">
          <w:fldChar w:fldCharType="begin"/>
        </w:r>
        <w:r w:rsidR="000A3D4E">
          <w:instrText xml:space="preserve"> PAGE   \* MERGEFORMAT </w:instrText>
        </w:r>
        <w:r w:rsidR="000A3D4E">
          <w:fldChar w:fldCharType="separate"/>
        </w:r>
        <w:r w:rsidR="00196625">
          <w:rPr>
            <w:noProof/>
          </w:rPr>
          <w:t>23</w:t>
        </w:r>
        <w:r w:rsidR="000A3D4E">
          <w:rPr>
            <w:noProof/>
          </w:rPr>
          <w:fldChar w:fldCharType="end"/>
        </w:r>
      </w:sdtContent>
    </w:sdt>
  </w:p>
  <w:p w14:paraId="4FEA9E3B" w14:textId="77777777" w:rsidR="000A3D4E" w:rsidRDefault="000A3D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8A349" w14:textId="77777777" w:rsidR="003709F9" w:rsidRDefault="003709F9">
      <w:r>
        <w:separator/>
      </w:r>
    </w:p>
    <w:p w14:paraId="536D0002" w14:textId="77777777" w:rsidR="003709F9" w:rsidRDefault="003709F9"/>
  </w:footnote>
  <w:footnote w:type="continuationSeparator" w:id="0">
    <w:p w14:paraId="5F1C1813" w14:textId="77777777" w:rsidR="003709F9" w:rsidRDefault="003709F9">
      <w:r>
        <w:continuationSeparator/>
      </w:r>
    </w:p>
    <w:p w14:paraId="53D47EBF" w14:textId="77777777" w:rsidR="003709F9" w:rsidRDefault="003709F9"/>
  </w:footnote>
  <w:footnote w:id="1">
    <w:p w14:paraId="3BE67B43" w14:textId="15387175" w:rsidR="000A3D4E" w:rsidRDefault="000A3D4E">
      <w:pPr>
        <w:pStyle w:val="FootnoteText"/>
      </w:pPr>
      <w:r>
        <w:rPr>
          <w:rStyle w:val="FootnoteReference"/>
        </w:rPr>
        <w:footnoteRef/>
      </w:r>
      <w:r>
        <w:t xml:space="preserve"> Full measure cost = measure equipment cost + measure labor cost</w:t>
      </w:r>
    </w:p>
  </w:footnote>
  <w:footnote w:id="2">
    <w:p w14:paraId="488E5CA8" w14:textId="5EDC5E8F" w:rsidR="000A3D4E" w:rsidRDefault="000A3D4E">
      <w:pPr>
        <w:pStyle w:val="FootnoteText"/>
        <w:rPr>
          <w:sz w:val="18"/>
          <w:szCs w:val="18"/>
        </w:rPr>
      </w:pPr>
      <w:r w:rsidRPr="001D4579">
        <w:rPr>
          <w:rStyle w:val="FootnoteReference"/>
          <w:sz w:val="18"/>
          <w:szCs w:val="18"/>
        </w:rPr>
        <w:footnoteRef/>
      </w:r>
      <w:r w:rsidRPr="001D4579">
        <w:rPr>
          <w:sz w:val="18"/>
          <w:szCs w:val="18"/>
        </w:rPr>
        <w:t xml:space="preserve"> </w:t>
      </w:r>
      <w:r>
        <w:rPr>
          <w:sz w:val="18"/>
          <w:szCs w:val="18"/>
        </w:rPr>
        <w:t>Incremental measure cost = Measure equipment cost – Baseline equipment cost</w:t>
      </w:r>
    </w:p>
    <w:p w14:paraId="1417B080" w14:textId="77777777" w:rsidR="000A3D4E" w:rsidRPr="001D4579" w:rsidRDefault="000A3D4E">
      <w:pPr>
        <w:pStyle w:val="FootnoteText"/>
        <w:rPr>
          <w:sz w:val="18"/>
          <w:szCs w:val="18"/>
        </w:rPr>
      </w:pPr>
    </w:p>
  </w:footnote>
  <w:footnote w:id="3">
    <w:p w14:paraId="76AF3B48" w14:textId="03DFDA57" w:rsidR="000A3D4E" w:rsidRPr="002C408C" w:rsidRDefault="000A3D4E">
      <w:pPr>
        <w:pStyle w:val="FootnoteText"/>
        <w:rPr>
          <w:sz w:val="18"/>
          <w:szCs w:val="18"/>
        </w:rPr>
      </w:pPr>
      <w:r w:rsidRPr="002C408C">
        <w:rPr>
          <w:rStyle w:val="FootnoteReference"/>
          <w:sz w:val="18"/>
          <w:szCs w:val="18"/>
        </w:rPr>
        <w:footnoteRef/>
      </w:r>
      <w:r w:rsidRPr="002C408C">
        <w:rPr>
          <w:sz w:val="18"/>
          <w:szCs w:val="18"/>
        </w:rPr>
        <w:t xml:space="preserve"> Full measure cost = measure equipment cost + installation cost</w:t>
      </w:r>
      <w:r>
        <w:rPr>
          <w:sz w:val="18"/>
          <w:szCs w:val="18"/>
        </w:rPr>
        <w:t>, for first baseline period</w:t>
      </w:r>
    </w:p>
  </w:footnote>
  <w:footnote w:id="4">
    <w:p w14:paraId="39674DA4" w14:textId="585727B2" w:rsidR="000A3D4E" w:rsidRPr="002C408C" w:rsidRDefault="000A3D4E">
      <w:pPr>
        <w:pStyle w:val="FootnoteText"/>
        <w:rPr>
          <w:sz w:val="18"/>
          <w:szCs w:val="18"/>
        </w:rPr>
      </w:pPr>
      <w:r w:rsidRPr="002C408C">
        <w:rPr>
          <w:rStyle w:val="FootnoteReference"/>
          <w:sz w:val="18"/>
          <w:szCs w:val="18"/>
        </w:rPr>
        <w:footnoteRef/>
      </w:r>
      <w:r w:rsidRPr="002C408C">
        <w:rPr>
          <w:sz w:val="18"/>
          <w:szCs w:val="18"/>
        </w:rPr>
        <w:t xml:space="preserve"> Full base cost = 2</w:t>
      </w:r>
      <w:r w:rsidRPr="002C408C">
        <w:rPr>
          <w:sz w:val="18"/>
          <w:szCs w:val="18"/>
          <w:vertAlign w:val="superscript"/>
        </w:rPr>
        <w:t>nd</w:t>
      </w:r>
      <w:r w:rsidRPr="002C408C">
        <w:rPr>
          <w:sz w:val="18"/>
          <w:szCs w:val="18"/>
        </w:rPr>
        <w:t xml:space="preserve"> baseline equipment cost + installation cost</w:t>
      </w:r>
      <w:r>
        <w:rPr>
          <w:sz w:val="18"/>
          <w:szCs w:val="18"/>
        </w:rPr>
        <w:t>, for the second baseline period</w:t>
      </w:r>
    </w:p>
  </w:footnote>
  <w:footnote w:id="5">
    <w:p w14:paraId="2401208C" w14:textId="0E5ABEE5" w:rsidR="000A3D4E" w:rsidRDefault="000A3D4E">
      <w:pPr>
        <w:pStyle w:val="FootnoteText"/>
      </w:pPr>
      <w:r>
        <w:rPr>
          <w:rStyle w:val="FootnoteReference"/>
        </w:rPr>
        <w:footnoteRef/>
      </w:r>
      <w:r>
        <w:t xml:space="preserve"> </w:t>
      </w:r>
      <w:r>
        <w:rPr>
          <w:sz w:val="18"/>
          <w:szCs w:val="18"/>
        </w:rPr>
        <w:t>The E3 calculator determines the net present value of the second baseline cost and subtracts it from the first baseline cost</w:t>
      </w:r>
      <w:r w:rsidRPr="00452747">
        <w:rPr>
          <w:sz w:val="18"/>
          <w:szCs w:val="18"/>
        </w:rPr>
        <w:t xml:space="preserve"> </w:t>
      </w:r>
      <w:r>
        <w:rPr>
          <w:sz w:val="18"/>
          <w:szCs w:val="18"/>
        </w:rPr>
        <w:t xml:space="preserve">to determine the measure cost for the early retirement measure.  </w:t>
      </w:r>
      <w:r w:rsidRPr="00452747">
        <w:rPr>
          <w:sz w:val="18"/>
          <w:szCs w:val="18"/>
        </w:rPr>
        <w:t xml:space="preserve">According to the Energy Efficiency Policy Manual v.5 at page 32, the measure cost for an early-retirement case is “the full cost incurred to install the new high-efficiency measure or project, reduced by the net present value of the full cost that would have been incurred to install the standard efficiency second baseline equipment at the end of the [RUL] period”.  </w:t>
      </w:r>
    </w:p>
  </w:footnote>
  <w:footnote w:id="6">
    <w:p w14:paraId="68227A74" w14:textId="5A63693B" w:rsidR="000A3D4E" w:rsidRPr="00452747" w:rsidRDefault="000A3D4E" w:rsidP="001A646D">
      <w:pPr>
        <w:pStyle w:val="FootnoteText"/>
        <w:rPr>
          <w:sz w:val="18"/>
          <w:szCs w:val="18"/>
        </w:rPr>
      </w:pPr>
      <w:r w:rsidRPr="00452747">
        <w:rPr>
          <w:rStyle w:val="FootnoteReference"/>
          <w:sz w:val="18"/>
          <w:szCs w:val="18"/>
        </w:rPr>
        <w:footnoteRef/>
      </w:r>
      <w:r w:rsidRPr="00452747">
        <w:rPr>
          <w:sz w:val="18"/>
          <w:szCs w:val="18"/>
        </w:rPr>
        <w:t xml:space="preserve"> According to the Energy Efficiency Policy Manual v.5 at page 32, the measure cost for an early-retirement case is “the full cost incurred to install the new high-efficiency measure or project, reduced by the net present value of the full cost that would have been incurred to install the standard efficiency second baseline equipment at the end of the [RUL] period”.  </w:t>
      </w:r>
      <w:r>
        <w:rPr>
          <w:sz w:val="18"/>
          <w:szCs w:val="18"/>
        </w:rPr>
        <w:t>Page 33 elaborates that</w:t>
      </w:r>
      <w:r w:rsidRPr="001A646D">
        <w:rPr>
          <w:sz w:val="18"/>
          <w:szCs w:val="18"/>
        </w:rPr>
        <w:t xml:space="preserve"> “the period between the RUL and EUL defines the second baseline calculation period…the measure cost for this period is the full cost of equipment, including installation, for the second baseline equipment measure”.</w:t>
      </w:r>
      <w:r>
        <w:rPr>
          <w:sz w:val="18"/>
          <w:szCs w:val="18"/>
        </w:rPr>
        <w:t xml:space="preserve">  </w:t>
      </w:r>
    </w:p>
  </w:footnote>
  <w:footnote w:id="7">
    <w:p w14:paraId="1BC83D63" w14:textId="77777777" w:rsidR="000A3D4E" w:rsidRDefault="000A3D4E" w:rsidP="00A54B8A">
      <w:pPr>
        <w:pStyle w:val="FootnoteText"/>
      </w:pPr>
      <w:r>
        <w:rPr>
          <w:rStyle w:val="FootnoteReference"/>
        </w:rPr>
        <w:footnoteRef/>
      </w:r>
      <w:r>
        <w:t xml:space="preserve"> The E</w:t>
      </w:r>
      <w:r w:rsidRPr="00452747">
        <w:rPr>
          <w:sz w:val="18"/>
          <w:szCs w:val="18"/>
        </w:rPr>
        <w:t>nergy Efficiency Policy Manual v.5 at page 3</w:t>
      </w:r>
      <w:r>
        <w:rPr>
          <w:sz w:val="18"/>
          <w:szCs w:val="18"/>
        </w:rPr>
        <w:t>3 states “the remaining useful life (RUL)…[is established by DEER] as one-third of the expected useful life (EUL) for the equipment type”.</w:t>
      </w:r>
    </w:p>
  </w:footnote>
  <w:footnote w:id="8">
    <w:p w14:paraId="257084D7" w14:textId="78110F84" w:rsidR="000A3D4E" w:rsidRPr="00F54A23" w:rsidRDefault="000A3D4E" w:rsidP="00062208">
      <w:pPr>
        <w:pStyle w:val="FootnoteText"/>
        <w:rPr>
          <w:sz w:val="18"/>
          <w:szCs w:val="18"/>
        </w:rPr>
      </w:pPr>
      <w:r w:rsidRPr="00F54A23">
        <w:rPr>
          <w:rStyle w:val="FootnoteReference"/>
          <w:sz w:val="18"/>
          <w:szCs w:val="18"/>
        </w:rPr>
        <w:footnoteRef/>
      </w:r>
      <w:r w:rsidRPr="00F54A23">
        <w:rPr>
          <w:sz w:val="18"/>
          <w:szCs w:val="18"/>
        </w:rPr>
        <w:t xml:space="preserve"> The Uniform Workpaper Template is not posted </w:t>
      </w:r>
      <w:r>
        <w:rPr>
          <w:sz w:val="18"/>
          <w:szCs w:val="18"/>
        </w:rPr>
        <w:t>on the DEER website as of 4/21/14</w:t>
      </w:r>
      <w:r w:rsidRPr="00F54A23">
        <w:rPr>
          <w:sz w:val="18"/>
          <w:szCs w:val="18"/>
        </w:rPr>
        <w:t>, and is currently in Microsoft Access Database format.</w:t>
      </w:r>
    </w:p>
  </w:footnote>
  <w:footnote w:id="9">
    <w:p w14:paraId="68A4FE00" w14:textId="77777777" w:rsidR="000A3D4E" w:rsidRPr="00951B69" w:rsidRDefault="000A3D4E" w:rsidP="00062208">
      <w:pPr>
        <w:pStyle w:val="FootnoteText"/>
        <w:rPr>
          <w:sz w:val="18"/>
          <w:szCs w:val="18"/>
        </w:rPr>
      </w:pPr>
      <w:r w:rsidRPr="00F54A23">
        <w:rPr>
          <w:rStyle w:val="FootnoteReference"/>
          <w:sz w:val="18"/>
          <w:szCs w:val="18"/>
        </w:rPr>
        <w:footnoteRef/>
      </w:r>
      <w:r w:rsidRPr="00F54A23">
        <w:rPr>
          <w:sz w:val="18"/>
          <w:szCs w:val="18"/>
        </w:rPr>
        <w:t xml:space="preserve"> Metric 3 is not split among a – d in Attachment 7, however metric 3 was separated into four subcategories in this document </w:t>
      </w:r>
      <w:r w:rsidRPr="00951B69">
        <w:rPr>
          <w:sz w:val="18"/>
          <w:szCs w:val="18"/>
        </w:rPr>
        <w:t>for the purposes of identifying individual workpaper development actions to address quality.</w:t>
      </w:r>
    </w:p>
  </w:footnote>
  <w:footnote w:id="10">
    <w:p w14:paraId="1CB1344C" w14:textId="77777777" w:rsidR="000A3D4E" w:rsidRPr="00951B69" w:rsidRDefault="000A3D4E" w:rsidP="00062208">
      <w:pPr>
        <w:pStyle w:val="FootnoteText"/>
        <w:rPr>
          <w:sz w:val="18"/>
          <w:szCs w:val="18"/>
        </w:rPr>
      </w:pPr>
      <w:r w:rsidRPr="00951B69">
        <w:rPr>
          <w:rStyle w:val="FootnoteReference"/>
          <w:sz w:val="18"/>
          <w:szCs w:val="18"/>
        </w:rPr>
        <w:footnoteRef/>
      </w:r>
      <w:r w:rsidRPr="00951B69">
        <w:rPr>
          <w:sz w:val="18"/>
          <w:szCs w:val="18"/>
        </w:rPr>
        <w:t xml:space="preserve"> “Adequate” is defined in Attachment 7 such that derivations of underlying assumptions of workpaper are easy to understand by the CPUC reviewer.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A15A3" w14:textId="1A8066B5" w:rsidR="000A3D4E" w:rsidRDefault="000A3D4E">
    <w:pPr>
      <w:pStyle w:val="Header"/>
    </w:pPr>
    <w:r>
      <w:rPr>
        <w:noProof/>
      </w:rPr>
      <mc:AlternateContent>
        <mc:Choice Requires="wps">
          <w:drawing>
            <wp:anchor distT="0" distB="0" distL="114300" distR="114300" simplePos="0" relativeHeight="251659264" behindDoc="1" locked="0" layoutInCell="1" allowOverlap="1" wp14:anchorId="393A15BA" wp14:editId="177910A6">
              <wp:simplePos x="0" y="0"/>
              <wp:positionH relativeFrom="margin">
                <wp:align>center</wp:align>
              </wp:positionH>
              <wp:positionV relativeFrom="margin">
                <wp:align>center</wp:align>
              </wp:positionV>
              <wp:extent cx="5525135" cy="2209800"/>
              <wp:effectExtent l="0" t="1409700" r="0" b="127635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AE24D8" w14:textId="77777777" w:rsidR="000A3D4E" w:rsidRDefault="000A3D4E" w:rsidP="00DD4BD7">
                          <w:pPr>
                            <w:pStyle w:val="NormalWeb"/>
                            <w:spacing w:before="0" w:beforeAutospacing="0" w:after="0" w:afterAutospacing="0"/>
                            <w:jc w:val="center"/>
                            <w:rPr>
                              <w:sz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93A15BA" id="_x0000_t202" coordsize="21600,21600" o:spt="202" path="m,l,21600r21600,l21600,xe">
              <v:stroke joinstyle="miter"/>
              <v:path gradientshapeok="t" o:connecttype="rect"/>
            </v:shapetype>
            <v:shape id="WordArt 5" o:spid="_x0000_s1026" type="#_x0000_t202" style="position:absolute;margin-left:0;margin-top:0;width:435.05pt;height:17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" filled="f" stroked="f">
              <v:stroke joinstyle="round"/>
              <o:lock v:ext="edit" shapetype="t"/>
              <v:textbox style="mso-fit-shape-to-text:t">
                <w:txbxContent>
                  <w:p w14:paraId="17AE24D8" w14:textId="77777777" w:rsidR="000A3D4E" w:rsidRDefault="000A3D4E" w:rsidP="00DD4BD7">
                    <w:pPr>
                      <w:pStyle w:val="NormalWeb"/>
                      <w:spacing w:before="0" w:beforeAutospacing="0" w:after="0" w:afterAutospacing="0"/>
                      <w:jc w:val="center"/>
                      <w:rPr>
                        <w:sz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A15A4" w14:textId="77777777" w:rsidR="000A3D4E" w:rsidRDefault="000A3D4E" w:rsidP="001A573F">
    <w:pPr>
      <w:pStyle w:val="Header"/>
      <w:jc w:val="right"/>
    </w:pPr>
  </w:p>
  <w:p w14:paraId="393A15A5" w14:textId="77777777" w:rsidR="000A3D4E" w:rsidRDefault="000A3D4E" w:rsidP="001A573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A15AC" w14:textId="11F75277" w:rsidR="000A3D4E" w:rsidRDefault="000A3D4E">
    <w:pPr>
      <w:pStyle w:val="Header"/>
    </w:pPr>
    <w:r>
      <w:rPr>
        <w:noProof/>
      </w:rPr>
      <mc:AlternateContent>
        <mc:Choice Requires="wps">
          <w:drawing>
            <wp:anchor distT="0" distB="0" distL="114300" distR="114300" simplePos="0" relativeHeight="251658240" behindDoc="1" locked="0" layoutInCell="1" allowOverlap="1" wp14:anchorId="393A15BB" wp14:editId="48E846F7">
              <wp:simplePos x="0" y="0"/>
              <wp:positionH relativeFrom="margin">
                <wp:align>center</wp:align>
              </wp:positionH>
              <wp:positionV relativeFrom="margin">
                <wp:align>center</wp:align>
              </wp:positionV>
              <wp:extent cx="5525135" cy="2209800"/>
              <wp:effectExtent l="0" t="1409700" r="0" b="127635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B7511F" w14:textId="77777777" w:rsidR="000A3D4E" w:rsidRDefault="000A3D4E" w:rsidP="00DD4BD7">
                          <w:pPr>
                            <w:pStyle w:val="NormalWeb"/>
                            <w:spacing w:before="0" w:beforeAutospacing="0" w:after="0" w:afterAutospacing="0"/>
                            <w:jc w:val="center"/>
                            <w:rPr>
                              <w:sz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93A15BB" id="_x0000_t202" coordsize="21600,21600" o:spt="202" path="m,l,21600r21600,l21600,xe">
              <v:stroke joinstyle="miter"/>
              <v:path gradientshapeok="t" o:connecttype="rect"/>
            </v:shapetype>
            <v:shape id="WordArt 4" o:spid="_x0000_s1027" type="#_x0000_t202" style="position:absolute;margin-left:0;margin-top:0;width:435.05pt;height:17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" filled="f" stroked="f">
              <v:stroke joinstyle="round"/>
              <o:lock v:ext="edit" shapetype="t"/>
              <v:textbox style="mso-fit-shape-to-text:t">
                <w:txbxContent>
                  <w:p w14:paraId="50B7511F" w14:textId="77777777" w:rsidR="000A3D4E" w:rsidRDefault="000A3D4E" w:rsidP="00DD4BD7">
                    <w:pPr>
                      <w:pStyle w:val="NormalWeb"/>
                      <w:spacing w:before="0" w:beforeAutospacing="0" w:after="0" w:afterAutospacing="0"/>
                      <w:jc w:val="center"/>
                      <w:rPr>
                        <w:sz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A15AF" w14:textId="77777777" w:rsidR="000A3D4E" w:rsidRDefault="003709F9">
    <w:pPr>
      <w:pStyle w:val="Header"/>
    </w:pPr>
    <w:r>
      <w:rPr>
        <w:noProof/>
      </w:rPr>
      <w:pict w14:anchorId="393A15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9264;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A15B0" w14:textId="77777777" w:rsidR="000A3D4E" w:rsidRDefault="000A3D4E" w:rsidP="001A573F">
    <w:pPr>
      <w:pStyle w:val="Header"/>
      <w:jc w:val="right"/>
    </w:pPr>
  </w:p>
  <w:p w14:paraId="393A15B1" w14:textId="77777777" w:rsidR="000A3D4E" w:rsidRDefault="000A3D4E" w:rsidP="001A573F">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A15B7" w14:textId="77777777" w:rsidR="000A3D4E" w:rsidRDefault="003709F9">
    <w:pPr>
      <w:pStyle w:val="Header"/>
    </w:pPr>
    <w:r>
      <w:rPr>
        <w:noProof/>
      </w:rPr>
      <w:pict w14:anchorId="393A15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60288;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33C9"/>
    <w:multiLevelType w:val="hybridMultilevel"/>
    <w:tmpl w:val="EDDA46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73553"/>
    <w:multiLevelType w:val="multilevel"/>
    <w:tmpl w:val="9878B272"/>
    <w:styleLink w:val="Style1-Header2"/>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691612"/>
    <w:multiLevelType w:val="multilevel"/>
    <w:tmpl w:val="C49AFED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D0211AE"/>
    <w:multiLevelType w:val="multilevel"/>
    <w:tmpl w:val="3C2AA752"/>
    <w:lvl w:ilvl="0">
      <w:start w:val="1"/>
      <w:numFmt w:val="decimal"/>
      <w:pStyle w:val="Heading1-CalTF"/>
      <w:lvlText w:val="Section %1."/>
      <w:lvlJc w:val="left"/>
      <w:pPr>
        <w:ind w:left="432" w:hanging="432"/>
      </w:pPr>
      <w:rPr>
        <w:rFonts w:hint="default"/>
      </w:rPr>
    </w:lvl>
    <w:lvl w:ilvl="1">
      <w:start w:val="1"/>
      <w:numFmt w:val="decimal"/>
      <w:pStyle w:val="Heading2-CalTF2"/>
      <w:lvlText w:val="%1.%2"/>
      <w:lvlJc w:val="left"/>
      <w:pPr>
        <w:ind w:left="576" w:hanging="576"/>
      </w:pPr>
      <w:rPr>
        <w:rFonts w:hint="default"/>
        <w:i w:val="0"/>
      </w:rPr>
    </w:lvl>
    <w:lvl w:ilvl="2">
      <w:start w:val="1"/>
      <w:numFmt w:val="decimal"/>
      <w:pStyle w:val="Heading3-CalTFStyle31"/>
      <w:lvlText w:val="%1.%2.%3"/>
      <w:lvlJc w:val="left"/>
      <w:pPr>
        <w:ind w:left="720" w:hanging="14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21805801"/>
    <w:multiLevelType w:val="hybridMultilevel"/>
    <w:tmpl w:val="8B3AD8D6"/>
    <w:lvl w:ilvl="0" w:tplc="F466AD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BA4E76"/>
    <w:multiLevelType w:val="hybridMultilevel"/>
    <w:tmpl w:val="9BE6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EF777C"/>
    <w:multiLevelType w:val="hybridMultilevel"/>
    <w:tmpl w:val="4C5A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C11CB0"/>
    <w:multiLevelType w:val="hybridMultilevel"/>
    <w:tmpl w:val="6380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853FC5"/>
    <w:multiLevelType w:val="hybridMultilevel"/>
    <w:tmpl w:val="891A1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BE3990"/>
    <w:multiLevelType w:val="hybridMultilevel"/>
    <w:tmpl w:val="B47453F8"/>
    <w:lvl w:ilvl="0" w:tplc="2D963F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577463"/>
    <w:multiLevelType w:val="hybridMultilevel"/>
    <w:tmpl w:val="AF6A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D05D50"/>
    <w:multiLevelType w:val="hybridMultilevel"/>
    <w:tmpl w:val="1F08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50A7D"/>
    <w:multiLevelType w:val="hybridMultilevel"/>
    <w:tmpl w:val="FCB0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F066C4"/>
    <w:multiLevelType w:val="multilevel"/>
    <w:tmpl w:val="BD10828A"/>
    <w:lvl w:ilvl="0">
      <w:start w:val="1"/>
      <w:numFmt w:val="decimal"/>
      <w:lvlText w:val="Section %1."/>
      <w:lvlJc w:val="left"/>
      <w:pPr>
        <w:ind w:left="144" w:hanging="144"/>
      </w:pPr>
      <w:rPr>
        <w:rFonts w:hint="default"/>
      </w:rPr>
    </w:lvl>
    <w:lvl w:ilvl="1">
      <w:start w:val="1"/>
      <w:numFmt w:val="decimal"/>
      <w:pStyle w:val="Heading2"/>
      <w:lvlText w:val="%2."/>
      <w:lvlJc w:val="left"/>
      <w:pPr>
        <w:ind w:left="576" w:hanging="576"/>
      </w:pPr>
      <w:rPr>
        <w:rFonts w:hint="default"/>
      </w:rPr>
    </w:lvl>
    <w:lvl w:ilvl="2">
      <w:start w:val="1"/>
      <w:numFmt w:val="none"/>
      <w:pStyle w:val="Heading3"/>
      <w:lvlText w:val="1.1.1"/>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nsid w:val="6E446BDE"/>
    <w:multiLevelType w:val="multilevel"/>
    <w:tmpl w:val="8A9876FE"/>
    <w:lvl w:ilvl="0">
      <w:start w:val="1"/>
      <w:numFmt w:val="decimal"/>
      <w:lvlText w:val="Section %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pStyle w:val="Heading3-CalTFStyle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3"/>
  </w:num>
  <w:num w:numId="2">
    <w:abstractNumId w:val="1"/>
  </w:num>
  <w:num w:numId="3">
    <w:abstractNumId w:val="14"/>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2"/>
  </w:num>
  <w:num w:numId="14">
    <w:abstractNumId w:val="0"/>
  </w:num>
  <w:num w:numId="15">
    <w:abstractNumId w:val="8"/>
  </w:num>
  <w:num w:numId="16">
    <w:abstractNumId w:val="7"/>
  </w:num>
  <w:num w:numId="17">
    <w:abstractNumId w:val="5"/>
  </w:num>
  <w:num w:numId="18">
    <w:abstractNumId w:val="6"/>
  </w:num>
  <w:num w:numId="19">
    <w:abstractNumId w:val="12"/>
  </w:num>
  <w:num w:numId="20">
    <w:abstractNumId w:val="10"/>
  </w:num>
  <w:num w:numId="21">
    <w:abstractNumId w:val="11"/>
  </w:num>
  <w:num w:numId="22">
    <w:abstractNumId w:val="4"/>
  </w:num>
  <w:num w:numId="2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EF1"/>
    <w:rsid w:val="00003527"/>
    <w:rsid w:val="00005E70"/>
    <w:rsid w:val="00012F86"/>
    <w:rsid w:val="00012FC5"/>
    <w:rsid w:val="00014740"/>
    <w:rsid w:val="000170B5"/>
    <w:rsid w:val="00017488"/>
    <w:rsid w:val="00020042"/>
    <w:rsid w:val="00020A80"/>
    <w:rsid w:val="0002129F"/>
    <w:rsid w:val="00024AA9"/>
    <w:rsid w:val="0002670C"/>
    <w:rsid w:val="00026F78"/>
    <w:rsid w:val="000272C2"/>
    <w:rsid w:val="0003064A"/>
    <w:rsid w:val="00032B63"/>
    <w:rsid w:val="000351CB"/>
    <w:rsid w:val="000374A5"/>
    <w:rsid w:val="00044570"/>
    <w:rsid w:val="00056348"/>
    <w:rsid w:val="000571F6"/>
    <w:rsid w:val="00057C09"/>
    <w:rsid w:val="00062208"/>
    <w:rsid w:val="00063FA7"/>
    <w:rsid w:val="0006490F"/>
    <w:rsid w:val="00065A01"/>
    <w:rsid w:val="00066D5B"/>
    <w:rsid w:val="000678A2"/>
    <w:rsid w:val="00067EB5"/>
    <w:rsid w:val="000701EB"/>
    <w:rsid w:val="000719AA"/>
    <w:rsid w:val="00072D35"/>
    <w:rsid w:val="000749EA"/>
    <w:rsid w:val="0007589E"/>
    <w:rsid w:val="00077161"/>
    <w:rsid w:val="000814B9"/>
    <w:rsid w:val="000842B9"/>
    <w:rsid w:val="00085DF5"/>
    <w:rsid w:val="00086594"/>
    <w:rsid w:val="00086F2F"/>
    <w:rsid w:val="00087378"/>
    <w:rsid w:val="00094D57"/>
    <w:rsid w:val="00095361"/>
    <w:rsid w:val="00095610"/>
    <w:rsid w:val="000966CC"/>
    <w:rsid w:val="000A17BE"/>
    <w:rsid w:val="000A2ABA"/>
    <w:rsid w:val="000A2FB3"/>
    <w:rsid w:val="000A3D4E"/>
    <w:rsid w:val="000A48F2"/>
    <w:rsid w:val="000A4BCA"/>
    <w:rsid w:val="000B043F"/>
    <w:rsid w:val="000B0B1E"/>
    <w:rsid w:val="000C0FD3"/>
    <w:rsid w:val="000C5B2D"/>
    <w:rsid w:val="000C6D7B"/>
    <w:rsid w:val="000D17B9"/>
    <w:rsid w:val="000D4BA1"/>
    <w:rsid w:val="000D5482"/>
    <w:rsid w:val="000E132D"/>
    <w:rsid w:val="000E22C9"/>
    <w:rsid w:val="000E31B5"/>
    <w:rsid w:val="000E72A3"/>
    <w:rsid w:val="000F0069"/>
    <w:rsid w:val="000F11DD"/>
    <w:rsid w:val="000F53E6"/>
    <w:rsid w:val="001032F2"/>
    <w:rsid w:val="001065EB"/>
    <w:rsid w:val="00113464"/>
    <w:rsid w:val="00115EB1"/>
    <w:rsid w:val="001178BE"/>
    <w:rsid w:val="0012176A"/>
    <w:rsid w:val="00121A22"/>
    <w:rsid w:val="00122F79"/>
    <w:rsid w:val="001248A3"/>
    <w:rsid w:val="00124F32"/>
    <w:rsid w:val="00126483"/>
    <w:rsid w:val="00126A4E"/>
    <w:rsid w:val="00127CC8"/>
    <w:rsid w:val="0013046A"/>
    <w:rsid w:val="0013080C"/>
    <w:rsid w:val="0013087E"/>
    <w:rsid w:val="00133198"/>
    <w:rsid w:val="00133C60"/>
    <w:rsid w:val="00136D56"/>
    <w:rsid w:val="00140BEF"/>
    <w:rsid w:val="00144063"/>
    <w:rsid w:val="00146434"/>
    <w:rsid w:val="001465B1"/>
    <w:rsid w:val="00150E0C"/>
    <w:rsid w:val="00150EC7"/>
    <w:rsid w:val="00155EF5"/>
    <w:rsid w:val="00162B2C"/>
    <w:rsid w:val="00167F2B"/>
    <w:rsid w:val="0017179F"/>
    <w:rsid w:val="001719B8"/>
    <w:rsid w:val="00172149"/>
    <w:rsid w:val="00175673"/>
    <w:rsid w:val="00176431"/>
    <w:rsid w:val="00183C8E"/>
    <w:rsid w:val="00192B77"/>
    <w:rsid w:val="001943FD"/>
    <w:rsid w:val="001946B1"/>
    <w:rsid w:val="00194E14"/>
    <w:rsid w:val="001952E6"/>
    <w:rsid w:val="0019648A"/>
    <w:rsid w:val="001965AF"/>
    <w:rsid w:val="00196625"/>
    <w:rsid w:val="00196D7C"/>
    <w:rsid w:val="00197A23"/>
    <w:rsid w:val="001A3026"/>
    <w:rsid w:val="001A4516"/>
    <w:rsid w:val="001A550C"/>
    <w:rsid w:val="001A573F"/>
    <w:rsid w:val="001A646D"/>
    <w:rsid w:val="001A64C6"/>
    <w:rsid w:val="001A7081"/>
    <w:rsid w:val="001A70AD"/>
    <w:rsid w:val="001A73E3"/>
    <w:rsid w:val="001B238D"/>
    <w:rsid w:val="001B242B"/>
    <w:rsid w:val="001B3E74"/>
    <w:rsid w:val="001B4ACB"/>
    <w:rsid w:val="001B5E15"/>
    <w:rsid w:val="001B75E6"/>
    <w:rsid w:val="001B792D"/>
    <w:rsid w:val="001C0219"/>
    <w:rsid w:val="001C0CB0"/>
    <w:rsid w:val="001C2942"/>
    <w:rsid w:val="001C63A2"/>
    <w:rsid w:val="001D0B16"/>
    <w:rsid w:val="001D11CE"/>
    <w:rsid w:val="001D16C2"/>
    <w:rsid w:val="001D2C8F"/>
    <w:rsid w:val="001D3F48"/>
    <w:rsid w:val="001D4579"/>
    <w:rsid w:val="001D483C"/>
    <w:rsid w:val="001D5D40"/>
    <w:rsid w:val="001E47A2"/>
    <w:rsid w:val="001E4C31"/>
    <w:rsid w:val="001E7CA0"/>
    <w:rsid w:val="001F0D38"/>
    <w:rsid w:val="001F4083"/>
    <w:rsid w:val="001F60D5"/>
    <w:rsid w:val="001F627F"/>
    <w:rsid w:val="001F7023"/>
    <w:rsid w:val="00200174"/>
    <w:rsid w:val="00200760"/>
    <w:rsid w:val="00200DD0"/>
    <w:rsid w:val="00211BAC"/>
    <w:rsid w:val="002154B2"/>
    <w:rsid w:val="002170D6"/>
    <w:rsid w:val="00220370"/>
    <w:rsid w:val="002203EA"/>
    <w:rsid w:val="0022055B"/>
    <w:rsid w:val="0022067C"/>
    <w:rsid w:val="002207C3"/>
    <w:rsid w:val="0022428B"/>
    <w:rsid w:val="00225340"/>
    <w:rsid w:val="002257FA"/>
    <w:rsid w:val="00233CC7"/>
    <w:rsid w:val="00235694"/>
    <w:rsid w:val="0024233E"/>
    <w:rsid w:val="00243BAC"/>
    <w:rsid w:val="00243BC2"/>
    <w:rsid w:val="00244BD6"/>
    <w:rsid w:val="00245A56"/>
    <w:rsid w:val="002466F4"/>
    <w:rsid w:val="00251E83"/>
    <w:rsid w:val="00252352"/>
    <w:rsid w:val="00253450"/>
    <w:rsid w:val="00255067"/>
    <w:rsid w:val="002570CF"/>
    <w:rsid w:val="0025738E"/>
    <w:rsid w:val="00257989"/>
    <w:rsid w:val="002628B9"/>
    <w:rsid w:val="00264B03"/>
    <w:rsid w:val="00271E01"/>
    <w:rsid w:val="0027474D"/>
    <w:rsid w:val="00274A7E"/>
    <w:rsid w:val="00276918"/>
    <w:rsid w:val="00276CD0"/>
    <w:rsid w:val="00276ED1"/>
    <w:rsid w:val="002775AB"/>
    <w:rsid w:val="0027792C"/>
    <w:rsid w:val="002837E9"/>
    <w:rsid w:val="00283CA0"/>
    <w:rsid w:val="00285AF5"/>
    <w:rsid w:val="0028709C"/>
    <w:rsid w:val="00291D75"/>
    <w:rsid w:val="0029206E"/>
    <w:rsid w:val="002942F8"/>
    <w:rsid w:val="00295B10"/>
    <w:rsid w:val="00295B67"/>
    <w:rsid w:val="002A1BEB"/>
    <w:rsid w:val="002A2C2E"/>
    <w:rsid w:val="002A4B6C"/>
    <w:rsid w:val="002A669E"/>
    <w:rsid w:val="002A6912"/>
    <w:rsid w:val="002A750B"/>
    <w:rsid w:val="002B0ECF"/>
    <w:rsid w:val="002B4FEF"/>
    <w:rsid w:val="002B665F"/>
    <w:rsid w:val="002B7C2D"/>
    <w:rsid w:val="002C12FA"/>
    <w:rsid w:val="002C21F9"/>
    <w:rsid w:val="002C26EB"/>
    <w:rsid w:val="002C321E"/>
    <w:rsid w:val="002C408C"/>
    <w:rsid w:val="002C42E0"/>
    <w:rsid w:val="002C4F1C"/>
    <w:rsid w:val="002C518C"/>
    <w:rsid w:val="002C7B46"/>
    <w:rsid w:val="002D0F51"/>
    <w:rsid w:val="002D1ED3"/>
    <w:rsid w:val="002D27DC"/>
    <w:rsid w:val="002D4621"/>
    <w:rsid w:val="002D4A61"/>
    <w:rsid w:val="002E0043"/>
    <w:rsid w:val="002E2E3C"/>
    <w:rsid w:val="002E40A2"/>
    <w:rsid w:val="002E47B4"/>
    <w:rsid w:val="002E4B46"/>
    <w:rsid w:val="002E5671"/>
    <w:rsid w:val="002E6162"/>
    <w:rsid w:val="002F105C"/>
    <w:rsid w:val="002F2D19"/>
    <w:rsid w:val="002F341A"/>
    <w:rsid w:val="002F3610"/>
    <w:rsid w:val="002F3FE5"/>
    <w:rsid w:val="002F4B05"/>
    <w:rsid w:val="002F4E8C"/>
    <w:rsid w:val="0030080B"/>
    <w:rsid w:val="0030114D"/>
    <w:rsid w:val="00302B74"/>
    <w:rsid w:val="003032B7"/>
    <w:rsid w:val="0030550A"/>
    <w:rsid w:val="003129E8"/>
    <w:rsid w:val="00313CF3"/>
    <w:rsid w:val="00314715"/>
    <w:rsid w:val="0031542A"/>
    <w:rsid w:val="00315AB7"/>
    <w:rsid w:val="00316F6C"/>
    <w:rsid w:val="003216E6"/>
    <w:rsid w:val="00324AFE"/>
    <w:rsid w:val="00324D0F"/>
    <w:rsid w:val="003259CD"/>
    <w:rsid w:val="0032657A"/>
    <w:rsid w:val="00327347"/>
    <w:rsid w:val="00331835"/>
    <w:rsid w:val="00333489"/>
    <w:rsid w:val="00333E01"/>
    <w:rsid w:val="00335017"/>
    <w:rsid w:val="003408A4"/>
    <w:rsid w:val="00340DAD"/>
    <w:rsid w:val="00340DC8"/>
    <w:rsid w:val="00343105"/>
    <w:rsid w:val="00344739"/>
    <w:rsid w:val="00345971"/>
    <w:rsid w:val="00345DE6"/>
    <w:rsid w:val="0034647B"/>
    <w:rsid w:val="00350382"/>
    <w:rsid w:val="0035072D"/>
    <w:rsid w:val="00353DC2"/>
    <w:rsid w:val="003541A6"/>
    <w:rsid w:val="00362067"/>
    <w:rsid w:val="003629B7"/>
    <w:rsid w:val="00364DA3"/>
    <w:rsid w:val="003709F9"/>
    <w:rsid w:val="003743E3"/>
    <w:rsid w:val="00374640"/>
    <w:rsid w:val="00377407"/>
    <w:rsid w:val="0038391A"/>
    <w:rsid w:val="00390A78"/>
    <w:rsid w:val="00392604"/>
    <w:rsid w:val="003928AE"/>
    <w:rsid w:val="00392B5E"/>
    <w:rsid w:val="00392C05"/>
    <w:rsid w:val="00393618"/>
    <w:rsid w:val="00393D41"/>
    <w:rsid w:val="003941B5"/>
    <w:rsid w:val="00395845"/>
    <w:rsid w:val="003A1B51"/>
    <w:rsid w:val="003A37EC"/>
    <w:rsid w:val="003A648E"/>
    <w:rsid w:val="003A66D0"/>
    <w:rsid w:val="003A7230"/>
    <w:rsid w:val="003B384E"/>
    <w:rsid w:val="003B51DE"/>
    <w:rsid w:val="003B6B5B"/>
    <w:rsid w:val="003C27C4"/>
    <w:rsid w:val="003C3A3C"/>
    <w:rsid w:val="003C48C5"/>
    <w:rsid w:val="003C5980"/>
    <w:rsid w:val="003C599C"/>
    <w:rsid w:val="003C6DFA"/>
    <w:rsid w:val="003C73D8"/>
    <w:rsid w:val="003D04BC"/>
    <w:rsid w:val="003D298F"/>
    <w:rsid w:val="003D36AD"/>
    <w:rsid w:val="003D3F36"/>
    <w:rsid w:val="003D5191"/>
    <w:rsid w:val="003D60B8"/>
    <w:rsid w:val="003E15A5"/>
    <w:rsid w:val="003E24CE"/>
    <w:rsid w:val="003E2A8B"/>
    <w:rsid w:val="003E3441"/>
    <w:rsid w:val="003E3941"/>
    <w:rsid w:val="003E540D"/>
    <w:rsid w:val="003E7422"/>
    <w:rsid w:val="003E7CC9"/>
    <w:rsid w:val="003E7CF9"/>
    <w:rsid w:val="003E7D3D"/>
    <w:rsid w:val="003E7E0A"/>
    <w:rsid w:val="003F0CBE"/>
    <w:rsid w:val="003F0CD3"/>
    <w:rsid w:val="003F3179"/>
    <w:rsid w:val="003F3DED"/>
    <w:rsid w:val="003F4A0E"/>
    <w:rsid w:val="003F526B"/>
    <w:rsid w:val="003F57BD"/>
    <w:rsid w:val="003F5B70"/>
    <w:rsid w:val="004018B3"/>
    <w:rsid w:val="00402C83"/>
    <w:rsid w:val="0040323C"/>
    <w:rsid w:val="004039A9"/>
    <w:rsid w:val="00403B19"/>
    <w:rsid w:val="00403FBE"/>
    <w:rsid w:val="00406EDD"/>
    <w:rsid w:val="004078BB"/>
    <w:rsid w:val="0041339D"/>
    <w:rsid w:val="0041365D"/>
    <w:rsid w:val="00415754"/>
    <w:rsid w:val="004162E3"/>
    <w:rsid w:val="00421ED8"/>
    <w:rsid w:val="0042297B"/>
    <w:rsid w:val="00422E41"/>
    <w:rsid w:val="00422F19"/>
    <w:rsid w:val="00423B48"/>
    <w:rsid w:val="00425FE9"/>
    <w:rsid w:val="00427131"/>
    <w:rsid w:val="004279EA"/>
    <w:rsid w:val="00430775"/>
    <w:rsid w:val="004323E9"/>
    <w:rsid w:val="00432C65"/>
    <w:rsid w:val="004339ED"/>
    <w:rsid w:val="00433B89"/>
    <w:rsid w:val="00435A18"/>
    <w:rsid w:val="00435E41"/>
    <w:rsid w:val="00436F7E"/>
    <w:rsid w:val="00437947"/>
    <w:rsid w:val="00437BE1"/>
    <w:rsid w:val="0044128D"/>
    <w:rsid w:val="004419D3"/>
    <w:rsid w:val="00442366"/>
    <w:rsid w:val="0044337C"/>
    <w:rsid w:val="00445790"/>
    <w:rsid w:val="00450273"/>
    <w:rsid w:val="004509A5"/>
    <w:rsid w:val="00452747"/>
    <w:rsid w:val="00453CE7"/>
    <w:rsid w:val="004551F3"/>
    <w:rsid w:val="00455856"/>
    <w:rsid w:val="004563F1"/>
    <w:rsid w:val="004602EC"/>
    <w:rsid w:val="004617A6"/>
    <w:rsid w:val="00467FE9"/>
    <w:rsid w:val="00471494"/>
    <w:rsid w:val="0047256E"/>
    <w:rsid w:val="00474025"/>
    <w:rsid w:val="00476B0B"/>
    <w:rsid w:val="0048008C"/>
    <w:rsid w:val="004809C9"/>
    <w:rsid w:val="00480BAD"/>
    <w:rsid w:val="00480C7E"/>
    <w:rsid w:val="0048171E"/>
    <w:rsid w:val="00481EE4"/>
    <w:rsid w:val="00481F63"/>
    <w:rsid w:val="00486CF9"/>
    <w:rsid w:val="00487A47"/>
    <w:rsid w:val="00487D95"/>
    <w:rsid w:val="00492048"/>
    <w:rsid w:val="004959B4"/>
    <w:rsid w:val="004967A2"/>
    <w:rsid w:val="00497CD3"/>
    <w:rsid w:val="004A19C7"/>
    <w:rsid w:val="004A2D46"/>
    <w:rsid w:val="004A3A35"/>
    <w:rsid w:val="004A4716"/>
    <w:rsid w:val="004A6FCA"/>
    <w:rsid w:val="004B0F48"/>
    <w:rsid w:val="004B2CFB"/>
    <w:rsid w:val="004B4058"/>
    <w:rsid w:val="004B4489"/>
    <w:rsid w:val="004C2E63"/>
    <w:rsid w:val="004C4E2A"/>
    <w:rsid w:val="004C56D1"/>
    <w:rsid w:val="004D0438"/>
    <w:rsid w:val="004D2C76"/>
    <w:rsid w:val="004D58D5"/>
    <w:rsid w:val="004D71AF"/>
    <w:rsid w:val="004D7301"/>
    <w:rsid w:val="004E275B"/>
    <w:rsid w:val="004E2777"/>
    <w:rsid w:val="004F1DB8"/>
    <w:rsid w:val="004F21BC"/>
    <w:rsid w:val="004F3EDB"/>
    <w:rsid w:val="004F55EC"/>
    <w:rsid w:val="004F61DD"/>
    <w:rsid w:val="00502569"/>
    <w:rsid w:val="0050293B"/>
    <w:rsid w:val="00506204"/>
    <w:rsid w:val="00506E05"/>
    <w:rsid w:val="00511171"/>
    <w:rsid w:val="005136CC"/>
    <w:rsid w:val="00513858"/>
    <w:rsid w:val="00514B37"/>
    <w:rsid w:val="00514EEC"/>
    <w:rsid w:val="00515FEB"/>
    <w:rsid w:val="00517432"/>
    <w:rsid w:val="00520400"/>
    <w:rsid w:val="00520480"/>
    <w:rsid w:val="00521874"/>
    <w:rsid w:val="00521920"/>
    <w:rsid w:val="005246B1"/>
    <w:rsid w:val="00530B04"/>
    <w:rsid w:val="00534386"/>
    <w:rsid w:val="0053683E"/>
    <w:rsid w:val="00537B0D"/>
    <w:rsid w:val="005403E8"/>
    <w:rsid w:val="00540CF1"/>
    <w:rsid w:val="00542990"/>
    <w:rsid w:val="00542A98"/>
    <w:rsid w:val="00544873"/>
    <w:rsid w:val="005453C5"/>
    <w:rsid w:val="0054599C"/>
    <w:rsid w:val="00545A84"/>
    <w:rsid w:val="00551EF3"/>
    <w:rsid w:val="00554084"/>
    <w:rsid w:val="00557E24"/>
    <w:rsid w:val="00560593"/>
    <w:rsid w:val="00560E6F"/>
    <w:rsid w:val="0056163A"/>
    <w:rsid w:val="00562217"/>
    <w:rsid w:val="00563BE5"/>
    <w:rsid w:val="00567397"/>
    <w:rsid w:val="00572817"/>
    <w:rsid w:val="00574FBD"/>
    <w:rsid w:val="005750B0"/>
    <w:rsid w:val="00576106"/>
    <w:rsid w:val="005773BB"/>
    <w:rsid w:val="005834A4"/>
    <w:rsid w:val="00583F3E"/>
    <w:rsid w:val="00585C83"/>
    <w:rsid w:val="00586604"/>
    <w:rsid w:val="00587DDD"/>
    <w:rsid w:val="00591FDD"/>
    <w:rsid w:val="0059281F"/>
    <w:rsid w:val="005975C4"/>
    <w:rsid w:val="005A1F9D"/>
    <w:rsid w:val="005A269A"/>
    <w:rsid w:val="005A3798"/>
    <w:rsid w:val="005A67E5"/>
    <w:rsid w:val="005A7302"/>
    <w:rsid w:val="005B00A6"/>
    <w:rsid w:val="005B720F"/>
    <w:rsid w:val="005C03C5"/>
    <w:rsid w:val="005C14FF"/>
    <w:rsid w:val="005C2844"/>
    <w:rsid w:val="005C7F3F"/>
    <w:rsid w:val="005D1877"/>
    <w:rsid w:val="005D6266"/>
    <w:rsid w:val="005E2187"/>
    <w:rsid w:val="005E4FE9"/>
    <w:rsid w:val="005F19E0"/>
    <w:rsid w:val="005F3E96"/>
    <w:rsid w:val="005F57B5"/>
    <w:rsid w:val="005F7AA1"/>
    <w:rsid w:val="00600120"/>
    <w:rsid w:val="00604FAE"/>
    <w:rsid w:val="00607339"/>
    <w:rsid w:val="00607605"/>
    <w:rsid w:val="0061001E"/>
    <w:rsid w:val="00610B3C"/>
    <w:rsid w:val="00610FC6"/>
    <w:rsid w:val="00611BAE"/>
    <w:rsid w:val="006162E0"/>
    <w:rsid w:val="00616F90"/>
    <w:rsid w:val="00622319"/>
    <w:rsid w:val="00622683"/>
    <w:rsid w:val="00623394"/>
    <w:rsid w:val="00623BA1"/>
    <w:rsid w:val="00623C70"/>
    <w:rsid w:val="0062416A"/>
    <w:rsid w:val="00625FB3"/>
    <w:rsid w:val="00626129"/>
    <w:rsid w:val="006275A4"/>
    <w:rsid w:val="00632825"/>
    <w:rsid w:val="00632A52"/>
    <w:rsid w:val="00633A9C"/>
    <w:rsid w:val="00634414"/>
    <w:rsid w:val="00636012"/>
    <w:rsid w:val="00636987"/>
    <w:rsid w:val="00640BB6"/>
    <w:rsid w:val="0064211E"/>
    <w:rsid w:val="00642FCD"/>
    <w:rsid w:val="006433B2"/>
    <w:rsid w:val="00644D17"/>
    <w:rsid w:val="00645027"/>
    <w:rsid w:val="0064609B"/>
    <w:rsid w:val="00652DD9"/>
    <w:rsid w:val="006559C8"/>
    <w:rsid w:val="00657405"/>
    <w:rsid w:val="006574FE"/>
    <w:rsid w:val="006605C2"/>
    <w:rsid w:val="00661864"/>
    <w:rsid w:val="00663A00"/>
    <w:rsid w:val="00664FA6"/>
    <w:rsid w:val="00665965"/>
    <w:rsid w:val="0066632E"/>
    <w:rsid w:val="0067178A"/>
    <w:rsid w:val="00671943"/>
    <w:rsid w:val="00673682"/>
    <w:rsid w:val="00674939"/>
    <w:rsid w:val="006832A4"/>
    <w:rsid w:val="006843F5"/>
    <w:rsid w:val="006846E9"/>
    <w:rsid w:val="0068481A"/>
    <w:rsid w:val="00686FF1"/>
    <w:rsid w:val="006872DB"/>
    <w:rsid w:val="00695C6D"/>
    <w:rsid w:val="00695ED2"/>
    <w:rsid w:val="006968B4"/>
    <w:rsid w:val="006A1022"/>
    <w:rsid w:val="006A1A83"/>
    <w:rsid w:val="006A2C4B"/>
    <w:rsid w:val="006A541C"/>
    <w:rsid w:val="006A55D2"/>
    <w:rsid w:val="006B33C5"/>
    <w:rsid w:val="006B42B8"/>
    <w:rsid w:val="006B4563"/>
    <w:rsid w:val="006B6104"/>
    <w:rsid w:val="006B763D"/>
    <w:rsid w:val="006B7EDD"/>
    <w:rsid w:val="006C44B4"/>
    <w:rsid w:val="006D0365"/>
    <w:rsid w:val="006D0A00"/>
    <w:rsid w:val="006D2068"/>
    <w:rsid w:val="006D318D"/>
    <w:rsid w:val="006D3725"/>
    <w:rsid w:val="006D4AE1"/>
    <w:rsid w:val="006D52D8"/>
    <w:rsid w:val="006D5AAB"/>
    <w:rsid w:val="006D78DC"/>
    <w:rsid w:val="006E0111"/>
    <w:rsid w:val="006E173A"/>
    <w:rsid w:val="006E3C13"/>
    <w:rsid w:val="006E5CB6"/>
    <w:rsid w:val="006F0139"/>
    <w:rsid w:val="006F025F"/>
    <w:rsid w:val="006F214B"/>
    <w:rsid w:val="006F28C7"/>
    <w:rsid w:val="007001DD"/>
    <w:rsid w:val="0070443C"/>
    <w:rsid w:val="00706351"/>
    <w:rsid w:val="007112FD"/>
    <w:rsid w:val="00712407"/>
    <w:rsid w:val="00712477"/>
    <w:rsid w:val="00717AE6"/>
    <w:rsid w:val="00721A54"/>
    <w:rsid w:val="00721C75"/>
    <w:rsid w:val="007228DB"/>
    <w:rsid w:val="00723862"/>
    <w:rsid w:val="00724226"/>
    <w:rsid w:val="00730F7C"/>
    <w:rsid w:val="00731859"/>
    <w:rsid w:val="00732CF5"/>
    <w:rsid w:val="00733275"/>
    <w:rsid w:val="00735A4C"/>
    <w:rsid w:val="00735CB1"/>
    <w:rsid w:val="00741F74"/>
    <w:rsid w:val="00742E8A"/>
    <w:rsid w:val="007431B7"/>
    <w:rsid w:val="00745482"/>
    <w:rsid w:val="0074677C"/>
    <w:rsid w:val="00746DDC"/>
    <w:rsid w:val="007475AA"/>
    <w:rsid w:val="0075061C"/>
    <w:rsid w:val="00751FAC"/>
    <w:rsid w:val="00754D25"/>
    <w:rsid w:val="00755961"/>
    <w:rsid w:val="00756A18"/>
    <w:rsid w:val="00757590"/>
    <w:rsid w:val="00757FCE"/>
    <w:rsid w:val="00761007"/>
    <w:rsid w:val="007627BC"/>
    <w:rsid w:val="00762F0E"/>
    <w:rsid w:val="00764665"/>
    <w:rsid w:val="007652CE"/>
    <w:rsid w:val="00765936"/>
    <w:rsid w:val="0077416A"/>
    <w:rsid w:val="0077706D"/>
    <w:rsid w:val="00777C1F"/>
    <w:rsid w:val="00781316"/>
    <w:rsid w:val="00781E00"/>
    <w:rsid w:val="007821CF"/>
    <w:rsid w:val="00783DAC"/>
    <w:rsid w:val="00784500"/>
    <w:rsid w:val="00785112"/>
    <w:rsid w:val="0078590A"/>
    <w:rsid w:val="00785970"/>
    <w:rsid w:val="00786700"/>
    <w:rsid w:val="007873CE"/>
    <w:rsid w:val="007878B9"/>
    <w:rsid w:val="00790C15"/>
    <w:rsid w:val="007931BC"/>
    <w:rsid w:val="00793646"/>
    <w:rsid w:val="0079521E"/>
    <w:rsid w:val="00796071"/>
    <w:rsid w:val="007A0C2E"/>
    <w:rsid w:val="007A1510"/>
    <w:rsid w:val="007A4D97"/>
    <w:rsid w:val="007A768C"/>
    <w:rsid w:val="007B2CAC"/>
    <w:rsid w:val="007B2E26"/>
    <w:rsid w:val="007B44FB"/>
    <w:rsid w:val="007C0E38"/>
    <w:rsid w:val="007C18E3"/>
    <w:rsid w:val="007C4130"/>
    <w:rsid w:val="007C4E08"/>
    <w:rsid w:val="007C506F"/>
    <w:rsid w:val="007D015B"/>
    <w:rsid w:val="007D0411"/>
    <w:rsid w:val="007D047B"/>
    <w:rsid w:val="007D2F4C"/>
    <w:rsid w:val="007D3DFF"/>
    <w:rsid w:val="007D3F38"/>
    <w:rsid w:val="007D4DB8"/>
    <w:rsid w:val="007D5456"/>
    <w:rsid w:val="007E2197"/>
    <w:rsid w:val="007E3304"/>
    <w:rsid w:val="007E54DB"/>
    <w:rsid w:val="007E6C79"/>
    <w:rsid w:val="007F121B"/>
    <w:rsid w:val="007F12ED"/>
    <w:rsid w:val="007F1E48"/>
    <w:rsid w:val="007F2147"/>
    <w:rsid w:val="007F36E9"/>
    <w:rsid w:val="007F4605"/>
    <w:rsid w:val="007F6C7D"/>
    <w:rsid w:val="008026F6"/>
    <w:rsid w:val="00803F84"/>
    <w:rsid w:val="008056EC"/>
    <w:rsid w:val="00806070"/>
    <w:rsid w:val="00806EE8"/>
    <w:rsid w:val="00811D89"/>
    <w:rsid w:val="00812FC7"/>
    <w:rsid w:val="00814500"/>
    <w:rsid w:val="00814FD0"/>
    <w:rsid w:val="00817D29"/>
    <w:rsid w:val="00822F77"/>
    <w:rsid w:val="00826F22"/>
    <w:rsid w:val="00833AF7"/>
    <w:rsid w:val="00834023"/>
    <w:rsid w:val="00835579"/>
    <w:rsid w:val="00836F9B"/>
    <w:rsid w:val="00844106"/>
    <w:rsid w:val="00844B27"/>
    <w:rsid w:val="00844D29"/>
    <w:rsid w:val="008459A0"/>
    <w:rsid w:val="00846195"/>
    <w:rsid w:val="00846FA0"/>
    <w:rsid w:val="008479B6"/>
    <w:rsid w:val="0085197D"/>
    <w:rsid w:val="00851ABA"/>
    <w:rsid w:val="00852E52"/>
    <w:rsid w:val="00853B76"/>
    <w:rsid w:val="0085508A"/>
    <w:rsid w:val="0086002F"/>
    <w:rsid w:val="00862DC4"/>
    <w:rsid w:val="00863EEF"/>
    <w:rsid w:val="00863F9D"/>
    <w:rsid w:val="008645F9"/>
    <w:rsid w:val="0086628A"/>
    <w:rsid w:val="00870D31"/>
    <w:rsid w:val="00871279"/>
    <w:rsid w:val="00872913"/>
    <w:rsid w:val="00873F82"/>
    <w:rsid w:val="0087599D"/>
    <w:rsid w:val="00880CA5"/>
    <w:rsid w:val="008817B1"/>
    <w:rsid w:val="008834BB"/>
    <w:rsid w:val="008840FA"/>
    <w:rsid w:val="008846D2"/>
    <w:rsid w:val="008902CA"/>
    <w:rsid w:val="00890F95"/>
    <w:rsid w:val="0089311A"/>
    <w:rsid w:val="008946C3"/>
    <w:rsid w:val="008948E0"/>
    <w:rsid w:val="0089528C"/>
    <w:rsid w:val="008A1884"/>
    <w:rsid w:val="008A6467"/>
    <w:rsid w:val="008B034D"/>
    <w:rsid w:val="008B0BBC"/>
    <w:rsid w:val="008B4153"/>
    <w:rsid w:val="008B5356"/>
    <w:rsid w:val="008B7927"/>
    <w:rsid w:val="008C5AF3"/>
    <w:rsid w:val="008C6AD1"/>
    <w:rsid w:val="008C71B5"/>
    <w:rsid w:val="008D39A9"/>
    <w:rsid w:val="008D3AF4"/>
    <w:rsid w:val="008E431F"/>
    <w:rsid w:val="008E5E12"/>
    <w:rsid w:val="008F0181"/>
    <w:rsid w:val="008F0D2A"/>
    <w:rsid w:val="008F12D4"/>
    <w:rsid w:val="008F17A0"/>
    <w:rsid w:val="008F23EF"/>
    <w:rsid w:val="008F386F"/>
    <w:rsid w:val="008F48E1"/>
    <w:rsid w:val="008F50A7"/>
    <w:rsid w:val="008F5BD0"/>
    <w:rsid w:val="008F6765"/>
    <w:rsid w:val="008F6A82"/>
    <w:rsid w:val="009003FE"/>
    <w:rsid w:val="00901F81"/>
    <w:rsid w:val="00903C95"/>
    <w:rsid w:val="009046D4"/>
    <w:rsid w:val="00907264"/>
    <w:rsid w:val="0091058D"/>
    <w:rsid w:val="00910FA5"/>
    <w:rsid w:val="009135CF"/>
    <w:rsid w:val="00913858"/>
    <w:rsid w:val="00913A0F"/>
    <w:rsid w:val="00914959"/>
    <w:rsid w:val="00915CE6"/>
    <w:rsid w:val="00915E98"/>
    <w:rsid w:val="00916468"/>
    <w:rsid w:val="009168A1"/>
    <w:rsid w:val="00924681"/>
    <w:rsid w:val="0092622E"/>
    <w:rsid w:val="0092664A"/>
    <w:rsid w:val="0092768E"/>
    <w:rsid w:val="009301A2"/>
    <w:rsid w:val="00930877"/>
    <w:rsid w:val="009341FB"/>
    <w:rsid w:val="00943046"/>
    <w:rsid w:val="00944503"/>
    <w:rsid w:val="00945CB0"/>
    <w:rsid w:val="00951188"/>
    <w:rsid w:val="00955732"/>
    <w:rsid w:val="00955CBA"/>
    <w:rsid w:val="00960D9F"/>
    <w:rsid w:val="00960F2F"/>
    <w:rsid w:val="009634F6"/>
    <w:rsid w:val="00963B5E"/>
    <w:rsid w:val="00963FA0"/>
    <w:rsid w:val="0096491F"/>
    <w:rsid w:val="0096787E"/>
    <w:rsid w:val="00970A26"/>
    <w:rsid w:val="00974E95"/>
    <w:rsid w:val="00975F2D"/>
    <w:rsid w:val="00977BF5"/>
    <w:rsid w:val="00980C54"/>
    <w:rsid w:val="0098302D"/>
    <w:rsid w:val="009833EF"/>
    <w:rsid w:val="00987608"/>
    <w:rsid w:val="0099360B"/>
    <w:rsid w:val="00993B49"/>
    <w:rsid w:val="009943A0"/>
    <w:rsid w:val="009953BC"/>
    <w:rsid w:val="009963D2"/>
    <w:rsid w:val="009977F7"/>
    <w:rsid w:val="009A0568"/>
    <w:rsid w:val="009A0AF9"/>
    <w:rsid w:val="009A16BE"/>
    <w:rsid w:val="009A2337"/>
    <w:rsid w:val="009A2E00"/>
    <w:rsid w:val="009A355A"/>
    <w:rsid w:val="009A5CE8"/>
    <w:rsid w:val="009A7B5A"/>
    <w:rsid w:val="009A7F79"/>
    <w:rsid w:val="009B1863"/>
    <w:rsid w:val="009B2BDC"/>
    <w:rsid w:val="009B5F5D"/>
    <w:rsid w:val="009B6201"/>
    <w:rsid w:val="009B6326"/>
    <w:rsid w:val="009B73BA"/>
    <w:rsid w:val="009B759B"/>
    <w:rsid w:val="009C0A29"/>
    <w:rsid w:val="009C10D9"/>
    <w:rsid w:val="009C2051"/>
    <w:rsid w:val="009C425A"/>
    <w:rsid w:val="009C5CA7"/>
    <w:rsid w:val="009C692B"/>
    <w:rsid w:val="009C6ECA"/>
    <w:rsid w:val="009D03F8"/>
    <w:rsid w:val="009D1DF4"/>
    <w:rsid w:val="009D6C4D"/>
    <w:rsid w:val="009D7A24"/>
    <w:rsid w:val="009E00E4"/>
    <w:rsid w:val="009E0D20"/>
    <w:rsid w:val="009E0F6B"/>
    <w:rsid w:val="009E0FB1"/>
    <w:rsid w:val="009E22AC"/>
    <w:rsid w:val="009E23B7"/>
    <w:rsid w:val="009E27D7"/>
    <w:rsid w:val="009E2964"/>
    <w:rsid w:val="009E5D18"/>
    <w:rsid w:val="009E7DCD"/>
    <w:rsid w:val="009F0DDC"/>
    <w:rsid w:val="009F55F9"/>
    <w:rsid w:val="009F5CC0"/>
    <w:rsid w:val="009F6F8B"/>
    <w:rsid w:val="009F7164"/>
    <w:rsid w:val="00A01631"/>
    <w:rsid w:val="00A01F57"/>
    <w:rsid w:val="00A02F0A"/>
    <w:rsid w:val="00A037B0"/>
    <w:rsid w:val="00A1074D"/>
    <w:rsid w:val="00A11832"/>
    <w:rsid w:val="00A127DD"/>
    <w:rsid w:val="00A12C9B"/>
    <w:rsid w:val="00A14E6C"/>
    <w:rsid w:val="00A167EC"/>
    <w:rsid w:val="00A172E6"/>
    <w:rsid w:val="00A24434"/>
    <w:rsid w:val="00A24C8D"/>
    <w:rsid w:val="00A26F15"/>
    <w:rsid w:val="00A30E37"/>
    <w:rsid w:val="00A35CF8"/>
    <w:rsid w:val="00A360E7"/>
    <w:rsid w:val="00A400FB"/>
    <w:rsid w:val="00A433CB"/>
    <w:rsid w:val="00A443D1"/>
    <w:rsid w:val="00A44D3E"/>
    <w:rsid w:val="00A456B3"/>
    <w:rsid w:val="00A47BFE"/>
    <w:rsid w:val="00A5087E"/>
    <w:rsid w:val="00A51808"/>
    <w:rsid w:val="00A51D78"/>
    <w:rsid w:val="00A51EA8"/>
    <w:rsid w:val="00A549C3"/>
    <w:rsid w:val="00A54B8A"/>
    <w:rsid w:val="00A553A8"/>
    <w:rsid w:val="00A55DD1"/>
    <w:rsid w:val="00A561A8"/>
    <w:rsid w:val="00A562A6"/>
    <w:rsid w:val="00A614C3"/>
    <w:rsid w:val="00A62ADB"/>
    <w:rsid w:val="00A62BDB"/>
    <w:rsid w:val="00A646B3"/>
    <w:rsid w:val="00A7007B"/>
    <w:rsid w:val="00A71623"/>
    <w:rsid w:val="00A71F50"/>
    <w:rsid w:val="00A77CF2"/>
    <w:rsid w:val="00A81CF8"/>
    <w:rsid w:val="00A84B87"/>
    <w:rsid w:val="00A84D4B"/>
    <w:rsid w:val="00A85485"/>
    <w:rsid w:val="00A8592D"/>
    <w:rsid w:val="00A85944"/>
    <w:rsid w:val="00A90D08"/>
    <w:rsid w:val="00A93FFF"/>
    <w:rsid w:val="00A95746"/>
    <w:rsid w:val="00A95924"/>
    <w:rsid w:val="00A95AB5"/>
    <w:rsid w:val="00A96D45"/>
    <w:rsid w:val="00A973EE"/>
    <w:rsid w:val="00AA18DD"/>
    <w:rsid w:val="00AA1F91"/>
    <w:rsid w:val="00AA5CE1"/>
    <w:rsid w:val="00AB2137"/>
    <w:rsid w:val="00AB2D9E"/>
    <w:rsid w:val="00AB4404"/>
    <w:rsid w:val="00AB68E3"/>
    <w:rsid w:val="00AB723D"/>
    <w:rsid w:val="00AC21EE"/>
    <w:rsid w:val="00AC2BFC"/>
    <w:rsid w:val="00AC3B22"/>
    <w:rsid w:val="00AC4101"/>
    <w:rsid w:val="00AC5597"/>
    <w:rsid w:val="00AC6C3F"/>
    <w:rsid w:val="00AD0116"/>
    <w:rsid w:val="00AD1B42"/>
    <w:rsid w:val="00AD2548"/>
    <w:rsid w:val="00AD4177"/>
    <w:rsid w:val="00AD4698"/>
    <w:rsid w:val="00AD4B84"/>
    <w:rsid w:val="00AE23BE"/>
    <w:rsid w:val="00AE5772"/>
    <w:rsid w:val="00AF0AC0"/>
    <w:rsid w:val="00AF1807"/>
    <w:rsid w:val="00AF4CA9"/>
    <w:rsid w:val="00AF5B52"/>
    <w:rsid w:val="00B008BF"/>
    <w:rsid w:val="00B04CAF"/>
    <w:rsid w:val="00B07460"/>
    <w:rsid w:val="00B10F5F"/>
    <w:rsid w:val="00B1301A"/>
    <w:rsid w:val="00B13646"/>
    <w:rsid w:val="00B16978"/>
    <w:rsid w:val="00B16BE4"/>
    <w:rsid w:val="00B17EBB"/>
    <w:rsid w:val="00B20507"/>
    <w:rsid w:val="00B244F0"/>
    <w:rsid w:val="00B24A6F"/>
    <w:rsid w:val="00B278DB"/>
    <w:rsid w:val="00B30D4F"/>
    <w:rsid w:val="00B32CFB"/>
    <w:rsid w:val="00B3434E"/>
    <w:rsid w:val="00B351FD"/>
    <w:rsid w:val="00B35BFD"/>
    <w:rsid w:val="00B421F2"/>
    <w:rsid w:val="00B42822"/>
    <w:rsid w:val="00B42C54"/>
    <w:rsid w:val="00B4395A"/>
    <w:rsid w:val="00B44D59"/>
    <w:rsid w:val="00B4553E"/>
    <w:rsid w:val="00B46773"/>
    <w:rsid w:val="00B47091"/>
    <w:rsid w:val="00B4731E"/>
    <w:rsid w:val="00B47E14"/>
    <w:rsid w:val="00B54256"/>
    <w:rsid w:val="00B545F4"/>
    <w:rsid w:val="00B5595B"/>
    <w:rsid w:val="00B56303"/>
    <w:rsid w:val="00B64F62"/>
    <w:rsid w:val="00B66898"/>
    <w:rsid w:val="00B66C53"/>
    <w:rsid w:val="00B7164C"/>
    <w:rsid w:val="00B74832"/>
    <w:rsid w:val="00B74917"/>
    <w:rsid w:val="00B807AB"/>
    <w:rsid w:val="00B80F53"/>
    <w:rsid w:val="00B81AB0"/>
    <w:rsid w:val="00B82E26"/>
    <w:rsid w:val="00B87109"/>
    <w:rsid w:val="00B92153"/>
    <w:rsid w:val="00B94C53"/>
    <w:rsid w:val="00B95FBC"/>
    <w:rsid w:val="00B97C44"/>
    <w:rsid w:val="00BA05AE"/>
    <w:rsid w:val="00BA0D5A"/>
    <w:rsid w:val="00BA2FA3"/>
    <w:rsid w:val="00BA6418"/>
    <w:rsid w:val="00BA7263"/>
    <w:rsid w:val="00BA7D18"/>
    <w:rsid w:val="00BB3A8F"/>
    <w:rsid w:val="00BB67D4"/>
    <w:rsid w:val="00BB7A6A"/>
    <w:rsid w:val="00BC19F6"/>
    <w:rsid w:val="00BC2A83"/>
    <w:rsid w:val="00BD02D0"/>
    <w:rsid w:val="00BD0D15"/>
    <w:rsid w:val="00BD4EF8"/>
    <w:rsid w:val="00BD5425"/>
    <w:rsid w:val="00BE5E74"/>
    <w:rsid w:val="00BF0332"/>
    <w:rsid w:val="00BF5FCC"/>
    <w:rsid w:val="00BF6219"/>
    <w:rsid w:val="00C00FA2"/>
    <w:rsid w:val="00C0265C"/>
    <w:rsid w:val="00C069A2"/>
    <w:rsid w:val="00C069EC"/>
    <w:rsid w:val="00C10950"/>
    <w:rsid w:val="00C14729"/>
    <w:rsid w:val="00C17416"/>
    <w:rsid w:val="00C1748F"/>
    <w:rsid w:val="00C17DDD"/>
    <w:rsid w:val="00C221D5"/>
    <w:rsid w:val="00C2280A"/>
    <w:rsid w:val="00C2652B"/>
    <w:rsid w:val="00C274E0"/>
    <w:rsid w:val="00C30598"/>
    <w:rsid w:val="00C346C7"/>
    <w:rsid w:val="00C352B9"/>
    <w:rsid w:val="00C373FB"/>
    <w:rsid w:val="00C41E61"/>
    <w:rsid w:val="00C45C85"/>
    <w:rsid w:val="00C515CA"/>
    <w:rsid w:val="00C533E6"/>
    <w:rsid w:val="00C55BED"/>
    <w:rsid w:val="00C56730"/>
    <w:rsid w:val="00C6024F"/>
    <w:rsid w:val="00C60CE3"/>
    <w:rsid w:val="00C623B4"/>
    <w:rsid w:val="00C63D95"/>
    <w:rsid w:val="00C64B94"/>
    <w:rsid w:val="00C6798B"/>
    <w:rsid w:val="00C739BF"/>
    <w:rsid w:val="00C747DF"/>
    <w:rsid w:val="00C74F44"/>
    <w:rsid w:val="00C768C1"/>
    <w:rsid w:val="00C76C24"/>
    <w:rsid w:val="00C7740D"/>
    <w:rsid w:val="00C80E3F"/>
    <w:rsid w:val="00C87166"/>
    <w:rsid w:val="00C87539"/>
    <w:rsid w:val="00C90663"/>
    <w:rsid w:val="00C92B85"/>
    <w:rsid w:val="00C93DCA"/>
    <w:rsid w:val="00C94248"/>
    <w:rsid w:val="00CA071B"/>
    <w:rsid w:val="00CA0EE2"/>
    <w:rsid w:val="00CA5466"/>
    <w:rsid w:val="00CA591D"/>
    <w:rsid w:val="00CA734B"/>
    <w:rsid w:val="00CB0475"/>
    <w:rsid w:val="00CB2C4F"/>
    <w:rsid w:val="00CB3583"/>
    <w:rsid w:val="00CB6A8C"/>
    <w:rsid w:val="00CC34FF"/>
    <w:rsid w:val="00CC44F0"/>
    <w:rsid w:val="00CD0E5B"/>
    <w:rsid w:val="00CD0FE9"/>
    <w:rsid w:val="00CD1AD6"/>
    <w:rsid w:val="00CD396E"/>
    <w:rsid w:val="00CD5104"/>
    <w:rsid w:val="00CD58AE"/>
    <w:rsid w:val="00CD6046"/>
    <w:rsid w:val="00CE06A5"/>
    <w:rsid w:val="00CE202E"/>
    <w:rsid w:val="00CE2229"/>
    <w:rsid w:val="00CE374E"/>
    <w:rsid w:val="00CF0534"/>
    <w:rsid w:val="00CF3FF0"/>
    <w:rsid w:val="00CF41AF"/>
    <w:rsid w:val="00CF4567"/>
    <w:rsid w:val="00CF53AB"/>
    <w:rsid w:val="00CF6815"/>
    <w:rsid w:val="00D0331C"/>
    <w:rsid w:val="00D04562"/>
    <w:rsid w:val="00D04D3D"/>
    <w:rsid w:val="00D07189"/>
    <w:rsid w:val="00D11B02"/>
    <w:rsid w:val="00D1202C"/>
    <w:rsid w:val="00D12617"/>
    <w:rsid w:val="00D13798"/>
    <w:rsid w:val="00D16DDF"/>
    <w:rsid w:val="00D16E24"/>
    <w:rsid w:val="00D20486"/>
    <w:rsid w:val="00D219E2"/>
    <w:rsid w:val="00D228D8"/>
    <w:rsid w:val="00D27F3F"/>
    <w:rsid w:val="00D31439"/>
    <w:rsid w:val="00D33677"/>
    <w:rsid w:val="00D34934"/>
    <w:rsid w:val="00D373EC"/>
    <w:rsid w:val="00D4180D"/>
    <w:rsid w:val="00D42875"/>
    <w:rsid w:val="00D42B44"/>
    <w:rsid w:val="00D44A14"/>
    <w:rsid w:val="00D47738"/>
    <w:rsid w:val="00D51A9B"/>
    <w:rsid w:val="00D51D95"/>
    <w:rsid w:val="00D53EC6"/>
    <w:rsid w:val="00D55A00"/>
    <w:rsid w:val="00D56F77"/>
    <w:rsid w:val="00D61E9F"/>
    <w:rsid w:val="00D62CC8"/>
    <w:rsid w:val="00D6402F"/>
    <w:rsid w:val="00D648BC"/>
    <w:rsid w:val="00D7047A"/>
    <w:rsid w:val="00D719E9"/>
    <w:rsid w:val="00D72225"/>
    <w:rsid w:val="00D73550"/>
    <w:rsid w:val="00D74D47"/>
    <w:rsid w:val="00D838F7"/>
    <w:rsid w:val="00D8479E"/>
    <w:rsid w:val="00D868F1"/>
    <w:rsid w:val="00D87EFF"/>
    <w:rsid w:val="00D91AE6"/>
    <w:rsid w:val="00D941A2"/>
    <w:rsid w:val="00D941E0"/>
    <w:rsid w:val="00D943D0"/>
    <w:rsid w:val="00D95840"/>
    <w:rsid w:val="00DA288B"/>
    <w:rsid w:val="00DA554C"/>
    <w:rsid w:val="00DA5F07"/>
    <w:rsid w:val="00DA7C16"/>
    <w:rsid w:val="00DB42FB"/>
    <w:rsid w:val="00DB44B1"/>
    <w:rsid w:val="00DB7AEE"/>
    <w:rsid w:val="00DC39C4"/>
    <w:rsid w:val="00DC4019"/>
    <w:rsid w:val="00DC4423"/>
    <w:rsid w:val="00DC4568"/>
    <w:rsid w:val="00DC4C2C"/>
    <w:rsid w:val="00DD0941"/>
    <w:rsid w:val="00DD1C47"/>
    <w:rsid w:val="00DD4BD7"/>
    <w:rsid w:val="00DD6B5E"/>
    <w:rsid w:val="00DD6C69"/>
    <w:rsid w:val="00DE21B1"/>
    <w:rsid w:val="00DE4BF6"/>
    <w:rsid w:val="00DE69D0"/>
    <w:rsid w:val="00DE7070"/>
    <w:rsid w:val="00DE77A3"/>
    <w:rsid w:val="00DF02F6"/>
    <w:rsid w:val="00DF21B8"/>
    <w:rsid w:val="00DF31EE"/>
    <w:rsid w:val="00DF3395"/>
    <w:rsid w:val="00DF5635"/>
    <w:rsid w:val="00DF7681"/>
    <w:rsid w:val="00E0179E"/>
    <w:rsid w:val="00E01C69"/>
    <w:rsid w:val="00E02D36"/>
    <w:rsid w:val="00E03431"/>
    <w:rsid w:val="00E04E43"/>
    <w:rsid w:val="00E05E74"/>
    <w:rsid w:val="00E079A3"/>
    <w:rsid w:val="00E149CE"/>
    <w:rsid w:val="00E16AC4"/>
    <w:rsid w:val="00E17C58"/>
    <w:rsid w:val="00E2178D"/>
    <w:rsid w:val="00E23958"/>
    <w:rsid w:val="00E23AD4"/>
    <w:rsid w:val="00E23BEC"/>
    <w:rsid w:val="00E23EC3"/>
    <w:rsid w:val="00E24E4D"/>
    <w:rsid w:val="00E2618B"/>
    <w:rsid w:val="00E262A5"/>
    <w:rsid w:val="00E267F1"/>
    <w:rsid w:val="00E271B3"/>
    <w:rsid w:val="00E3023D"/>
    <w:rsid w:val="00E34E73"/>
    <w:rsid w:val="00E36C12"/>
    <w:rsid w:val="00E375C8"/>
    <w:rsid w:val="00E4302B"/>
    <w:rsid w:val="00E43983"/>
    <w:rsid w:val="00E4452C"/>
    <w:rsid w:val="00E528AF"/>
    <w:rsid w:val="00E53131"/>
    <w:rsid w:val="00E5328B"/>
    <w:rsid w:val="00E5518E"/>
    <w:rsid w:val="00E56222"/>
    <w:rsid w:val="00E566D8"/>
    <w:rsid w:val="00E57743"/>
    <w:rsid w:val="00E577C9"/>
    <w:rsid w:val="00E57A97"/>
    <w:rsid w:val="00E61594"/>
    <w:rsid w:val="00E62C06"/>
    <w:rsid w:val="00E62DD3"/>
    <w:rsid w:val="00E66D8F"/>
    <w:rsid w:val="00E6742D"/>
    <w:rsid w:val="00E71707"/>
    <w:rsid w:val="00E71EF1"/>
    <w:rsid w:val="00E724DA"/>
    <w:rsid w:val="00E731C6"/>
    <w:rsid w:val="00E73C76"/>
    <w:rsid w:val="00E740C4"/>
    <w:rsid w:val="00E74686"/>
    <w:rsid w:val="00E74750"/>
    <w:rsid w:val="00E76686"/>
    <w:rsid w:val="00E76876"/>
    <w:rsid w:val="00E80520"/>
    <w:rsid w:val="00E81BD0"/>
    <w:rsid w:val="00E83C98"/>
    <w:rsid w:val="00E840FE"/>
    <w:rsid w:val="00E84DBD"/>
    <w:rsid w:val="00E85031"/>
    <w:rsid w:val="00E8670C"/>
    <w:rsid w:val="00E879C6"/>
    <w:rsid w:val="00E9128A"/>
    <w:rsid w:val="00E91C15"/>
    <w:rsid w:val="00E943E8"/>
    <w:rsid w:val="00E945CE"/>
    <w:rsid w:val="00E94FAF"/>
    <w:rsid w:val="00E9724F"/>
    <w:rsid w:val="00EA0528"/>
    <w:rsid w:val="00EA172F"/>
    <w:rsid w:val="00EA347E"/>
    <w:rsid w:val="00EA38B4"/>
    <w:rsid w:val="00EA4E02"/>
    <w:rsid w:val="00EA6276"/>
    <w:rsid w:val="00EB048C"/>
    <w:rsid w:val="00EB141D"/>
    <w:rsid w:val="00EB2C67"/>
    <w:rsid w:val="00EB367C"/>
    <w:rsid w:val="00EB39D0"/>
    <w:rsid w:val="00EB43BA"/>
    <w:rsid w:val="00EB4429"/>
    <w:rsid w:val="00EB46D0"/>
    <w:rsid w:val="00EB4700"/>
    <w:rsid w:val="00EB7B24"/>
    <w:rsid w:val="00EB7F72"/>
    <w:rsid w:val="00EC4357"/>
    <w:rsid w:val="00EC45F7"/>
    <w:rsid w:val="00EC49A4"/>
    <w:rsid w:val="00EC4EF3"/>
    <w:rsid w:val="00ED20C9"/>
    <w:rsid w:val="00ED21EE"/>
    <w:rsid w:val="00ED272D"/>
    <w:rsid w:val="00ED37E1"/>
    <w:rsid w:val="00ED3B31"/>
    <w:rsid w:val="00ED4EC4"/>
    <w:rsid w:val="00ED5593"/>
    <w:rsid w:val="00ED6C04"/>
    <w:rsid w:val="00ED7D3D"/>
    <w:rsid w:val="00EE0F15"/>
    <w:rsid w:val="00EE4094"/>
    <w:rsid w:val="00EE4C9D"/>
    <w:rsid w:val="00EE4D57"/>
    <w:rsid w:val="00EE53FF"/>
    <w:rsid w:val="00EE5E83"/>
    <w:rsid w:val="00EE7092"/>
    <w:rsid w:val="00EF2F5C"/>
    <w:rsid w:val="00EF3A4A"/>
    <w:rsid w:val="00EF3A92"/>
    <w:rsid w:val="00EF7590"/>
    <w:rsid w:val="00F024CA"/>
    <w:rsid w:val="00F0354F"/>
    <w:rsid w:val="00F1013F"/>
    <w:rsid w:val="00F10A99"/>
    <w:rsid w:val="00F11785"/>
    <w:rsid w:val="00F11907"/>
    <w:rsid w:val="00F138A2"/>
    <w:rsid w:val="00F154EB"/>
    <w:rsid w:val="00F20632"/>
    <w:rsid w:val="00F23738"/>
    <w:rsid w:val="00F2392E"/>
    <w:rsid w:val="00F3068C"/>
    <w:rsid w:val="00F30846"/>
    <w:rsid w:val="00F30878"/>
    <w:rsid w:val="00F30CAB"/>
    <w:rsid w:val="00F32479"/>
    <w:rsid w:val="00F327DF"/>
    <w:rsid w:val="00F33121"/>
    <w:rsid w:val="00F33769"/>
    <w:rsid w:val="00F36DEB"/>
    <w:rsid w:val="00F372E4"/>
    <w:rsid w:val="00F406FD"/>
    <w:rsid w:val="00F414D0"/>
    <w:rsid w:val="00F434DF"/>
    <w:rsid w:val="00F44ADB"/>
    <w:rsid w:val="00F4532C"/>
    <w:rsid w:val="00F47D9D"/>
    <w:rsid w:val="00F50558"/>
    <w:rsid w:val="00F50A8E"/>
    <w:rsid w:val="00F52372"/>
    <w:rsid w:val="00F52572"/>
    <w:rsid w:val="00F5362E"/>
    <w:rsid w:val="00F55847"/>
    <w:rsid w:val="00F57142"/>
    <w:rsid w:val="00F5756D"/>
    <w:rsid w:val="00F630A2"/>
    <w:rsid w:val="00F63E1C"/>
    <w:rsid w:val="00F6505E"/>
    <w:rsid w:val="00F652AB"/>
    <w:rsid w:val="00F65942"/>
    <w:rsid w:val="00F67D57"/>
    <w:rsid w:val="00F72AA0"/>
    <w:rsid w:val="00F76A40"/>
    <w:rsid w:val="00F77D5B"/>
    <w:rsid w:val="00F80C07"/>
    <w:rsid w:val="00F81AAE"/>
    <w:rsid w:val="00F83E20"/>
    <w:rsid w:val="00F84BD3"/>
    <w:rsid w:val="00F853BD"/>
    <w:rsid w:val="00F87264"/>
    <w:rsid w:val="00F908E9"/>
    <w:rsid w:val="00F93EA0"/>
    <w:rsid w:val="00F96C94"/>
    <w:rsid w:val="00FA28D9"/>
    <w:rsid w:val="00FA2B8F"/>
    <w:rsid w:val="00FA47E6"/>
    <w:rsid w:val="00FA56D6"/>
    <w:rsid w:val="00FA595F"/>
    <w:rsid w:val="00FA6C24"/>
    <w:rsid w:val="00FA7E13"/>
    <w:rsid w:val="00FB641F"/>
    <w:rsid w:val="00FB651A"/>
    <w:rsid w:val="00FB6F32"/>
    <w:rsid w:val="00FC0CB3"/>
    <w:rsid w:val="00FC2999"/>
    <w:rsid w:val="00FC765F"/>
    <w:rsid w:val="00FC781D"/>
    <w:rsid w:val="00FD1249"/>
    <w:rsid w:val="00FD1861"/>
    <w:rsid w:val="00FD5375"/>
    <w:rsid w:val="00FD5E35"/>
    <w:rsid w:val="00FD61A3"/>
    <w:rsid w:val="00FD659C"/>
    <w:rsid w:val="00FD66C9"/>
    <w:rsid w:val="00FD79F6"/>
    <w:rsid w:val="00FE0371"/>
    <w:rsid w:val="00FE1258"/>
    <w:rsid w:val="00FE31D0"/>
    <w:rsid w:val="00FE3581"/>
    <w:rsid w:val="00FE51A2"/>
    <w:rsid w:val="00FE694E"/>
    <w:rsid w:val="00FE7A3F"/>
    <w:rsid w:val="00FF0A6F"/>
    <w:rsid w:val="00FF1184"/>
    <w:rsid w:val="00FF19E4"/>
    <w:rsid w:val="00FF2F9E"/>
    <w:rsid w:val="00FF34FF"/>
    <w:rsid w:val="00FF4E87"/>
    <w:rsid w:val="00FF50EE"/>
    <w:rsid w:val="00FF5821"/>
    <w:rsid w:val="00FF5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93A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2C9"/>
    <w:rPr>
      <w:rFonts w:ascii="Arial" w:hAnsi="Arial"/>
      <w:sz w:val="22"/>
      <w:szCs w:val="24"/>
    </w:rPr>
  </w:style>
  <w:style w:type="paragraph" w:styleId="Heading1">
    <w:name w:val="heading 1"/>
    <w:basedOn w:val="Normal"/>
    <w:next w:val="Normal"/>
    <w:link w:val="Heading1Char"/>
    <w:rsid w:val="00E71EF1"/>
    <w:pPr>
      <w:keepNext/>
      <w:spacing w:before="240" w:after="60"/>
      <w:outlineLvl w:val="0"/>
    </w:pPr>
    <w:rPr>
      <w:rFonts w:cs="Arial"/>
      <w:b/>
      <w:bCs/>
      <w:kern w:val="32"/>
      <w:sz w:val="32"/>
      <w:szCs w:val="32"/>
    </w:rPr>
  </w:style>
  <w:style w:type="paragraph" w:styleId="Heading2">
    <w:name w:val="heading 2"/>
    <w:basedOn w:val="Normal"/>
    <w:next w:val="Normal"/>
    <w:rsid w:val="00E71EF1"/>
    <w:pPr>
      <w:keepNext/>
      <w:numPr>
        <w:ilvl w:val="1"/>
        <w:numId w:val="1"/>
      </w:numPr>
      <w:spacing w:before="240" w:after="60"/>
      <w:outlineLvl w:val="1"/>
    </w:pPr>
    <w:rPr>
      <w:rFonts w:cs="Arial"/>
      <w:b/>
      <w:bCs/>
      <w:i/>
      <w:iCs/>
      <w:sz w:val="28"/>
      <w:szCs w:val="28"/>
    </w:rPr>
  </w:style>
  <w:style w:type="paragraph" w:styleId="Heading3">
    <w:name w:val="heading 3"/>
    <w:basedOn w:val="Normal"/>
    <w:next w:val="Normal"/>
    <w:qFormat/>
    <w:rsid w:val="003129E8"/>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unhideWhenUsed/>
    <w:qFormat/>
    <w:rsid w:val="00960D9F"/>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960D9F"/>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960D9F"/>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960D9F"/>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960D9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60D9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20370"/>
    <w:pPr>
      <w:tabs>
        <w:tab w:val="right" w:leader="dot" w:pos="9350"/>
      </w:tabs>
    </w:pPr>
  </w:style>
  <w:style w:type="paragraph" w:styleId="TOC2">
    <w:name w:val="toc 2"/>
    <w:basedOn w:val="Normal"/>
    <w:next w:val="Normal"/>
    <w:autoRedefine/>
    <w:uiPriority w:val="39"/>
    <w:rsid w:val="000966CC"/>
    <w:pPr>
      <w:ind w:left="240"/>
    </w:pPr>
  </w:style>
  <w:style w:type="character" w:styleId="Hyperlink">
    <w:name w:val="Hyperlink"/>
    <w:uiPriority w:val="99"/>
    <w:rsid w:val="000966CC"/>
    <w:rPr>
      <w:color w:val="0000FF"/>
      <w:u w:val="single"/>
    </w:rPr>
  </w:style>
  <w:style w:type="paragraph" w:styleId="Footer">
    <w:name w:val="footer"/>
    <w:basedOn w:val="Normal"/>
    <w:link w:val="FooterChar"/>
    <w:uiPriority w:val="99"/>
    <w:rsid w:val="000966CC"/>
    <w:pPr>
      <w:tabs>
        <w:tab w:val="center" w:pos="4320"/>
        <w:tab w:val="right" w:pos="8640"/>
      </w:tabs>
    </w:pPr>
  </w:style>
  <w:style w:type="character" w:styleId="PageNumber">
    <w:name w:val="page number"/>
    <w:basedOn w:val="DefaultParagraphFont"/>
    <w:rsid w:val="000966CC"/>
  </w:style>
  <w:style w:type="paragraph" w:styleId="Header">
    <w:name w:val="header"/>
    <w:basedOn w:val="Normal"/>
    <w:link w:val="HeaderChar"/>
    <w:uiPriority w:val="99"/>
    <w:rsid w:val="000966CC"/>
    <w:pPr>
      <w:tabs>
        <w:tab w:val="center" w:pos="4320"/>
        <w:tab w:val="right" w:pos="8640"/>
      </w:tabs>
    </w:pPr>
  </w:style>
  <w:style w:type="paragraph" w:styleId="TOC3">
    <w:name w:val="toc 3"/>
    <w:basedOn w:val="Normal"/>
    <w:next w:val="Normal"/>
    <w:autoRedefine/>
    <w:semiHidden/>
    <w:rsid w:val="00D33677"/>
    <w:pPr>
      <w:ind w:left="480"/>
    </w:pPr>
  </w:style>
  <w:style w:type="paragraph" w:styleId="EndnoteText">
    <w:name w:val="endnote text"/>
    <w:basedOn w:val="Normal"/>
    <w:semiHidden/>
    <w:rsid w:val="004551F3"/>
    <w:rPr>
      <w:sz w:val="20"/>
      <w:szCs w:val="20"/>
    </w:rPr>
  </w:style>
  <w:style w:type="character" w:styleId="EndnoteReference">
    <w:name w:val="endnote reference"/>
    <w:rsid w:val="004551F3"/>
    <w:rPr>
      <w:vertAlign w:val="superscript"/>
    </w:rPr>
  </w:style>
  <w:style w:type="paragraph" w:styleId="Index1">
    <w:name w:val="index 1"/>
    <w:basedOn w:val="Normal"/>
    <w:next w:val="Normal"/>
    <w:autoRedefine/>
    <w:semiHidden/>
    <w:rsid w:val="00F630A2"/>
    <w:pPr>
      <w:ind w:left="240" w:hanging="240"/>
    </w:pPr>
  </w:style>
  <w:style w:type="table" w:styleId="TableGrid">
    <w:name w:val="Table Grid"/>
    <w:basedOn w:val="TableNormal"/>
    <w:uiPriority w:val="59"/>
    <w:rsid w:val="00215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aliases w:val="WP Table"/>
    <w:basedOn w:val="TableNormal"/>
    <w:rsid w:val="000571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semiHidden/>
    <w:rsid w:val="00B24A6F"/>
    <w:rPr>
      <w:rFonts w:ascii="Tahoma" w:hAnsi="Tahoma" w:cs="Tahoma"/>
      <w:sz w:val="16"/>
      <w:szCs w:val="16"/>
    </w:rPr>
  </w:style>
  <w:style w:type="paragraph" w:styleId="Caption">
    <w:name w:val="caption"/>
    <w:basedOn w:val="Normal"/>
    <w:next w:val="Normal"/>
    <w:link w:val="CaptionChar"/>
    <w:qFormat/>
    <w:rsid w:val="00A7007B"/>
    <w:rPr>
      <w:b/>
      <w:bCs/>
      <w:sz w:val="20"/>
      <w:szCs w:val="20"/>
    </w:rPr>
  </w:style>
  <w:style w:type="paragraph" w:styleId="TableofFigures">
    <w:name w:val="table of figures"/>
    <w:basedOn w:val="Normal"/>
    <w:next w:val="Normal"/>
    <w:uiPriority w:val="99"/>
    <w:rsid w:val="0054599C"/>
  </w:style>
  <w:style w:type="paragraph" w:styleId="NormalWeb">
    <w:name w:val="Normal (Web)"/>
    <w:basedOn w:val="Normal"/>
    <w:uiPriority w:val="99"/>
    <w:rsid w:val="00D73550"/>
    <w:pPr>
      <w:spacing w:before="100" w:beforeAutospacing="1" w:after="100" w:afterAutospacing="1"/>
    </w:pPr>
  </w:style>
  <w:style w:type="character" w:styleId="FollowedHyperlink">
    <w:name w:val="FollowedHyperlink"/>
    <w:rsid w:val="00EA4E02"/>
    <w:rPr>
      <w:color w:val="800080"/>
      <w:u w:val="single"/>
    </w:rPr>
  </w:style>
  <w:style w:type="paragraph" w:customStyle="1" w:styleId="xl27">
    <w:name w:val="xl27"/>
    <w:basedOn w:val="Normal"/>
    <w:rsid w:val="00200174"/>
    <w:pPr>
      <w:pBdr>
        <w:bottom w:val="single" w:sz="12" w:space="0" w:color="FFFFFF"/>
        <w:right w:val="single" w:sz="12" w:space="0" w:color="FFFFFF"/>
      </w:pBdr>
      <w:shd w:val="pct75" w:color="000000" w:fill="333333"/>
      <w:spacing w:before="100" w:beforeAutospacing="1" w:after="100" w:afterAutospacing="1"/>
      <w:jc w:val="center"/>
    </w:pPr>
    <w:rPr>
      <w:b/>
      <w:bCs/>
      <w:color w:val="FFFFFF"/>
      <w:sz w:val="16"/>
      <w:szCs w:val="16"/>
    </w:rPr>
  </w:style>
  <w:style w:type="paragraph" w:customStyle="1" w:styleId="xl28">
    <w:name w:val="xl28"/>
    <w:basedOn w:val="Normal"/>
    <w:rsid w:val="00200174"/>
    <w:pPr>
      <w:pBdr>
        <w:bottom w:val="single" w:sz="12" w:space="0" w:color="FFFFFF"/>
        <w:right w:val="single" w:sz="12" w:space="0" w:color="FFFFFF"/>
      </w:pBdr>
      <w:spacing w:before="100" w:beforeAutospacing="1" w:after="100" w:afterAutospacing="1"/>
    </w:pPr>
    <w:rPr>
      <w:b/>
      <w:bCs/>
    </w:rPr>
  </w:style>
  <w:style w:type="paragraph" w:customStyle="1" w:styleId="xl29">
    <w:name w:val="xl29"/>
    <w:basedOn w:val="Normal"/>
    <w:rsid w:val="00200174"/>
    <w:pPr>
      <w:pBdr>
        <w:bottom w:val="single" w:sz="12" w:space="0" w:color="FFFFFF"/>
        <w:right w:val="single" w:sz="12" w:space="0" w:color="FFFFFF"/>
      </w:pBdr>
      <w:shd w:val="clear" w:color="auto" w:fill="FFCC99"/>
      <w:spacing w:before="100" w:beforeAutospacing="1" w:after="100" w:afterAutospacing="1"/>
    </w:pPr>
    <w:rPr>
      <w:b/>
      <w:bCs/>
    </w:rPr>
  </w:style>
  <w:style w:type="paragraph" w:customStyle="1" w:styleId="xl30">
    <w:name w:val="xl30"/>
    <w:basedOn w:val="Normal"/>
    <w:rsid w:val="00200174"/>
    <w:pPr>
      <w:pBdr>
        <w:bottom w:val="single" w:sz="12" w:space="0" w:color="FFFFFF"/>
        <w:right w:val="single" w:sz="12" w:space="0" w:color="FFFFFF"/>
      </w:pBdr>
      <w:shd w:val="clear" w:color="auto" w:fill="FFFF99"/>
      <w:spacing w:before="100" w:beforeAutospacing="1" w:after="100" w:afterAutospacing="1"/>
    </w:pPr>
    <w:rPr>
      <w:b/>
      <w:bCs/>
    </w:rPr>
  </w:style>
  <w:style w:type="paragraph" w:customStyle="1" w:styleId="xl31">
    <w:name w:val="xl31"/>
    <w:basedOn w:val="Normal"/>
    <w:rsid w:val="00200174"/>
    <w:pPr>
      <w:pBdr>
        <w:bottom w:val="single" w:sz="12" w:space="0" w:color="FFFFFF"/>
        <w:right w:val="single" w:sz="12" w:space="0" w:color="FFFFFF"/>
      </w:pBdr>
      <w:shd w:val="clear" w:color="auto" w:fill="CCFFCC"/>
      <w:spacing w:before="100" w:beforeAutospacing="1" w:after="100" w:afterAutospacing="1"/>
    </w:pPr>
    <w:rPr>
      <w:b/>
      <w:bCs/>
    </w:rPr>
  </w:style>
  <w:style w:type="paragraph" w:customStyle="1" w:styleId="xl32">
    <w:name w:val="xl32"/>
    <w:basedOn w:val="Normal"/>
    <w:rsid w:val="00200174"/>
    <w:pPr>
      <w:pBdr>
        <w:bottom w:val="single" w:sz="12" w:space="0" w:color="FFFFFF"/>
        <w:right w:val="single" w:sz="12" w:space="0" w:color="FFFFFF"/>
      </w:pBdr>
      <w:shd w:val="clear" w:color="auto" w:fill="CCFFFF"/>
      <w:spacing w:before="100" w:beforeAutospacing="1" w:after="100" w:afterAutospacing="1"/>
    </w:pPr>
    <w:rPr>
      <w:b/>
      <w:bCs/>
    </w:rPr>
  </w:style>
  <w:style w:type="paragraph" w:customStyle="1" w:styleId="xl33">
    <w:name w:val="xl33"/>
    <w:basedOn w:val="Normal"/>
    <w:rsid w:val="00200174"/>
    <w:pPr>
      <w:pBdr>
        <w:bottom w:val="single" w:sz="12" w:space="0" w:color="FFFFFF"/>
        <w:right w:val="single" w:sz="12" w:space="0" w:color="FFFFFF"/>
      </w:pBdr>
      <w:shd w:val="clear" w:color="auto" w:fill="99CCFF"/>
      <w:spacing w:before="100" w:beforeAutospacing="1" w:after="100" w:afterAutospacing="1"/>
    </w:pPr>
    <w:rPr>
      <w:b/>
      <w:bCs/>
    </w:rPr>
  </w:style>
  <w:style w:type="paragraph" w:customStyle="1" w:styleId="xl34">
    <w:name w:val="xl34"/>
    <w:basedOn w:val="Normal"/>
    <w:rsid w:val="00200174"/>
    <w:pPr>
      <w:pBdr>
        <w:bottom w:val="single" w:sz="12" w:space="0" w:color="FFFFFF"/>
        <w:right w:val="single" w:sz="12" w:space="0" w:color="FFFFFF"/>
      </w:pBdr>
      <w:shd w:val="clear" w:color="auto" w:fill="CC99FF"/>
      <w:spacing w:before="100" w:beforeAutospacing="1" w:after="100" w:afterAutospacing="1"/>
    </w:pPr>
    <w:rPr>
      <w:b/>
      <w:bCs/>
    </w:rPr>
  </w:style>
  <w:style w:type="paragraph" w:customStyle="1" w:styleId="xl35">
    <w:name w:val="xl35"/>
    <w:basedOn w:val="Normal"/>
    <w:rsid w:val="00200174"/>
    <w:pPr>
      <w:pBdr>
        <w:bottom w:val="single" w:sz="12" w:space="0" w:color="FFFFFF"/>
        <w:right w:val="single" w:sz="12" w:space="0" w:color="FFFFFF"/>
      </w:pBdr>
      <w:shd w:val="clear" w:color="auto" w:fill="00CCFF"/>
      <w:spacing w:before="100" w:beforeAutospacing="1" w:after="100" w:afterAutospacing="1"/>
    </w:pPr>
    <w:rPr>
      <w:b/>
      <w:bCs/>
    </w:rPr>
  </w:style>
  <w:style w:type="paragraph" w:customStyle="1" w:styleId="xl36">
    <w:name w:val="xl36"/>
    <w:basedOn w:val="Normal"/>
    <w:rsid w:val="00200174"/>
    <w:pPr>
      <w:pBdr>
        <w:bottom w:val="single" w:sz="12" w:space="0" w:color="FFFFFF"/>
        <w:right w:val="single" w:sz="12" w:space="0" w:color="FFFFFF"/>
      </w:pBdr>
      <w:shd w:val="clear" w:color="auto" w:fill="800080"/>
      <w:spacing w:before="100" w:beforeAutospacing="1" w:after="100" w:afterAutospacing="1"/>
    </w:pPr>
    <w:rPr>
      <w:b/>
      <w:bCs/>
    </w:rPr>
  </w:style>
  <w:style w:type="paragraph" w:customStyle="1" w:styleId="xl37">
    <w:name w:val="xl37"/>
    <w:basedOn w:val="Normal"/>
    <w:rsid w:val="00200174"/>
    <w:pPr>
      <w:pBdr>
        <w:bottom w:val="single" w:sz="12" w:space="0" w:color="FFFFFF"/>
        <w:right w:val="single" w:sz="12" w:space="0" w:color="FFFFFF"/>
      </w:pBdr>
      <w:shd w:val="clear" w:color="auto" w:fill="FF00FF"/>
      <w:spacing w:before="100" w:beforeAutospacing="1" w:after="100" w:afterAutospacing="1"/>
    </w:pPr>
    <w:rPr>
      <w:b/>
      <w:bCs/>
    </w:rPr>
  </w:style>
  <w:style w:type="paragraph" w:customStyle="1" w:styleId="xl38">
    <w:name w:val="xl38"/>
    <w:basedOn w:val="Normal"/>
    <w:rsid w:val="00200174"/>
    <w:pPr>
      <w:pBdr>
        <w:bottom w:val="single" w:sz="12" w:space="0" w:color="FFFFFF"/>
        <w:right w:val="single" w:sz="12" w:space="0" w:color="FFFFFF"/>
      </w:pBdr>
      <w:shd w:val="clear" w:color="auto" w:fill="FFCC00"/>
      <w:spacing w:before="100" w:beforeAutospacing="1" w:after="100" w:afterAutospacing="1"/>
    </w:pPr>
    <w:rPr>
      <w:b/>
      <w:bCs/>
    </w:rPr>
  </w:style>
  <w:style w:type="paragraph" w:customStyle="1" w:styleId="xl39">
    <w:name w:val="xl39"/>
    <w:basedOn w:val="Normal"/>
    <w:rsid w:val="00200174"/>
    <w:pPr>
      <w:pBdr>
        <w:bottom w:val="single" w:sz="12" w:space="0" w:color="FFFFFF"/>
        <w:right w:val="single" w:sz="12" w:space="0" w:color="FFFFFF"/>
      </w:pBdr>
      <w:shd w:val="clear" w:color="auto" w:fill="FFFF00"/>
      <w:spacing w:before="100" w:beforeAutospacing="1" w:after="100" w:afterAutospacing="1"/>
    </w:pPr>
    <w:rPr>
      <w:b/>
      <w:bCs/>
    </w:rPr>
  </w:style>
  <w:style w:type="paragraph" w:customStyle="1" w:styleId="xl40">
    <w:name w:val="xl40"/>
    <w:basedOn w:val="Normal"/>
    <w:rsid w:val="00200174"/>
    <w:pPr>
      <w:pBdr>
        <w:bottom w:val="single" w:sz="12" w:space="0" w:color="FFFFFF"/>
        <w:right w:val="single" w:sz="12" w:space="0" w:color="FFFFFF"/>
      </w:pBdr>
      <w:shd w:val="clear" w:color="auto" w:fill="00FF00"/>
      <w:spacing w:before="100" w:beforeAutospacing="1" w:after="100" w:afterAutospacing="1"/>
    </w:pPr>
    <w:rPr>
      <w:b/>
      <w:bCs/>
    </w:rPr>
  </w:style>
  <w:style w:type="paragraph" w:customStyle="1" w:styleId="xl41">
    <w:name w:val="xl41"/>
    <w:basedOn w:val="Normal"/>
    <w:rsid w:val="00200174"/>
    <w:pPr>
      <w:pBdr>
        <w:bottom w:val="single" w:sz="12" w:space="0" w:color="FFFFFF"/>
        <w:right w:val="single" w:sz="12" w:space="0" w:color="FFFFFF"/>
      </w:pBdr>
      <w:shd w:val="clear" w:color="auto" w:fill="00FFFF"/>
      <w:spacing w:before="100" w:beforeAutospacing="1" w:after="100" w:afterAutospacing="1"/>
    </w:pPr>
    <w:rPr>
      <w:b/>
      <w:bCs/>
    </w:rPr>
  </w:style>
  <w:style w:type="paragraph" w:customStyle="1" w:styleId="xl42">
    <w:name w:val="xl42"/>
    <w:basedOn w:val="Normal"/>
    <w:rsid w:val="00200174"/>
    <w:pPr>
      <w:pBdr>
        <w:bottom w:val="single" w:sz="12" w:space="0" w:color="FFFFFF"/>
        <w:right w:val="single" w:sz="12" w:space="0" w:color="FFFFFF"/>
      </w:pBdr>
      <w:shd w:val="clear" w:color="auto" w:fill="993366"/>
      <w:spacing w:before="100" w:beforeAutospacing="1" w:after="100" w:afterAutospacing="1"/>
    </w:pPr>
    <w:rPr>
      <w:b/>
      <w:bCs/>
    </w:rPr>
  </w:style>
  <w:style w:type="paragraph" w:customStyle="1" w:styleId="xl43">
    <w:name w:val="xl43"/>
    <w:basedOn w:val="Normal"/>
    <w:rsid w:val="00200174"/>
    <w:pPr>
      <w:pBdr>
        <w:bottom w:val="single" w:sz="12" w:space="0" w:color="FFFFFF"/>
        <w:right w:val="single" w:sz="12" w:space="0" w:color="FFFFFF"/>
      </w:pBdr>
      <w:shd w:val="clear" w:color="auto" w:fill="FF6600"/>
      <w:spacing w:before="100" w:beforeAutospacing="1" w:after="100" w:afterAutospacing="1"/>
    </w:pPr>
    <w:rPr>
      <w:b/>
      <w:bCs/>
    </w:rPr>
  </w:style>
  <w:style w:type="paragraph" w:customStyle="1" w:styleId="xl44">
    <w:name w:val="xl44"/>
    <w:basedOn w:val="Normal"/>
    <w:rsid w:val="00200174"/>
    <w:pPr>
      <w:pBdr>
        <w:bottom w:val="single" w:sz="12" w:space="0" w:color="FFFFFF"/>
        <w:right w:val="single" w:sz="12" w:space="0" w:color="FFFFFF"/>
      </w:pBdr>
      <w:shd w:val="clear" w:color="auto" w:fill="FF99CC"/>
      <w:spacing w:before="100" w:beforeAutospacing="1" w:after="100" w:afterAutospacing="1"/>
    </w:pPr>
    <w:rPr>
      <w:b/>
      <w:bCs/>
    </w:rPr>
  </w:style>
  <w:style w:type="paragraph" w:customStyle="1" w:styleId="xl45">
    <w:name w:val="xl45"/>
    <w:basedOn w:val="Normal"/>
    <w:rsid w:val="00200174"/>
    <w:pPr>
      <w:pBdr>
        <w:bottom w:val="single" w:sz="12" w:space="0" w:color="FFFFFF"/>
        <w:right w:val="single" w:sz="12" w:space="0" w:color="FFFFFF"/>
      </w:pBdr>
      <w:shd w:val="clear" w:color="auto" w:fill="3366FF"/>
      <w:spacing w:before="100" w:beforeAutospacing="1" w:after="100" w:afterAutospacing="1"/>
    </w:pPr>
    <w:rPr>
      <w:b/>
      <w:bCs/>
    </w:rPr>
  </w:style>
  <w:style w:type="paragraph" w:customStyle="1" w:styleId="xl46">
    <w:name w:val="xl46"/>
    <w:basedOn w:val="Normal"/>
    <w:rsid w:val="00200174"/>
    <w:pPr>
      <w:pBdr>
        <w:bottom w:val="single" w:sz="12" w:space="0" w:color="FFFFFF"/>
        <w:right w:val="single" w:sz="12" w:space="0" w:color="FFFFFF"/>
      </w:pBdr>
      <w:shd w:val="clear" w:color="auto" w:fill="808000"/>
      <w:spacing w:before="100" w:beforeAutospacing="1" w:after="100" w:afterAutospacing="1"/>
    </w:pPr>
    <w:rPr>
      <w:b/>
      <w:bCs/>
    </w:rPr>
  </w:style>
  <w:style w:type="paragraph" w:customStyle="1" w:styleId="xl47">
    <w:name w:val="xl47"/>
    <w:basedOn w:val="Normal"/>
    <w:rsid w:val="00200174"/>
    <w:pPr>
      <w:pBdr>
        <w:bottom w:val="single" w:sz="12" w:space="0" w:color="FFFFFF"/>
        <w:right w:val="single" w:sz="12" w:space="0" w:color="FFFFFF"/>
      </w:pBdr>
      <w:shd w:val="clear" w:color="auto" w:fill="008000"/>
      <w:spacing w:before="100" w:beforeAutospacing="1" w:after="100" w:afterAutospacing="1"/>
    </w:pPr>
    <w:rPr>
      <w:b/>
      <w:bCs/>
    </w:rPr>
  </w:style>
  <w:style w:type="paragraph" w:customStyle="1" w:styleId="xl48">
    <w:name w:val="xl48"/>
    <w:basedOn w:val="Normal"/>
    <w:rsid w:val="00200174"/>
    <w:pPr>
      <w:pBdr>
        <w:bottom w:val="single" w:sz="12" w:space="0" w:color="FFFFFF"/>
        <w:right w:val="single" w:sz="12" w:space="0" w:color="FFFFFF"/>
      </w:pBdr>
      <w:shd w:val="clear" w:color="auto" w:fill="008080"/>
      <w:spacing w:before="100" w:beforeAutospacing="1" w:after="100" w:afterAutospacing="1"/>
    </w:pPr>
    <w:rPr>
      <w:b/>
      <w:bCs/>
    </w:rPr>
  </w:style>
  <w:style w:type="paragraph" w:customStyle="1" w:styleId="xl49">
    <w:name w:val="xl49"/>
    <w:basedOn w:val="Normal"/>
    <w:rsid w:val="00200174"/>
    <w:pPr>
      <w:pBdr>
        <w:bottom w:val="single" w:sz="12" w:space="0" w:color="FFFFFF"/>
        <w:right w:val="single" w:sz="12" w:space="0" w:color="FFFFFF"/>
      </w:pBdr>
      <w:shd w:val="clear" w:color="auto" w:fill="0000FF"/>
      <w:spacing w:before="100" w:beforeAutospacing="1" w:after="100" w:afterAutospacing="1"/>
    </w:pPr>
    <w:rPr>
      <w:b/>
      <w:bCs/>
    </w:rPr>
  </w:style>
  <w:style w:type="paragraph" w:customStyle="1" w:styleId="xl50">
    <w:name w:val="xl50"/>
    <w:basedOn w:val="Normal"/>
    <w:rsid w:val="00200174"/>
    <w:pPr>
      <w:pBdr>
        <w:bottom w:val="single" w:sz="12" w:space="0" w:color="FFFFFF"/>
        <w:right w:val="single" w:sz="12" w:space="0" w:color="FFFFFF"/>
      </w:pBdr>
      <w:shd w:val="clear" w:color="auto" w:fill="666699"/>
      <w:spacing w:before="100" w:beforeAutospacing="1" w:after="100" w:afterAutospacing="1"/>
    </w:pPr>
    <w:rPr>
      <w:b/>
      <w:bCs/>
    </w:rPr>
  </w:style>
  <w:style w:type="paragraph" w:customStyle="1" w:styleId="xl51">
    <w:name w:val="xl51"/>
    <w:basedOn w:val="Normal"/>
    <w:rsid w:val="00200174"/>
    <w:pPr>
      <w:pBdr>
        <w:bottom w:val="single" w:sz="12" w:space="0" w:color="FFFFFF"/>
        <w:right w:val="single" w:sz="12" w:space="0" w:color="FFFFFF"/>
      </w:pBdr>
      <w:shd w:val="clear" w:color="auto" w:fill="FF0000"/>
      <w:spacing w:before="100" w:beforeAutospacing="1" w:after="100" w:afterAutospacing="1"/>
    </w:pPr>
    <w:rPr>
      <w:b/>
      <w:bCs/>
    </w:rPr>
  </w:style>
  <w:style w:type="paragraph" w:customStyle="1" w:styleId="xl52">
    <w:name w:val="xl52"/>
    <w:basedOn w:val="Normal"/>
    <w:rsid w:val="00200174"/>
    <w:pPr>
      <w:pBdr>
        <w:bottom w:val="single" w:sz="12" w:space="0" w:color="FFFFFF"/>
        <w:right w:val="single" w:sz="12" w:space="0" w:color="FFFFFF"/>
      </w:pBdr>
      <w:shd w:val="clear" w:color="auto" w:fill="FF9900"/>
      <w:spacing w:before="100" w:beforeAutospacing="1" w:after="100" w:afterAutospacing="1"/>
    </w:pPr>
    <w:rPr>
      <w:b/>
      <w:bCs/>
    </w:rPr>
  </w:style>
  <w:style w:type="paragraph" w:customStyle="1" w:styleId="xl53">
    <w:name w:val="xl53"/>
    <w:basedOn w:val="Normal"/>
    <w:rsid w:val="00200174"/>
    <w:pPr>
      <w:pBdr>
        <w:bottom w:val="single" w:sz="12" w:space="0" w:color="FFFFFF"/>
        <w:right w:val="single" w:sz="12" w:space="0" w:color="FFFFFF"/>
      </w:pBdr>
      <w:shd w:val="clear" w:color="auto" w:fill="C0C0C0"/>
      <w:spacing w:before="100" w:beforeAutospacing="1" w:after="100" w:afterAutospacing="1"/>
      <w:jc w:val="center"/>
    </w:pPr>
    <w:rPr>
      <w:sz w:val="16"/>
      <w:szCs w:val="16"/>
    </w:rPr>
  </w:style>
  <w:style w:type="paragraph" w:customStyle="1" w:styleId="xl54">
    <w:name w:val="xl54"/>
    <w:basedOn w:val="Normal"/>
    <w:rsid w:val="00200174"/>
    <w:pPr>
      <w:pBdr>
        <w:bottom w:val="single" w:sz="12" w:space="0" w:color="FFFFFF"/>
        <w:right w:val="single" w:sz="12" w:space="0" w:color="FFFFFF"/>
      </w:pBdr>
      <w:shd w:val="clear" w:color="auto" w:fill="C0C0C0"/>
      <w:spacing w:before="100" w:beforeAutospacing="1" w:after="100" w:afterAutospacing="1"/>
    </w:pPr>
  </w:style>
  <w:style w:type="paragraph" w:customStyle="1" w:styleId="xl55">
    <w:name w:val="xl55"/>
    <w:basedOn w:val="Normal"/>
    <w:rsid w:val="00200174"/>
    <w:pPr>
      <w:pBdr>
        <w:bottom w:val="single" w:sz="12" w:space="0" w:color="FFFFFF"/>
        <w:right w:val="single" w:sz="12" w:space="0" w:color="FFFFFF"/>
      </w:pBdr>
      <w:shd w:val="clear" w:color="auto" w:fill="C0C0C0"/>
      <w:spacing w:before="100" w:beforeAutospacing="1" w:after="100" w:afterAutospacing="1"/>
    </w:pPr>
    <w:rPr>
      <w:b/>
      <w:bCs/>
    </w:rPr>
  </w:style>
  <w:style w:type="paragraph" w:customStyle="1" w:styleId="xl56">
    <w:name w:val="xl56"/>
    <w:basedOn w:val="Normal"/>
    <w:rsid w:val="00200174"/>
    <w:pPr>
      <w:pBdr>
        <w:bottom w:val="single" w:sz="12" w:space="0" w:color="FFFFFF"/>
        <w:right w:val="single" w:sz="12" w:space="0" w:color="FFFFFF"/>
      </w:pBdr>
      <w:shd w:val="clear" w:color="auto" w:fill="C0C0C0"/>
      <w:spacing w:before="100" w:beforeAutospacing="1" w:after="100" w:afterAutospacing="1"/>
    </w:pPr>
  </w:style>
  <w:style w:type="paragraph" w:customStyle="1" w:styleId="xl57">
    <w:name w:val="xl57"/>
    <w:basedOn w:val="Normal"/>
    <w:rsid w:val="00200174"/>
    <w:pPr>
      <w:pBdr>
        <w:bottom w:val="single" w:sz="12" w:space="0" w:color="FFFFFF"/>
        <w:right w:val="single" w:sz="12" w:space="0" w:color="FFFFFF"/>
      </w:pBdr>
      <w:shd w:val="clear" w:color="auto" w:fill="969696"/>
      <w:spacing w:before="100" w:beforeAutospacing="1" w:after="100" w:afterAutospacing="1"/>
      <w:jc w:val="center"/>
    </w:pPr>
    <w:rPr>
      <w:sz w:val="16"/>
      <w:szCs w:val="16"/>
    </w:rPr>
  </w:style>
  <w:style w:type="paragraph" w:customStyle="1" w:styleId="xl58">
    <w:name w:val="xl58"/>
    <w:basedOn w:val="Normal"/>
    <w:rsid w:val="00200174"/>
    <w:pPr>
      <w:pBdr>
        <w:bottom w:val="single" w:sz="12" w:space="0" w:color="FFFFFF"/>
        <w:right w:val="single" w:sz="12" w:space="0" w:color="FFFFFF"/>
      </w:pBdr>
      <w:shd w:val="clear" w:color="auto" w:fill="969696"/>
      <w:spacing w:before="100" w:beforeAutospacing="1" w:after="100" w:afterAutospacing="1"/>
    </w:pPr>
  </w:style>
  <w:style w:type="paragraph" w:customStyle="1" w:styleId="xl59">
    <w:name w:val="xl59"/>
    <w:basedOn w:val="Normal"/>
    <w:rsid w:val="00200174"/>
    <w:pPr>
      <w:pBdr>
        <w:bottom w:val="single" w:sz="12" w:space="0" w:color="FFFFFF"/>
        <w:right w:val="single" w:sz="12" w:space="0" w:color="FFFFFF"/>
      </w:pBdr>
      <w:shd w:val="clear" w:color="auto" w:fill="969696"/>
      <w:spacing w:before="100" w:beforeAutospacing="1" w:after="100" w:afterAutospacing="1"/>
    </w:pPr>
    <w:rPr>
      <w:b/>
      <w:bCs/>
    </w:rPr>
  </w:style>
  <w:style w:type="paragraph" w:customStyle="1" w:styleId="xl60">
    <w:name w:val="xl60"/>
    <w:basedOn w:val="Normal"/>
    <w:rsid w:val="00200174"/>
    <w:pPr>
      <w:pBdr>
        <w:bottom w:val="single" w:sz="12" w:space="0" w:color="FFFFFF"/>
        <w:right w:val="single" w:sz="12" w:space="0" w:color="FFFFFF"/>
      </w:pBdr>
      <w:shd w:val="clear" w:color="auto" w:fill="969696"/>
      <w:spacing w:before="100" w:beforeAutospacing="1" w:after="100" w:afterAutospacing="1"/>
    </w:pPr>
  </w:style>
  <w:style w:type="paragraph" w:customStyle="1" w:styleId="xl61">
    <w:name w:val="xl61"/>
    <w:basedOn w:val="Normal"/>
    <w:rsid w:val="00200174"/>
    <w:pPr>
      <w:pBdr>
        <w:bottom w:val="single" w:sz="12" w:space="0" w:color="FFFFFF"/>
        <w:right w:val="single" w:sz="12" w:space="0" w:color="FFFFFF"/>
      </w:pBdr>
      <w:shd w:val="clear" w:color="auto" w:fill="C0C0C0"/>
      <w:spacing w:before="100" w:beforeAutospacing="1" w:after="100" w:afterAutospacing="1"/>
    </w:pPr>
    <w:rPr>
      <w:b/>
      <w:bCs/>
    </w:rPr>
  </w:style>
  <w:style w:type="paragraph" w:customStyle="1" w:styleId="xl62">
    <w:name w:val="xl62"/>
    <w:basedOn w:val="Normal"/>
    <w:rsid w:val="00200174"/>
    <w:pPr>
      <w:pBdr>
        <w:bottom w:val="single" w:sz="12" w:space="0" w:color="FFFFFF"/>
        <w:right w:val="single" w:sz="12" w:space="0" w:color="FFFFFF"/>
      </w:pBdr>
      <w:shd w:val="clear" w:color="auto" w:fill="C0C0C0"/>
      <w:spacing w:before="100" w:beforeAutospacing="1" w:after="100" w:afterAutospacing="1"/>
    </w:pPr>
    <w:rPr>
      <w:b/>
      <w:bCs/>
    </w:rPr>
  </w:style>
  <w:style w:type="paragraph" w:customStyle="1" w:styleId="xl63">
    <w:name w:val="xl63"/>
    <w:basedOn w:val="Normal"/>
    <w:rsid w:val="00200174"/>
    <w:pPr>
      <w:pBdr>
        <w:bottom w:val="single" w:sz="12" w:space="0" w:color="FFFFFF"/>
        <w:right w:val="single" w:sz="12" w:space="0" w:color="FFFFFF"/>
      </w:pBdr>
      <w:shd w:val="clear" w:color="auto" w:fill="C0C0C0"/>
      <w:spacing w:before="100" w:beforeAutospacing="1" w:after="100" w:afterAutospacing="1"/>
    </w:pPr>
  </w:style>
  <w:style w:type="paragraph" w:customStyle="1" w:styleId="xl64">
    <w:name w:val="xl64"/>
    <w:basedOn w:val="Normal"/>
    <w:rsid w:val="00200174"/>
    <w:pPr>
      <w:pBdr>
        <w:bottom w:val="single" w:sz="12" w:space="0" w:color="FFFFFF"/>
        <w:right w:val="single" w:sz="12" w:space="0" w:color="FFFFFF"/>
      </w:pBdr>
      <w:shd w:val="clear" w:color="auto" w:fill="969696"/>
      <w:spacing w:before="100" w:beforeAutospacing="1" w:after="100" w:afterAutospacing="1"/>
    </w:pPr>
    <w:rPr>
      <w:b/>
      <w:bCs/>
    </w:rPr>
  </w:style>
  <w:style w:type="paragraph" w:customStyle="1" w:styleId="xl65">
    <w:name w:val="xl65"/>
    <w:basedOn w:val="Normal"/>
    <w:rsid w:val="00200174"/>
    <w:pPr>
      <w:pBdr>
        <w:bottom w:val="single" w:sz="12" w:space="0" w:color="FFFFFF"/>
        <w:right w:val="single" w:sz="12" w:space="0" w:color="FFFFFF"/>
      </w:pBdr>
      <w:shd w:val="clear" w:color="auto" w:fill="969696"/>
      <w:spacing w:before="100" w:beforeAutospacing="1" w:after="100" w:afterAutospacing="1"/>
    </w:pPr>
    <w:rPr>
      <w:b/>
      <w:bCs/>
    </w:rPr>
  </w:style>
  <w:style w:type="paragraph" w:customStyle="1" w:styleId="xl66">
    <w:name w:val="xl66"/>
    <w:basedOn w:val="Normal"/>
    <w:rsid w:val="00200174"/>
    <w:pPr>
      <w:pBdr>
        <w:bottom w:val="single" w:sz="12" w:space="0" w:color="FFFFFF"/>
        <w:right w:val="single" w:sz="12" w:space="0" w:color="FFFFFF"/>
      </w:pBdr>
      <w:shd w:val="clear" w:color="auto" w:fill="969696"/>
      <w:spacing w:before="100" w:beforeAutospacing="1" w:after="100" w:afterAutospacing="1"/>
    </w:pPr>
  </w:style>
  <w:style w:type="table" w:styleId="TableElegant">
    <w:name w:val="Table Elegant"/>
    <w:basedOn w:val="TableNormal"/>
    <w:rsid w:val="00B351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um1">
    <w:name w:val="num1"/>
    <w:basedOn w:val="Normal"/>
    <w:rsid w:val="00F652AB"/>
    <w:pPr>
      <w:tabs>
        <w:tab w:val="left" w:pos="-720"/>
      </w:tabs>
      <w:suppressAutoHyphens/>
      <w:spacing w:line="360" w:lineRule="auto"/>
      <w:ind w:firstLine="360"/>
    </w:pPr>
    <w:rPr>
      <w:rFonts w:ascii="Palatino" w:hAnsi="Palatino"/>
      <w:sz w:val="26"/>
      <w:szCs w:val="20"/>
    </w:rPr>
  </w:style>
  <w:style w:type="paragraph" w:styleId="DocumentMap">
    <w:name w:val="Document Map"/>
    <w:basedOn w:val="Normal"/>
    <w:semiHidden/>
    <w:rsid w:val="00B008BF"/>
    <w:pPr>
      <w:shd w:val="clear" w:color="auto" w:fill="000080"/>
    </w:pPr>
    <w:rPr>
      <w:rFonts w:ascii="Tahoma" w:hAnsi="Tahoma" w:cs="Tahoma"/>
      <w:sz w:val="20"/>
      <w:szCs w:val="20"/>
    </w:rPr>
  </w:style>
  <w:style w:type="character" w:styleId="CommentReference">
    <w:name w:val="annotation reference"/>
    <w:semiHidden/>
    <w:rsid w:val="0042297B"/>
    <w:rPr>
      <w:sz w:val="16"/>
      <w:szCs w:val="16"/>
    </w:rPr>
  </w:style>
  <w:style w:type="paragraph" w:styleId="CommentText">
    <w:name w:val="annotation text"/>
    <w:basedOn w:val="Normal"/>
    <w:link w:val="CommentTextChar"/>
    <w:semiHidden/>
    <w:rsid w:val="0042297B"/>
    <w:rPr>
      <w:sz w:val="20"/>
      <w:szCs w:val="20"/>
    </w:rPr>
  </w:style>
  <w:style w:type="paragraph" w:styleId="CommentSubject">
    <w:name w:val="annotation subject"/>
    <w:basedOn w:val="CommentText"/>
    <w:next w:val="CommentText"/>
    <w:semiHidden/>
    <w:rsid w:val="0042297B"/>
    <w:rPr>
      <w:b/>
      <w:bCs/>
    </w:rPr>
  </w:style>
  <w:style w:type="paragraph" w:styleId="FootnoteText">
    <w:name w:val="footnote text"/>
    <w:basedOn w:val="Normal"/>
    <w:link w:val="FootnoteTextChar"/>
    <w:uiPriority w:val="99"/>
    <w:semiHidden/>
    <w:rsid w:val="007475AA"/>
    <w:rPr>
      <w:sz w:val="20"/>
      <w:szCs w:val="20"/>
    </w:rPr>
  </w:style>
  <w:style w:type="character" w:styleId="FootnoteReference">
    <w:name w:val="footnote reference"/>
    <w:aliases w:val="o,fr,Style 3,o1,o2,o3,o4,o5,o6,o11,o21,o7"/>
    <w:rsid w:val="007475AA"/>
    <w:rPr>
      <w:vertAlign w:val="superscript"/>
    </w:rPr>
  </w:style>
  <w:style w:type="paragraph" w:customStyle="1" w:styleId="Reminders">
    <w:name w:val="Reminders"/>
    <w:basedOn w:val="Normal"/>
    <w:link w:val="RemindersChar"/>
    <w:rsid w:val="001C2942"/>
    <w:pPr>
      <w:spacing w:before="40" w:after="40"/>
    </w:pPr>
    <w:rPr>
      <w:rFonts w:ascii="Trebuchet MS" w:eastAsia="Calibri" w:hAnsi="Trebuchet MS"/>
      <w:i/>
      <w:color w:val="FF0000"/>
    </w:rPr>
  </w:style>
  <w:style w:type="paragraph" w:customStyle="1" w:styleId="Reminder">
    <w:name w:val="Reminder"/>
    <w:basedOn w:val="Reminders"/>
    <w:link w:val="ReminderChar"/>
    <w:rsid w:val="001C2942"/>
  </w:style>
  <w:style w:type="character" w:customStyle="1" w:styleId="RemindersChar">
    <w:name w:val="Reminders Char"/>
    <w:link w:val="Reminders"/>
    <w:locked/>
    <w:rsid w:val="001C2942"/>
    <w:rPr>
      <w:rFonts w:ascii="Trebuchet MS" w:eastAsia="Calibri" w:hAnsi="Trebuchet MS"/>
      <w:i/>
      <w:color w:val="FF0000"/>
      <w:sz w:val="24"/>
      <w:szCs w:val="24"/>
      <w:lang w:val="en-US" w:eastAsia="en-US" w:bidi="ar-SA"/>
    </w:rPr>
  </w:style>
  <w:style w:type="character" w:customStyle="1" w:styleId="ReminderChar">
    <w:name w:val="Reminder Char"/>
    <w:link w:val="Reminder"/>
    <w:locked/>
    <w:rsid w:val="001C2942"/>
    <w:rPr>
      <w:rFonts w:ascii="Trebuchet MS" w:eastAsia="Calibri" w:hAnsi="Trebuchet MS"/>
      <w:i/>
      <w:color w:val="FF0000"/>
      <w:sz w:val="24"/>
      <w:szCs w:val="24"/>
      <w:lang w:val="en-US" w:eastAsia="en-US" w:bidi="ar-SA"/>
    </w:rPr>
  </w:style>
  <w:style w:type="character" w:customStyle="1" w:styleId="CaptionChar">
    <w:name w:val="Caption Char"/>
    <w:link w:val="Caption"/>
    <w:locked/>
    <w:rsid w:val="001C2942"/>
    <w:rPr>
      <w:b/>
      <w:bCs/>
      <w:lang w:val="en-US" w:eastAsia="en-US" w:bidi="ar-SA"/>
    </w:rPr>
  </w:style>
  <w:style w:type="character" w:styleId="Strong">
    <w:name w:val="Strong"/>
    <w:link w:val="TitleChar"/>
    <w:qFormat/>
    <w:rsid w:val="00003527"/>
    <w:rPr>
      <w:rFonts w:ascii="Arial" w:hAnsi="Arial"/>
      <w:b/>
      <w:bCs/>
      <w:sz w:val="22"/>
    </w:rPr>
  </w:style>
  <w:style w:type="character" w:customStyle="1" w:styleId="TitleChar">
    <w:name w:val="Title Char"/>
    <w:link w:val="Strong"/>
    <w:locked/>
    <w:rsid w:val="000E22C9"/>
    <w:rPr>
      <w:rFonts w:ascii="Arial" w:hAnsi="Arial"/>
      <w:b/>
      <w:color w:val="17365D"/>
      <w:spacing w:val="5"/>
      <w:kern w:val="28"/>
      <w:sz w:val="48"/>
      <w:szCs w:val="52"/>
      <w:lang w:eastAsia="ko-KR"/>
    </w:rPr>
  </w:style>
  <w:style w:type="character" w:customStyle="1" w:styleId="Heading1Char">
    <w:name w:val="Heading 1 Char"/>
    <w:link w:val="Heading1"/>
    <w:locked/>
    <w:rsid w:val="002F3610"/>
    <w:rPr>
      <w:rFonts w:ascii="Arial" w:hAnsi="Arial" w:cs="Arial"/>
      <w:b/>
      <w:bCs/>
      <w:kern w:val="32"/>
      <w:sz w:val="32"/>
      <w:szCs w:val="32"/>
      <w:lang w:val="en-US" w:eastAsia="en-US" w:bidi="ar-SA"/>
    </w:rPr>
  </w:style>
  <w:style w:type="character" w:customStyle="1" w:styleId="Strong1">
    <w:name w:val="Strong1"/>
    <w:qFormat/>
    <w:rsid w:val="00A55DD1"/>
    <w:rPr>
      <w:b/>
      <w:bCs/>
    </w:rPr>
  </w:style>
  <w:style w:type="character" w:customStyle="1" w:styleId="SubtitleChar">
    <w:name w:val="Subtitle Char"/>
    <w:rsid w:val="000E22C9"/>
    <w:rPr>
      <w:rFonts w:ascii="Arial" w:eastAsia="Times New Roman" w:hAnsi="Arial" w:cs="Times New Roman"/>
      <w:b/>
      <w:sz w:val="36"/>
      <w:szCs w:val="24"/>
    </w:rPr>
  </w:style>
  <w:style w:type="paragraph" w:styleId="TOCHeading">
    <w:name w:val="TOC Heading"/>
    <w:basedOn w:val="Heading1"/>
    <w:next w:val="Normal"/>
    <w:uiPriority w:val="39"/>
    <w:semiHidden/>
    <w:unhideWhenUsed/>
    <w:qFormat/>
    <w:rsid w:val="00FA47E6"/>
    <w:pPr>
      <w:keepLines/>
      <w:spacing w:before="480" w:after="0" w:line="276" w:lineRule="auto"/>
      <w:outlineLvl w:val="9"/>
    </w:pPr>
    <w:rPr>
      <w:rFonts w:ascii="Cambria" w:eastAsia="MS Gothic" w:hAnsi="Cambria" w:cs="Times New Roman"/>
      <w:color w:val="365F91"/>
      <w:kern w:val="0"/>
      <w:sz w:val="28"/>
      <w:szCs w:val="28"/>
      <w:lang w:eastAsia="ja-JP"/>
    </w:rPr>
  </w:style>
  <w:style w:type="table" w:customStyle="1" w:styleId="PGEWorkPaper">
    <w:name w:val="PG&amp;E Work Paper"/>
    <w:basedOn w:val="TableContemporary"/>
    <w:uiPriority w:val="99"/>
    <w:rsid w:val="009B1863"/>
    <w:pPr>
      <w:jc w:val="center"/>
    </w:pPr>
    <w:rPr>
      <w:rFonts w:ascii="Arial" w:hAnsi="Arial"/>
    </w:rPr>
    <w:tblPr>
      <w:tblBorders>
        <w:top w:val="single" w:sz="18" w:space="0" w:color="FFFFFF"/>
        <w:left w:val="single" w:sz="18" w:space="0" w:color="FFFFFF"/>
        <w:bottom w:val="single" w:sz="18" w:space="0" w:color="FFFFFF"/>
        <w:right w:val="single" w:sz="18" w:space="0" w:color="FFFFFF"/>
        <w:insideH w:val="none" w:sz="0" w:space="0" w:color="auto"/>
        <w:insideV w:val="none" w:sz="0" w:space="0" w:color="auto"/>
      </w:tblBorders>
    </w:tblPr>
    <w:tcPr>
      <w:shd w:val="clear" w:color="auto" w:fill="CBCBCB"/>
      <w:vAlign w:val="bottom"/>
    </w:tcPr>
    <w:tblStylePr w:type="firstRow">
      <w:pPr>
        <w:keepNext w:val="0"/>
        <w:keepLines/>
        <w:widowControl/>
        <w:wordWrap/>
        <w:jc w:val="center"/>
      </w:pPr>
      <w:rPr>
        <w:rFonts w:ascii="Arial" w:hAnsi="Arial"/>
        <w:b/>
        <w:bCs/>
        <w:color w:val="F2F2F2"/>
        <w:position w:val="0"/>
      </w:rPr>
      <w:tblPr/>
      <w:tcPr>
        <w:tcBorders>
          <w:tl2br w:val="none" w:sz="0" w:space="0" w:color="auto"/>
          <w:tr2bl w:val="none" w:sz="0" w:space="0" w:color="auto"/>
        </w:tcBorders>
        <w:shd w:val="clear" w:color="auto" w:fill="262626"/>
        <w:vAlign w:val="bottom"/>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Revision">
    <w:name w:val="Revision"/>
    <w:hidden/>
    <w:uiPriority w:val="99"/>
    <w:semiHidden/>
    <w:rsid w:val="001E4C31"/>
    <w:rPr>
      <w:rFonts w:ascii="Arial" w:hAnsi="Arial"/>
      <w:sz w:val="22"/>
      <w:szCs w:val="24"/>
    </w:rPr>
  </w:style>
  <w:style w:type="character" w:customStyle="1" w:styleId="breadcrumbs">
    <w:name w:val="breadcrumbs"/>
    <w:rsid w:val="007B2E26"/>
  </w:style>
  <w:style w:type="character" w:customStyle="1" w:styleId="FooterChar">
    <w:name w:val="Footer Char"/>
    <w:link w:val="Footer"/>
    <w:uiPriority w:val="99"/>
    <w:rsid w:val="00E9724F"/>
    <w:rPr>
      <w:rFonts w:ascii="Arial" w:hAnsi="Arial"/>
      <w:sz w:val="22"/>
      <w:szCs w:val="24"/>
    </w:rPr>
  </w:style>
  <w:style w:type="paragraph" w:styleId="ListParagraph">
    <w:name w:val="List Paragraph"/>
    <w:basedOn w:val="Normal"/>
    <w:uiPriority w:val="34"/>
    <w:qFormat/>
    <w:rsid w:val="00761007"/>
    <w:pPr>
      <w:ind w:left="720"/>
      <w:contextualSpacing/>
    </w:pPr>
    <w:rPr>
      <w:rFonts w:ascii="Times New Roman" w:hAnsi="Times New Roman"/>
      <w:sz w:val="24"/>
    </w:rPr>
  </w:style>
  <w:style w:type="paragraph" w:customStyle="1" w:styleId="Default">
    <w:name w:val="Default"/>
    <w:rsid w:val="00E4452C"/>
    <w:pPr>
      <w:autoSpaceDE w:val="0"/>
      <w:autoSpaceDN w:val="0"/>
      <w:adjustRightInd w:val="0"/>
    </w:pPr>
    <w:rPr>
      <w:rFonts w:ascii="Times" w:hAnsi="Times" w:cs="Times"/>
      <w:color w:val="000000"/>
      <w:sz w:val="24"/>
      <w:szCs w:val="24"/>
    </w:rPr>
  </w:style>
  <w:style w:type="character" w:styleId="PlaceholderText">
    <w:name w:val="Placeholder Text"/>
    <w:basedOn w:val="DefaultParagraphFont"/>
    <w:uiPriority w:val="99"/>
    <w:semiHidden/>
    <w:rsid w:val="00A433CB"/>
    <w:rPr>
      <w:color w:val="808080"/>
    </w:rPr>
  </w:style>
  <w:style w:type="character" w:customStyle="1" w:styleId="HeaderChar">
    <w:name w:val="Header Char"/>
    <w:basedOn w:val="DefaultParagraphFont"/>
    <w:link w:val="Header"/>
    <w:uiPriority w:val="99"/>
    <w:rsid w:val="00DA288B"/>
    <w:rPr>
      <w:rFonts w:ascii="Arial" w:hAnsi="Arial"/>
      <w:sz w:val="22"/>
      <w:szCs w:val="24"/>
    </w:rPr>
  </w:style>
  <w:style w:type="paragraph" w:customStyle="1" w:styleId="CalTFHeading1">
    <w:name w:val="Cal TF Heading 1"/>
    <w:basedOn w:val="Heading1"/>
    <w:link w:val="CalTFHeading1Char"/>
    <w:rsid w:val="001D4579"/>
  </w:style>
  <w:style w:type="paragraph" w:customStyle="1" w:styleId="Heading1-CalTF">
    <w:name w:val="Heading 1 - Cal TF"/>
    <w:basedOn w:val="CalTFHeading1"/>
    <w:link w:val="Heading1-CalTFChar"/>
    <w:qFormat/>
    <w:rsid w:val="003E7CC9"/>
    <w:pPr>
      <w:numPr>
        <w:numId w:val="4"/>
      </w:numPr>
      <w:tabs>
        <w:tab w:val="left" w:pos="1620"/>
      </w:tabs>
      <w:spacing w:before="400" w:after="200"/>
    </w:pPr>
  </w:style>
  <w:style w:type="paragraph" w:customStyle="1" w:styleId="Heading2-CalTF">
    <w:name w:val="Heading 2 - Cal TF"/>
    <w:basedOn w:val="Heading2"/>
    <w:rsid w:val="007112FD"/>
    <w:rPr>
      <w:b w:val="0"/>
      <w:i w:val="0"/>
      <w:color w:val="0000FF"/>
      <w:sz w:val="24"/>
    </w:rPr>
  </w:style>
  <w:style w:type="numbering" w:customStyle="1" w:styleId="Style1-Header2">
    <w:name w:val="Style1 - Header 2"/>
    <w:uiPriority w:val="99"/>
    <w:rsid w:val="00960D9F"/>
    <w:pPr>
      <w:numPr>
        <w:numId w:val="2"/>
      </w:numPr>
    </w:pPr>
  </w:style>
  <w:style w:type="character" w:customStyle="1" w:styleId="Heading4Char">
    <w:name w:val="Heading 4 Char"/>
    <w:basedOn w:val="DefaultParagraphFont"/>
    <w:link w:val="Heading4"/>
    <w:rsid w:val="00960D9F"/>
    <w:rPr>
      <w:rFonts w:asciiTheme="majorHAnsi" w:eastAsiaTheme="majorEastAsia" w:hAnsiTheme="majorHAnsi" w:cstheme="majorBidi"/>
      <w:i/>
      <w:iCs/>
      <w:color w:val="365F91" w:themeColor="accent1" w:themeShade="BF"/>
      <w:sz w:val="22"/>
      <w:szCs w:val="24"/>
    </w:rPr>
  </w:style>
  <w:style w:type="character" w:customStyle="1" w:styleId="Heading5Char">
    <w:name w:val="Heading 5 Char"/>
    <w:basedOn w:val="DefaultParagraphFont"/>
    <w:link w:val="Heading5"/>
    <w:rsid w:val="00960D9F"/>
    <w:rPr>
      <w:rFonts w:asciiTheme="majorHAnsi" w:eastAsiaTheme="majorEastAsia" w:hAnsiTheme="majorHAnsi" w:cstheme="majorBidi"/>
      <w:color w:val="365F91" w:themeColor="accent1" w:themeShade="BF"/>
      <w:sz w:val="22"/>
      <w:szCs w:val="24"/>
    </w:rPr>
  </w:style>
  <w:style w:type="character" w:customStyle="1" w:styleId="Heading6Char">
    <w:name w:val="Heading 6 Char"/>
    <w:basedOn w:val="DefaultParagraphFont"/>
    <w:link w:val="Heading6"/>
    <w:rsid w:val="00960D9F"/>
    <w:rPr>
      <w:rFonts w:asciiTheme="majorHAnsi" w:eastAsiaTheme="majorEastAsia" w:hAnsiTheme="majorHAnsi" w:cstheme="majorBidi"/>
      <w:color w:val="243F60" w:themeColor="accent1" w:themeShade="7F"/>
      <w:sz w:val="22"/>
      <w:szCs w:val="24"/>
    </w:rPr>
  </w:style>
  <w:style w:type="character" w:customStyle="1" w:styleId="Heading7Char">
    <w:name w:val="Heading 7 Char"/>
    <w:basedOn w:val="DefaultParagraphFont"/>
    <w:link w:val="Heading7"/>
    <w:rsid w:val="00960D9F"/>
    <w:rPr>
      <w:rFonts w:asciiTheme="majorHAnsi" w:eastAsiaTheme="majorEastAsia" w:hAnsiTheme="majorHAnsi" w:cstheme="majorBidi"/>
      <w:i/>
      <w:iCs/>
      <w:color w:val="243F60" w:themeColor="accent1" w:themeShade="7F"/>
      <w:sz w:val="22"/>
      <w:szCs w:val="24"/>
    </w:rPr>
  </w:style>
  <w:style w:type="character" w:customStyle="1" w:styleId="Heading8Char">
    <w:name w:val="Heading 8 Char"/>
    <w:basedOn w:val="DefaultParagraphFont"/>
    <w:link w:val="Heading8"/>
    <w:semiHidden/>
    <w:rsid w:val="00960D9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960D9F"/>
    <w:rPr>
      <w:rFonts w:asciiTheme="majorHAnsi" w:eastAsiaTheme="majorEastAsia" w:hAnsiTheme="majorHAnsi" w:cstheme="majorBidi"/>
      <w:i/>
      <w:iCs/>
      <w:color w:val="272727" w:themeColor="text1" w:themeTint="D8"/>
      <w:sz w:val="21"/>
      <w:szCs w:val="21"/>
    </w:rPr>
  </w:style>
  <w:style w:type="paragraph" w:customStyle="1" w:styleId="StyleCalTF2">
    <w:name w:val="StyleCalTF2"/>
    <w:basedOn w:val="Heading1-CalTF"/>
    <w:link w:val="StyleCalTF2Char"/>
    <w:qFormat/>
    <w:rsid w:val="009341FB"/>
    <w:pPr>
      <w:numPr>
        <w:numId w:val="0"/>
      </w:numPr>
    </w:pPr>
    <w:rPr>
      <w:b w:val="0"/>
      <w:color w:val="0000FF"/>
      <w:sz w:val="24"/>
      <w:szCs w:val="24"/>
    </w:rPr>
  </w:style>
  <w:style w:type="paragraph" w:customStyle="1" w:styleId="Heading2-CalTF2">
    <w:name w:val="Heading 2 - CalTF2"/>
    <w:basedOn w:val="StyleCalTF2"/>
    <w:qFormat/>
    <w:rsid w:val="00271E01"/>
    <w:pPr>
      <w:numPr>
        <w:ilvl w:val="1"/>
        <w:numId w:val="4"/>
      </w:numPr>
      <w:spacing w:before="300" w:after="260"/>
    </w:pPr>
  </w:style>
  <w:style w:type="character" w:customStyle="1" w:styleId="CalTFHeading1Char">
    <w:name w:val="Cal TF Heading 1 Char"/>
    <w:basedOn w:val="Heading1Char"/>
    <w:link w:val="CalTFHeading1"/>
    <w:rsid w:val="009341FB"/>
    <w:rPr>
      <w:rFonts w:ascii="Arial" w:hAnsi="Arial" w:cs="Arial"/>
      <w:b/>
      <w:bCs/>
      <w:kern w:val="32"/>
      <w:sz w:val="32"/>
      <w:szCs w:val="32"/>
      <w:lang w:val="en-US" w:eastAsia="en-US" w:bidi="ar-SA"/>
    </w:rPr>
  </w:style>
  <w:style w:type="character" w:customStyle="1" w:styleId="Heading1-CalTFChar">
    <w:name w:val="Heading 1 - Cal TF Char"/>
    <w:basedOn w:val="CalTFHeading1Char"/>
    <w:link w:val="Heading1-CalTF"/>
    <w:rsid w:val="003E7CC9"/>
    <w:rPr>
      <w:rFonts w:ascii="Arial" w:hAnsi="Arial" w:cs="Arial"/>
      <w:b/>
      <w:bCs/>
      <w:kern w:val="32"/>
      <w:sz w:val="32"/>
      <w:szCs w:val="32"/>
      <w:lang w:val="en-US" w:eastAsia="en-US" w:bidi="ar-SA"/>
    </w:rPr>
  </w:style>
  <w:style w:type="character" w:customStyle="1" w:styleId="StyleCalTF2Char">
    <w:name w:val="StyleCalTF2 Char"/>
    <w:basedOn w:val="Heading1-CalTFChar"/>
    <w:link w:val="StyleCalTF2"/>
    <w:rsid w:val="009341FB"/>
    <w:rPr>
      <w:rFonts w:ascii="Arial" w:hAnsi="Arial" w:cs="Arial"/>
      <w:b w:val="0"/>
      <w:bCs/>
      <w:color w:val="0000FF"/>
      <w:kern w:val="32"/>
      <w:sz w:val="24"/>
      <w:szCs w:val="24"/>
      <w:lang w:val="en-US" w:eastAsia="en-US" w:bidi="ar-SA"/>
    </w:rPr>
  </w:style>
  <w:style w:type="paragraph" w:customStyle="1" w:styleId="Heading3-CalTFStyle3">
    <w:name w:val="Heading 3 - CalTFStyle3"/>
    <w:basedOn w:val="StyleCalTF2"/>
    <w:link w:val="Heading3-CalTFStyle3Char"/>
    <w:rsid w:val="003F526B"/>
    <w:pPr>
      <w:numPr>
        <w:ilvl w:val="2"/>
        <w:numId w:val="3"/>
      </w:numPr>
    </w:pPr>
    <w:rPr>
      <w:i/>
      <w:sz w:val="20"/>
      <w:szCs w:val="20"/>
    </w:rPr>
  </w:style>
  <w:style w:type="paragraph" w:customStyle="1" w:styleId="Heading3-CalTFStyle31">
    <w:name w:val="Heading 3 - CalTFStyle3.1"/>
    <w:basedOn w:val="Heading3-CalTFStyle3"/>
    <w:link w:val="Heading3-CalTFStyle31Char"/>
    <w:qFormat/>
    <w:rsid w:val="00F81AAE"/>
    <w:pPr>
      <w:numPr>
        <w:numId w:val="4"/>
      </w:numPr>
      <w:tabs>
        <w:tab w:val="clear" w:pos="1620"/>
        <w:tab w:val="left" w:pos="1260"/>
      </w:tabs>
      <w:spacing w:after="100"/>
    </w:pPr>
    <w:rPr>
      <w:b/>
    </w:rPr>
  </w:style>
  <w:style w:type="character" w:customStyle="1" w:styleId="Heading3-CalTFStyle3Char">
    <w:name w:val="Heading 3 - CalTFStyle3 Char"/>
    <w:basedOn w:val="StyleCalTF2Char"/>
    <w:link w:val="Heading3-CalTFStyle3"/>
    <w:rsid w:val="003F526B"/>
    <w:rPr>
      <w:rFonts w:ascii="Arial" w:hAnsi="Arial" w:cs="Arial"/>
      <w:b w:val="0"/>
      <w:bCs/>
      <w:i/>
      <w:color w:val="0000FF"/>
      <w:kern w:val="32"/>
      <w:sz w:val="24"/>
      <w:szCs w:val="24"/>
      <w:lang w:val="en-US" w:eastAsia="en-US" w:bidi="ar-SA"/>
    </w:rPr>
  </w:style>
  <w:style w:type="character" w:customStyle="1" w:styleId="Heading3-CalTFStyle31Char">
    <w:name w:val="Heading 3 - CalTFStyle3.1 Char"/>
    <w:basedOn w:val="Heading3-CalTFStyle3Char"/>
    <w:link w:val="Heading3-CalTFStyle31"/>
    <w:rsid w:val="00F81AAE"/>
    <w:rPr>
      <w:rFonts w:ascii="Arial" w:hAnsi="Arial" w:cs="Arial"/>
      <w:b/>
      <w:bCs/>
      <w:i/>
      <w:color w:val="0000FF"/>
      <w:kern w:val="32"/>
      <w:sz w:val="24"/>
      <w:szCs w:val="24"/>
      <w:lang w:val="en-US" w:eastAsia="en-US" w:bidi="ar-SA"/>
    </w:rPr>
  </w:style>
  <w:style w:type="character" w:customStyle="1" w:styleId="FootnoteTextChar">
    <w:name w:val="Footnote Text Char"/>
    <w:basedOn w:val="DefaultParagraphFont"/>
    <w:link w:val="FootnoteText"/>
    <w:uiPriority w:val="99"/>
    <w:semiHidden/>
    <w:rsid w:val="00695C6D"/>
    <w:rPr>
      <w:rFonts w:ascii="Arial" w:hAnsi="Arial"/>
    </w:rPr>
  </w:style>
  <w:style w:type="paragraph" w:customStyle="1" w:styleId="Heading1-NoSectionNo">
    <w:name w:val="Heading 1 - No Section No"/>
    <w:basedOn w:val="Heading1"/>
    <w:qFormat/>
    <w:rsid w:val="006D318D"/>
    <w:pPr>
      <w:spacing w:before="400" w:after="200"/>
      <w:ind w:left="432" w:hanging="432"/>
    </w:pPr>
  </w:style>
  <w:style w:type="table" w:customStyle="1" w:styleId="TableGrid1">
    <w:name w:val="Table Grid1"/>
    <w:basedOn w:val="TableNormal"/>
    <w:next w:val="TableGrid"/>
    <w:uiPriority w:val="39"/>
    <w:rsid w:val="000622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F6505E"/>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2C9"/>
    <w:rPr>
      <w:rFonts w:ascii="Arial" w:hAnsi="Arial"/>
      <w:sz w:val="22"/>
      <w:szCs w:val="24"/>
    </w:rPr>
  </w:style>
  <w:style w:type="paragraph" w:styleId="Heading1">
    <w:name w:val="heading 1"/>
    <w:basedOn w:val="Normal"/>
    <w:next w:val="Normal"/>
    <w:link w:val="Heading1Char"/>
    <w:rsid w:val="00E71EF1"/>
    <w:pPr>
      <w:keepNext/>
      <w:spacing w:before="240" w:after="60"/>
      <w:outlineLvl w:val="0"/>
    </w:pPr>
    <w:rPr>
      <w:rFonts w:cs="Arial"/>
      <w:b/>
      <w:bCs/>
      <w:kern w:val="32"/>
      <w:sz w:val="32"/>
      <w:szCs w:val="32"/>
    </w:rPr>
  </w:style>
  <w:style w:type="paragraph" w:styleId="Heading2">
    <w:name w:val="heading 2"/>
    <w:basedOn w:val="Normal"/>
    <w:next w:val="Normal"/>
    <w:rsid w:val="00E71EF1"/>
    <w:pPr>
      <w:keepNext/>
      <w:numPr>
        <w:ilvl w:val="1"/>
        <w:numId w:val="1"/>
      </w:numPr>
      <w:spacing w:before="240" w:after="60"/>
      <w:outlineLvl w:val="1"/>
    </w:pPr>
    <w:rPr>
      <w:rFonts w:cs="Arial"/>
      <w:b/>
      <w:bCs/>
      <w:i/>
      <w:iCs/>
      <w:sz w:val="28"/>
      <w:szCs w:val="28"/>
    </w:rPr>
  </w:style>
  <w:style w:type="paragraph" w:styleId="Heading3">
    <w:name w:val="heading 3"/>
    <w:basedOn w:val="Normal"/>
    <w:next w:val="Normal"/>
    <w:qFormat/>
    <w:rsid w:val="003129E8"/>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unhideWhenUsed/>
    <w:qFormat/>
    <w:rsid w:val="00960D9F"/>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960D9F"/>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960D9F"/>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960D9F"/>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960D9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60D9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20370"/>
    <w:pPr>
      <w:tabs>
        <w:tab w:val="right" w:leader="dot" w:pos="9350"/>
      </w:tabs>
    </w:pPr>
  </w:style>
  <w:style w:type="paragraph" w:styleId="TOC2">
    <w:name w:val="toc 2"/>
    <w:basedOn w:val="Normal"/>
    <w:next w:val="Normal"/>
    <w:autoRedefine/>
    <w:uiPriority w:val="39"/>
    <w:rsid w:val="000966CC"/>
    <w:pPr>
      <w:ind w:left="240"/>
    </w:pPr>
  </w:style>
  <w:style w:type="character" w:styleId="Hyperlink">
    <w:name w:val="Hyperlink"/>
    <w:uiPriority w:val="99"/>
    <w:rsid w:val="000966CC"/>
    <w:rPr>
      <w:color w:val="0000FF"/>
      <w:u w:val="single"/>
    </w:rPr>
  </w:style>
  <w:style w:type="paragraph" w:styleId="Footer">
    <w:name w:val="footer"/>
    <w:basedOn w:val="Normal"/>
    <w:link w:val="FooterChar"/>
    <w:uiPriority w:val="99"/>
    <w:rsid w:val="000966CC"/>
    <w:pPr>
      <w:tabs>
        <w:tab w:val="center" w:pos="4320"/>
        <w:tab w:val="right" w:pos="8640"/>
      </w:tabs>
    </w:pPr>
  </w:style>
  <w:style w:type="character" w:styleId="PageNumber">
    <w:name w:val="page number"/>
    <w:basedOn w:val="DefaultParagraphFont"/>
    <w:rsid w:val="000966CC"/>
  </w:style>
  <w:style w:type="paragraph" w:styleId="Header">
    <w:name w:val="header"/>
    <w:basedOn w:val="Normal"/>
    <w:link w:val="HeaderChar"/>
    <w:uiPriority w:val="99"/>
    <w:rsid w:val="000966CC"/>
    <w:pPr>
      <w:tabs>
        <w:tab w:val="center" w:pos="4320"/>
        <w:tab w:val="right" w:pos="8640"/>
      </w:tabs>
    </w:pPr>
  </w:style>
  <w:style w:type="paragraph" w:styleId="TOC3">
    <w:name w:val="toc 3"/>
    <w:basedOn w:val="Normal"/>
    <w:next w:val="Normal"/>
    <w:autoRedefine/>
    <w:semiHidden/>
    <w:rsid w:val="00D33677"/>
    <w:pPr>
      <w:ind w:left="480"/>
    </w:pPr>
  </w:style>
  <w:style w:type="paragraph" w:styleId="EndnoteText">
    <w:name w:val="endnote text"/>
    <w:basedOn w:val="Normal"/>
    <w:semiHidden/>
    <w:rsid w:val="004551F3"/>
    <w:rPr>
      <w:sz w:val="20"/>
      <w:szCs w:val="20"/>
    </w:rPr>
  </w:style>
  <w:style w:type="character" w:styleId="EndnoteReference">
    <w:name w:val="endnote reference"/>
    <w:rsid w:val="004551F3"/>
    <w:rPr>
      <w:vertAlign w:val="superscript"/>
    </w:rPr>
  </w:style>
  <w:style w:type="paragraph" w:styleId="Index1">
    <w:name w:val="index 1"/>
    <w:basedOn w:val="Normal"/>
    <w:next w:val="Normal"/>
    <w:autoRedefine/>
    <w:semiHidden/>
    <w:rsid w:val="00F630A2"/>
    <w:pPr>
      <w:ind w:left="240" w:hanging="240"/>
    </w:pPr>
  </w:style>
  <w:style w:type="table" w:styleId="TableGrid">
    <w:name w:val="Table Grid"/>
    <w:basedOn w:val="TableNormal"/>
    <w:uiPriority w:val="59"/>
    <w:rsid w:val="00215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aliases w:val="WP Table"/>
    <w:basedOn w:val="TableNormal"/>
    <w:rsid w:val="000571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semiHidden/>
    <w:rsid w:val="00B24A6F"/>
    <w:rPr>
      <w:rFonts w:ascii="Tahoma" w:hAnsi="Tahoma" w:cs="Tahoma"/>
      <w:sz w:val="16"/>
      <w:szCs w:val="16"/>
    </w:rPr>
  </w:style>
  <w:style w:type="paragraph" w:styleId="Caption">
    <w:name w:val="caption"/>
    <w:basedOn w:val="Normal"/>
    <w:next w:val="Normal"/>
    <w:link w:val="CaptionChar"/>
    <w:qFormat/>
    <w:rsid w:val="00A7007B"/>
    <w:rPr>
      <w:b/>
      <w:bCs/>
      <w:sz w:val="20"/>
      <w:szCs w:val="20"/>
    </w:rPr>
  </w:style>
  <w:style w:type="paragraph" w:styleId="TableofFigures">
    <w:name w:val="table of figures"/>
    <w:basedOn w:val="Normal"/>
    <w:next w:val="Normal"/>
    <w:uiPriority w:val="99"/>
    <w:rsid w:val="0054599C"/>
  </w:style>
  <w:style w:type="paragraph" w:styleId="NormalWeb">
    <w:name w:val="Normal (Web)"/>
    <w:basedOn w:val="Normal"/>
    <w:uiPriority w:val="99"/>
    <w:rsid w:val="00D73550"/>
    <w:pPr>
      <w:spacing w:before="100" w:beforeAutospacing="1" w:after="100" w:afterAutospacing="1"/>
    </w:pPr>
  </w:style>
  <w:style w:type="character" w:styleId="FollowedHyperlink">
    <w:name w:val="FollowedHyperlink"/>
    <w:rsid w:val="00EA4E02"/>
    <w:rPr>
      <w:color w:val="800080"/>
      <w:u w:val="single"/>
    </w:rPr>
  </w:style>
  <w:style w:type="paragraph" w:customStyle="1" w:styleId="xl27">
    <w:name w:val="xl27"/>
    <w:basedOn w:val="Normal"/>
    <w:rsid w:val="00200174"/>
    <w:pPr>
      <w:pBdr>
        <w:bottom w:val="single" w:sz="12" w:space="0" w:color="FFFFFF"/>
        <w:right w:val="single" w:sz="12" w:space="0" w:color="FFFFFF"/>
      </w:pBdr>
      <w:shd w:val="pct75" w:color="000000" w:fill="333333"/>
      <w:spacing w:before="100" w:beforeAutospacing="1" w:after="100" w:afterAutospacing="1"/>
      <w:jc w:val="center"/>
    </w:pPr>
    <w:rPr>
      <w:b/>
      <w:bCs/>
      <w:color w:val="FFFFFF"/>
      <w:sz w:val="16"/>
      <w:szCs w:val="16"/>
    </w:rPr>
  </w:style>
  <w:style w:type="paragraph" w:customStyle="1" w:styleId="xl28">
    <w:name w:val="xl28"/>
    <w:basedOn w:val="Normal"/>
    <w:rsid w:val="00200174"/>
    <w:pPr>
      <w:pBdr>
        <w:bottom w:val="single" w:sz="12" w:space="0" w:color="FFFFFF"/>
        <w:right w:val="single" w:sz="12" w:space="0" w:color="FFFFFF"/>
      </w:pBdr>
      <w:spacing w:before="100" w:beforeAutospacing="1" w:after="100" w:afterAutospacing="1"/>
    </w:pPr>
    <w:rPr>
      <w:b/>
      <w:bCs/>
    </w:rPr>
  </w:style>
  <w:style w:type="paragraph" w:customStyle="1" w:styleId="xl29">
    <w:name w:val="xl29"/>
    <w:basedOn w:val="Normal"/>
    <w:rsid w:val="00200174"/>
    <w:pPr>
      <w:pBdr>
        <w:bottom w:val="single" w:sz="12" w:space="0" w:color="FFFFFF"/>
        <w:right w:val="single" w:sz="12" w:space="0" w:color="FFFFFF"/>
      </w:pBdr>
      <w:shd w:val="clear" w:color="auto" w:fill="FFCC99"/>
      <w:spacing w:before="100" w:beforeAutospacing="1" w:after="100" w:afterAutospacing="1"/>
    </w:pPr>
    <w:rPr>
      <w:b/>
      <w:bCs/>
    </w:rPr>
  </w:style>
  <w:style w:type="paragraph" w:customStyle="1" w:styleId="xl30">
    <w:name w:val="xl30"/>
    <w:basedOn w:val="Normal"/>
    <w:rsid w:val="00200174"/>
    <w:pPr>
      <w:pBdr>
        <w:bottom w:val="single" w:sz="12" w:space="0" w:color="FFFFFF"/>
        <w:right w:val="single" w:sz="12" w:space="0" w:color="FFFFFF"/>
      </w:pBdr>
      <w:shd w:val="clear" w:color="auto" w:fill="FFFF99"/>
      <w:spacing w:before="100" w:beforeAutospacing="1" w:after="100" w:afterAutospacing="1"/>
    </w:pPr>
    <w:rPr>
      <w:b/>
      <w:bCs/>
    </w:rPr>
  </w:style>
  <w:style w:type="paragraph" w:customStyle="1" w:styleId="xl31">
    <w:name w:val="xl31"/>
    <w:basedOn w:val="Normal"/>
    <w:rsid w:val="00200174"/>
    <w:pPr>
      <w:pBdr>
        <w:bottom w:val="single" w:sz="12" w:space="0" w:color="FFFFFF"/>
        <w:right w:val="single" w:sz="12" w:space="0" w:color="FFFFFF"/>
      </w:pBdr>
      <w:shd w:val="clear" w:color="auto" w:fill="CCFFCC"/>
      <w:spacing w:before="100" w:beforeAutospacing="1" w:after="100" w:afterAutospacing="1"/>
    </w:pPr>
    <w:rPr>
      <w:b/>
      <w:bCs/>
    </w:rPr>
  </w:style>
  <w:style w:type="paragraph" w:customStyle="1" w:styleId="xl32">
    <w:name w:val="xl32"/>
    <w:basedOn w:val="Normal"/>
    <w:rsid w:val="00200174"/>
    <w:pPr>
      <w:pBdr>
        <w:bottom w:val="single" w:sz="12" w:space="0" w:color="FFFFFF"/>
        <w:right w:val="single" w:sz="12" w:space="0" w:color="FFFFFF"/>
      </w:pBdr>
      <w:shd w:val="clear" w:color="auto" w:fill="CCFFFF"/>
      <w:spacing w:before="100" w:beforeAutospacing="1" w:after="100" w:afterAutospacing="1"/>
    </w:pPr>
    <w:rPr>
      <w:b/>
      <w:bCs/>
    </w:rPr>
  </w:style>
  <w:style w:type="paragraph" w:customStyle="1" w:styleId="xl33">
    <w:name w:val="xl33"/>
    <w:basedOn w:val="Normal"/>
    <w:rsid w:val="00200174"/>
    <w:pPr>
      <w:pBdr>
        <w:bottom w:val="single" w:sz="12" w:space="0" w:color="FFFFFF"/>
        <w:right w:val="single" w:sz="12" w:space="0" w:color="FFFFFF"/>
      </w:pBdr>
      <w:shd w:val="clear" w:color="auto" w:fill="99CCFF"/>
      <w:spacing w:before="100" w:beforeAutospacing="1" w:after="100" w:afterAutospacing="1"/>
    </w:pPr>
    <w:rPr>
      <w:b/>
      <w:bCs/>
    </w:rPr>
  </w:style>
  <w:style w:type="paragraph" w:customStyle="1" w:styleId="xl34">
    <w:name w:val="xl34"/>
    <w:basedOn w:val="Normal"/>
    <w:rsid w:val="00200174"/>
    <w:pPr>
      <w:pBdr>
        <w:bottom w:val="single" w:sz="12" w:space="0" w:color="FFFFFF"/>
        <w:right w:val="single" w:sz="12" w:space="0" w:color="FFFFFF"/>
      </w:pBdr>
      <w:shd w:val="clear" w:color="auto" w:fill="CC99FF"/>
      <w:spacing w:before="100" w:beforeAutospacing="1" w:after="100" w:afterAutospacing="1"/>
    </w:pPr>
    <w:rPr>
      <w:b/>
      <w:bCs/>
    </w:rPr>
  </w:style>
  <w:style w:type="paragraph" w:customStyle="1" w:styleId="xl35">
    <w:name w:val="xl35"/>
    <w:basedOn w:val="Normal"/>
    <w:rsid w:val="00200174"/>
    <w:pPr>
      <w:pBdr>
        <w:bottom w:val="single" w:sz="12" w:space="0" w:color="FFFFFF"/>
        <w:right w:val="single" w:sz="12" w:space="0" w:color="FFFFFF"/>
      </w:pBdr>
      <w:shd w:val="clear" w:color="auto" w:fill="00CCFF"/>
      <w:spacing w:before="100" w:beforeAutospacing="1" w:after="100" w:afterAutospacing="1"/>
    </w:pPr>
    <w:rPr>
      <w:b/>
      <w:bCs/>
    </w:rPr>
  </w:style>
  <w:style w:type="paragraph" w:customStyle="1" w:styleId="xl36">
    <w:name w:val="xl36"/>
    <w:basedOn w:val="Normal"/>
    <w:rsid w:val="00200174"/>
    <w:pPr>
      <w:pBdr>
        <w:bottom w:val="single" w:sz="12" w:space="0" w:color="FFFFFF"/>
        <w:right w:val="single" w:sz="12" w:space="0" w:color="FFFFFF"/>
      </w:pBdr>
      <w:shd w:val="clear" w:color="auto" w:fill="800080"/>
      <w:spacing w:before="100" w:beforeAutospacing="1" w:after="100" w:afterAutospacing="1"/>
    </w:pPr>
    <w:rPr>
      <w:b/>
      <w:bCs/>
    </w:rPr>
  </w:style>
  <w:style w:type="paragraph" w:customStyle="1" w:styleId="xl37">
    <w:name w:val="xl37"/>
    <w:basedOn w:val="Normal"/>
    <w:rsid w:val="00200174"/>
    <w:pPr>
      <w:pBdr>
        <w:bottom w:val="single" w:sz="12" w:space="0" w:color="FFFFFF"/>
        <w:right w:val="single" w:sz="12" w:space="0" w:color="FFFFFF"/>
      </w:pBdr>
      <w:shd w:val="clear" w:color="auto" w:fill="FF00FF"/>
      <w:spacing w:before="100" w:beforeAutospacing="1" w:after="100" w:afterAutospacing="1"/>
    </w:pPr>
    <w:rPr>
      <w:b/>
      <w:bCs/>
    </w:rPr>
  </w:style>
  <w:style w:type="paragraph" w:customStyle="1" w:styleId="xl38">
    <w:name w:val="xl38"/>
    <w:basedOn w:val="Normal"/>
    <w:rsid w:val="00200174"/>
    <w:pPr>
      <w:pBdr>
        <w:bottom w:val="single" w:sz="12" w:space="0" w:color="FFFFFF"/>
        <w:right w:val="single" w:sz="12" w:space="0" w:color="FFFFFF"/>
      </w:pBdr>
      <w:shd w:val="clear" w:color="auto" w:fill="FFCC00"/>
      <w:spacing w:before="100" w:beforeAutospacing="1" w:after="100" w:afterAutospacing="1"/>
    </w:pPr>
    <w:rPr>
      <w:b/>
      <w:bCs/>
    </w:rPr>
  </w:style>
  <w:style w:type="paragraph" w:customStyle="1" w:styleId="xl39">
    <w:name w:val="xl39"/>
    <w:basedOn w:val="Normal"/>
    <w:rsid w:val="00200174"/>
    <w:pPr>
      <w:pBdr>
        <w:bottom w:val="single" w:sz="12" w:space="0" w:color="FFFFFF"/>
        <w:right w:val="single" w:sz="12" w:space="0" w:color="FFFFFF"/>
      </w:pBdr>
      <w:shd w:val="clear" w:color="auto" w:fill="FFFF00"/>
      <w:spacing w:before="100" w:beforeAutospacing="1" w:after="100" w:afterAutospacing="1"/>
    </w:pPr>
    <w:rPr>
      <w:b/>
      <w:bCs/>
    </w:rPr>
  </w:style>
  <w:style w:type="paragraph" w:customStyle="1" w:styleId="xl40">
    <w:name w:val="xl40"/>
    <w:basedOn w:val="Normal"/>
    <w:rsid w:val="00200174"/>
    <w:pPr>
      <w:pBdr>
        <w:bottom w:val="single" w:sz="12" w:space="0" w:color="FFFFFF"/>
        <w:right w:val="single" w:sz="12" w:space="0" w:color="FFFFFF"/>
      </w:pBdr>
      <w:shd w:val="clear" w:color="auto" w:fill="00FF00"/>
      <w:spacing w:before="100" w:beforeAutospacing="1" w:after="100" w:afterAutospacing="1"/>
    </w:pPr>
    <w:rPr>
      <w:b/>
      <w:bCs/>
    </w:rPr>
  </w:style>
  <w:style w:type="paragraph" w:customStyle="1" w:styleId="xl41">
    <w:name w:val="xl41"/>
    <w:basedOn w:val="Normal"/>
    <w:rsid w:val="00200174"/>
    <w:pPr>
      <w:pBdr>
        <w:bottom w:val="single" w:sz="12" w:space="0" w:color="FFFFFF"/>
        <w:right w:val="single" w:sz="12" w:space="0" w:color="FFFFFF"/>
      </w:pBdr>
      <w:shd w:val="clear" w:color="auto" w:fill="00FFFF"/>
      <w:spacing w:before="100" w:beforeAutospacing="1" w:after="100" w:afterAutospacing="1"/>
    </w:pPr>
    <w:rPr>
      <w:b/>
      <w:bCs/>
    </w:rPr>
  </w:style>
  <w:style w:type="paragraph" w:customStyle="1" w:styleId="xl42">
    <w:name w:val="xl42"/>
    <w:basedOn w:val="Normal"/>
    <w:rsid w:val="00200174"/>
    <w:pPr>
      <w:pBdr>
        <w:bottom w:val="single" w:sz="12" w:space="0" w:color="FFFFFF"/>
        <w:right w:val="single" w:sz="12" w:space="0" w:color="FFFFFF"/>
      </w:pBdr>
      <w:shd w:val="clear" w:color="auto" w:fill="993366"/>
      <w:spacing w:before="100" w:beforeAutospacing="1" w:after="100" w:afterAutospacing="1"/>
    </w:pPr>
    <w:rPr>
      <w:b/>
      <w:bCs/>
    </w:rPr>
  </w:style>
  <w:style w:type="paragraph" w:customStyle="1" w:styleId="xl43">
    <w:name w:val="xl43"/>
    <w:basedOn w:val="Normal"/>
    <w:rsid w:val="00200174"/>
    <w:pPr>
      <w:pBdr>
        <w:bottom w:val="single" w:sz="12" w:space="0" w:color="FFFFFF"/>
        <w:right w:val="single" w:sz="12" w:space="0" w:color="FFFFFF"/>
      </w:pBdr>
      <w:shd w:val="clear" w:color="auto" w:fill="FF6600"/>
      <w:spacing w:before="100" w:beforeAutospacing="1" w:after="100" w:afterAutospacing="1"/>
    </w:pPr>
    <w:rPr>
      <w:b/>
      <w:bCs/>
    </w:rPr>
  </w:style>
  <w:style w:type="paragraph" w:customStyle="1" w:styleId="xl44">
    <w:name w:val="xl44"/>
    <w:basedOn w:val="Normal"/>
    <w:rsid w:val="00200174"/>
    <w:pPr>
      <w:pBdr>
        <w:bottom w:val="single" w:sz="12" w:space="0" w:color="FFFFFF"/>
        <w:right w:val="single" w:sz="12" w:space="0" w:color="FFFFFF"/>
      </w:pBdr>
      <w:shd w:val="clear" w:color="auto" w:fill="FF99CC"/>
      <w:spacing w:before="100" w:beforeAutospacing="1" w:after="100" w:afterAutospacing="1"/>
    </w:pPr>
    <w:rPr>
      <w:b/>
      <w:bCs/>
    </w:rPr>
  </w:style>
  <w:style w:type="paragraph" w:customStyle="1" w:styleId="xl45">
    <w:name w:val="xl45"/>
    <w:basedOn w:val="Normal"/>
    <w:rsid w:val="00200174"/>
    <w:pPr>
      <w:pBdr>
        <w:bottom w:val="single" w:sz="12" w:space="0" w:color="FFFFFF"/>
        <w:right w:val="single" w:sz="12" w:space="0" w:color="FFFFFF"/>
      </w:pBdr>
      <w:shd w:val="clear" w:color="auto" w:fill="3366FF"/>
      <w:spacing w:before="100" w:beforeAutospacing="1" w:after="100" w:afterAutospacing="1"/>
    </w:pPr>
    <w:rPr>
      <w:b/>
      <w:bCs/>
    </w:rPr>
  </w:style>
  <w:style w:type="paragraph" w:customStyle="1" w:styleId="xl46">
    <w:name w:val="xl46"/>
    <w:basedOn w:val="Normal"/>
    <w:rsid w:val="00200174"/>
    <w:pPr>
      <w:pBdr>
        <w:bottom w:val="single" w:sz="12" w:space="0" w:color="FFFFFF"/>
        <w:right w:val="single" w:sz="12" w:space="0" w:color="FFFFFF"/>
      </w:pBdr>
      <w:shd w:val="clear" w:color="auto" w:fill="808000"/>
      <w:spacing w:before="100" w:beforeAutospacing="1" w:after="100" w:afterAutospacing="1"/>
    </w:pPr>
    <w:rPr>
      <w:b/>
      <w:bCs/>
    </w:rPr>
  </w:style>
  <w:style w:type="paragraph" w:customStyle="1" w:styleId="xl47">
    <w:name w:val="xl47"/>
    <w:basedOn w:val="Normal"/>
    <w:rsid w:val="00200174"/>
    <w:pPr>
      <w:pBdr>
        <w:bottom w:val="single" w:sz="12" w:space="0" w:color="FFFFFF"/>
        <w:right w:val="single" w:sz="12" w:space="0" w:color="FFFFFF"/>
      </w:pBdr>
      <w:shd w:val="clear" w:color="auto" w:fill="008000"/>
      <w:spacing w:before="100" w:beforeAutospacing="1" w:after="100" w:afterAutospacing="1"/>
    </w:pPr>
    <w:rPr>
      <w:b/>
      <w:bCs/>
    </w:rPr>
  </w:style>
  <w:style w:type="paragraph" w:customStyle="1" w:styleId="xl48">
    <w:name w:val="xl48"/>
    <w:basedOn w:val="Normal"/>
    <w:rsid w:val="00200174"/>
    <w:pPr>
      <w:pBdr>
        <w:bottom w:val="single" w:sz="12" w:space="0" w:color="FFFFFF"/>
        <w:right w:val="single" w:sz="12" w:space="0" w:color="FFFFFF"/>
      </w:pBdr>
      <w:shd w:val="clear" w:color="auto" w:fill="008080"/>
      <w:spacing w:before="100" w:beforeAutospacing="1" w:after="100" w:afterAutospacing="1"/>
    </w:pPr>
    <w:rPr>
      <w:b/>
      <w:bCs/>
    </w:rPr>
  </w:style>
  <w:style w:type="paragraph" w:customStyle="1" w:styleId="xl49">
    <w:name w:val="xl49"/>
    <w:basedOn w:val="Normal"/>
    <w:rsid w:val="00200174"/>
    <w:pPr>
      <w:pBdr>
        <w:bottom w:val="single" w:sz="12" w:space="0" w:color="FFFFFF"/>
        <w:right w:val="single" w:sz="12" w:space="0" w:color="FFFFFF"/>
      </w:pBdr>
      <w:shd w:val="clear" w:color="auto" w:fill="0000FF"/>
      <w:spacing w:before="100" w:beforeAutospacing="1" w:after="100" w:afterAutospacing="1"/>
    </w:pPr>
    <w:rPr>
      <w:b/>
      <w:bCs/>
    </w:rPr>
  </w:style>
  <w:style w:type="paragraph" w:customStyle="1" w:styleId="xl50">
    <w:name w:val="xl50"/>
    <w:basedOn w:val="Normal"/>
    <w:rsid w:val="00200174"/>
    <w:pPr>
      <w:pBdr>
        <w:bottom w:val="single" w:sz="12" w:space="0" w:color="FFFFFF"/>
        <w:right w:val="single" w:sz="12" w:space="0" w:color="FFFFFF"/>
      </w:pBdr>
      <w:shd w:val="clear" w:color="auto" w:fill="666699"/>
      <w:spacing w:before="100" w:beforeAutospacing="1" w:after="100" w:afterAutospacing="1"/>
    </w:pPr>
    <w:rPr>
      <w:b/>
      <w:bCs/>
    </w:rPr>
  </w:style>
  <w:style w:type="paragraph" w:customStyle="1" w:styleId="xl51">
    <w:name w:val="xl51"/>
    <w:basedOn w:val="Normal"/>
    <w:rsid w:val="00200174"/>
    <w:pPr>
      <w:pBdr>
        <w:bottom w:val="single" w:sz="12" w:space="0" w:color="FFFFFF"/>
        <w:right w:val="single" w:sz="12" w:space="0" w:color="FFFFFF"/>
      </w:pBdr>
      <w:shd w:val="clear" w:color="auto" w:fill="FF0000"/>
      <w:spacing w:before="100" w:beforeAutospacing="1" w:after="100" w:afterAutospacing="1"/>
    </w:pPr>
    <w:rPr>
      <w:b/>
      <w:bCs/>
    </w:rPr>
  </w:style>
  <w:style w:type="paragraph" w:customStyle="1" w:styleId="xl52">
    <w:name w:val="xl52"/>
    <w:basedOn w:val="Normal"/>
    <w:rsid w:val="00200174"/>
    <w:pPr>
      <w:pBdr>
        <w:bottom w:val="single" w:sz="12" w:space="0" w:color="FFFFFF"/>
        <w:right w:val="single" w:sz="12" w:space="0" w:color="FFFFFF"/>
      </w:pBdr>
      <w:shd w:val="clear" w:color="auto" w:fill="FF9900"/>
      <w:spacing w:before="100" w:beforeAutospacing="1" w:after="100" w:afterAutospacing="1"/>
    </w:pPr>
    <w:rPr>
      <w:b/>
      <w:bCs/>
    </w:rPr>
  </w:style>
  <w:style w:type="paragraph" w:customStyle="1" w:styleId="xl53">
    <w:name w:val="xl53"/>
    <w:basedOn w:val="Normal"/>
    <w:rsid w:val="00200174"/>
    <w:pPr>
      <w:pBdr>
        <w:bottom w:val="single" w:sz="12" w:space="0" w:color="FFFFFF"/>
        <w:right w:val="single" w:sz="12" w:space="0" w:color="FFFFFF"/>
      </w:pBdr>
      <w:shd w:val="clear" w:color="auto" w:fill="C0C0C0"/>
      <w:spacing w:before="100" w:beforeAutospacing="1" w:after="100" w:afterAutospacing="1"/>
      <w:jc w:val="center"/>
    </w:pPr>
    <w:rPr>
      <w:sz w:val="16"/>
      <w:szCs w:val="16"/>
    </w:rPr>
  </w:style>
  <w:style w:type="paragraph" w:customStyle="1" w:styleId="xl54">
    <w:name w:val="xl54"/>
    <w:basedOn w:val="Normal"/>
    <w:rsid w:val="00200174"/>
    <w:pPr>
      <w:pBdr>
        <w:bottom w:val="single" w:sz="12" w:space="0" w:color="FFFFFF"/>
        <w:right w:val="single" w:sz="12" w:space="0" w:color="FFFFFF"/>
      </w:pBdr>
      <w:shd w:val="clear" w:color="auto" w:fill="C0C0C0"/>
      <w:spacing w:before="100" w:beforeAutospacing="1" w:after="100" w:afterAutospacing="1"/>
    </w:pPr>
  </w:style>
  <w:style w:type="paragraph" w:customStyle="1" w:styleId="xl55">
    <w:name w:val="xl55"/>
    <w:basedOn w:val="Normal"/>
    <w:rsid w:val="00200174"/>
    <w:pPr>
      <w:pBdr>
        <w:bottom w:val="single" w:sz="12" w:space="0" w:color="FFFFFF"/>
        <w:right w:val="single" w:sz="12" w:space="0" w:color="FFFFFF"/>
      </w:pBdr>
      <w:shd w:val="clear" w:color="auto" w:fill="C0C0C0"/>
      <w:spacing w:before="100" w:beforeAutospacing="1" w:after="100" w:afterAutospacing="1"/>
    </w:pPr>
    <w:rPr>
      <w:b/>
      <w:bCs/>
    </w:rPr>
  </w:style>
  <w:style w:type="paragraph" w:customStyle="1" w:styleId="xl56">
    <w:name w:val="xl56"/>
    <w:basedOn w:val="Normal"/>
    <w:rsid w:val="00200174"/>
    <w:pPr>
      <w:pBdr>
        <w:bottom w:val="single" w:sz="12" w:space="0" w:color="FFFFFF"/>
        <w:right w:val="single" w:sz="12" w:space="0" w:color="FFFFFF"/>
      </w:pBdr>
      <w:shd w:val="clear" w:color="auto" w:fill="C0C0C0"/>
      <w:spacing w:before="100" w:beforeAutospacing="1" w:after="100" w:afterAutospacing="1"/>
    </w:pPr>
  </w:style>
  <w:style w:type="paragraph" w:customStyle="1" w:styleId="xl57">
    <w:name w:val="xl57"/>
    <w:basedOn w:val="Normal"/>
    <w:rsid w:val="00200174"/>
    <w:pPr>
      <w:pBdr>
        <w:bottom w:val="single" w:sz="12" w:space="0" w:color="FFFFFF"/>
        <w:right w:val="single" w:sz="12" w:space="0" w:color="FFFFFF"/>
      </w:pBdr>
      <w:shd w:val="clear" w:color="auto" w:fill="969696"/>
      <w:spacing w:before="100" w:beforeAutospacing="1" w:after="100" w:afterAutospacing="1"/>
      <w:jc w:val="center"/>
    </w:pPr>
    <w:rPr>
      <w:sz w:val="16"/>
      <w:szCs w:val="16"/>
    </w:rPr>
  </w:style>
  <w:style w:type="paragraph" w:customStyle="1" w:styleId="xl58">
    <w:name w:val="xl58"/>
    <w:basedOn w:val="Normal"/>
    <w:rsid w:val="00200174"/>
    <w:pPr>
      <w:pBdr>
        <w:bottom w:val="single" w:sz="12" w:space="0" w:color="FFFFFF"/>
        <w:right w:val="single" w:sz="12" w:space="0" w:color="FFFFFF"/>
      </w:pBdr>
      <w:shd w:val="clear" w:color="auto" w:fill="969696"/>
      <w:spacing w:before="100" w:beforeAutospacing="1" w:after="100" w:afterAutospacing="1"/>
    </w:pPr>
  </w:style>
  <w:style w:type="paragraph" w:customStyle="1" w:styleId="xl59">
    <w:name w:val="xl59"/>
    <w:basedOn w:val="Normal"/>
    <w:rsid w:val="00200174"/>
    <w:pPr>
      <w:pBdr>
        <w:bottom w:val="single" w:sz="12" w:space="0" w:color="FFFFFF"/>
        <w:right w:val="single" w:sz="12" w:space="0" w:color="FFFFFF"/>
      </w:pBdr>
      <w:shd w:val="clear" w:color="auto" w:fill="969696"/>
      <w:spacing w:before="100" w:beforeAutospacing="1" w:after="100" w:afterAutospacing="1"/>
    </w:pPr>
    <w:rPr>
      <w:b/>
      <w:bCs/>
    </w:rPr>
  </w:style>
  <w:style w:type="paragraph" w:customStyle="1" w:styleId="xl60">
    <w:name w:val="xl60"/>
    <w:basedOn w:val="Normal"/>
    <w:rsid w:val="00200174"/>
    <w:pPr>
      <w:pBdr>
        <w:bottom w:val="single" w:sz="12" w:space="0" w:color="FFFFFF"/>
        <w:right w:val="single" w:sz="12" w:space="0" w:color="FFFFFF"/>
      </w:pBdr>
      <w:shd w:val="clear" w:color="auto" w:fill="969696"/>
      <w:spacing w:before="100" w:beforeAutospacing="1" w:after="100" w:afterAutospacing="1"/>
    </w:pPr>
  </w:style>
  <w:style w:type="paragraph" w:customStyle="1" w:styleId="xl61">
    <w:name w:val="xl61"/>
    <w:basedOn w:val="Normal"/>
    <w:rsid w:val="00200174"/>
    <w:pPr>
      <w:pBdr>
        <w:bottom w:val="single" w:sz="12" w:space="0" w:color="FFFFFF"/>
        <w:right w:val="single" w:sz="12" w:space="0" w:color="FFFFFF"/>
      </w:pBdr>
      <w:shd w:val="clear" w:color="auto" w:fill="C0C0C0"/>
      <w:spacing w:before="100" w:beforeAutospacing="1" w:after="100" w:afterAutospacing="1"/>
    </w:pPr>
    <w:rPr>
      <w:b/>
      <w:bCs/>
    </w:rPr>
  </w:style>
  <w:style w:type="paragraph" w:customStyle="1" w:styleId="xl62">
    <w:name w:val="xl62"/>
    <w:basedOn w:val="Normal"/>
    <w:rsid w:val="00200174"/>
    <w:pPr>
      <w:pBdr>
        <w:bottom w:val="single" w:sz="12" w:space="0" w:color="FFFFFF"/>
        <w:right w:val="single" w:sz="12" w:space="0" w:color="FFFFFF"/>
      </w:pBdr>
      <w:shd w:val="clear" w:color="auto" w:fill="C0C0C0"/>
      <w:spacing w:before="100" w:beforeAutospacing="1" w:after="100" w:afterAutospacing="1"/>
    </w:pPr>
    <w:rPr>
      <w:b/>
      <w:bCs/>
    </w:rPr>
  </w:style>
  <w:style w:type="paragraph" w:customStyle="1" w:styleId="xl63">
    <w:name w:val="xl63"/>
    <w:basedOn w:val="Normal"/>
    <w:rsid w:val="00200174"/>
    <w:pPr>
      <w:pBdr>
        <w:bottom w:val="single" w:sz="12" w:space="0" w:color="FFFFFF"/>
        <w:right w:val="single" w:sz="12" w:space="0" w:color="FFFFFF"/>
      </w:pBdr>
      <w:shd w:val="clear" w:color="auto" w:fill="C0C0C0"/>
      <w:spacing w:before="100" w:beforeAutospacing="1" w:after="100" w:afterAutospacing="1"/>
    </w:pPr>
  </w:style>
  <w:style w:type="paragraph" w:customStyle="1" w:styleId="xl64">
    <w:name w:val="xl64"/>
    <w:basedOn w:val="Normal"/>
    <w:rsid w:val="00200174"/>
    <w:pPr>
      <w:pBdr>
        <w:bottom w:val="single" w:sz="12" w:space="0" w:color="FFFFFF"/>
        <w:right w:val="single" w:sz="12" w:space="0" w:color="FFFFFF"/>
      </w:pBdr>
      <w:shd w:val="clear" w:color="auto" w:fill="969696"/>
      <w:spacing w:before="100" w:beforeAutospacing="1" w:after="100" w:afterAutospacing="1"/>
    </w:pPr>
    <w:rPr>
      <w:b/>
      <w:bCs/>
    </w:rPr>
  </w:style>
  <w:style w:type="paragraph" w:customStyle="1" w:styleId="xl65">
    <w:name w:val="xl65"/>
    <w:basedOn w:val="Normal"/>
    <w:rsid w:val="00200174"/>
    <w:pPr>
      <w:pBdr>
        <w:bottom w:val="single" w:sz="12" w:space="0" w:color="FFFFFF"/>
        <w:right w:val="single" w:sz="12" w:space="0" w:color="FFFFFF"/>
      </w:pBdr>
      <w:shd w:val="clear" w:color="auto" w:fill="969696"/>
      <w:spacing w:before="100" w:beforeAutospacing="1" w:after="100" w:afterAutospacing="1"/>
    </w:pPr>
    <w:rPr>
      <w:b/>
      <w:bCs/>
    </w:rPr>
  </w:style>
  <w:style w:type="paragraph" w:customStyle="1" w:styleId="xl66">
    <w:name w:val="xl66"/>
    <w:basedOn w:val="Normal"/>
    <w:rsid w:val="00200174"/>
    <w:pPr>
      <w:pBdr>
        <w:bottom w:val="single" w:sz="12" w:space="0" w:color="FFFFFF"/>
        <w:right w:val="single" w:sz="12" w:space="0" w:color="FFFFFF"/>
      </w:pBdr>
      <w:shd w:val="clear" w:color="auto" w:fill="969696"/>
      <w:spacing w:before="100" w:beforeAutospacing="1" w:after="100" w:afterAutospacing="1"/>
    </w:pPr>
  </w:style>
  <w:style w:type="table" w:styleId="TableElegant">
    <w:name w:val="Table Elegant"/>
    <w:basedOn w:val="TableNormal"/>
    <w:rsid w:val="00B351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um1">
    <w:name w:val="num1"/>
    <w:basedOn w:val="Normal"/>
    <w:rsid w:val="00F652AB"/>
    <w:pPr>
      <w:tabs>
        <w:tab w:val="left" w:pos="-720"/>
      </w:tabs>
      <w:suppressAutoHyphens/>
      <w:spacing w:line="360" w:lineRule="auto"/>
      <w:ind w:firstLine="360"/>
    </w:pPr>
    <w:rPr>
      <w:rFonts w:ascii="Palatino" w:hAnsi="Palatino"/>
      <w:sz w:val="26"/>
      <w:szCs w:val="20"/>
    </w:rPr>
  </w:style>
  <w:style w:type="paragraph" w:styleId="DocumentMap">
    <w:name w:val="Document Map"/>
    <w:basedOn w:val="Normal"/>
    <w:semiHidden/>
    <w:rsid w:val="00B008BF"/>
    <w:pPr>
      <w:shd w:val="clear" w:color="auto" w:fill="000080"/>
    </w:pPr>
    <w:rPr>
      <w:rFonts w:ascii="Tahoma" w:hAnsi="Tahoma" w:cs="Tahoma"/>
      <w:sz w:val="20"/>
      <w:szCs w:val="20"/>
    </w:rPr>
  </w:style>
  <w:style w:type="character" w:styleId="CommentReference">
    <w:name w:val="annotation reference"/>
    <w:semiHidden/>
    <w:rsid w:val="0042297B"/>
    <w:rPr>
      <w:sz w:val="16"/>
      <w:szCs w:val="16"/>
    </w:rPr>
  </w:style>
  <w:style w:type="paragraph" w:styleId="CommentText">
    <w:name w:val="annotation text"/>
    <w:basedOn w:val="Normal"/>
    <w:link w:val="CommentTextChar"/>
    <w:semiHidden/>
    <w:rsid w:val="0042297B"/>
    <w:rPr>
      <w:sz w:val="20"/>
      <w:szCs w:val="20"/>
    </w:rPr>
  </w:style>
  <w:style w:type="paragraph" w:styleId="CommentSubject">
    <w:name w:val="annotation subject"/>
    <w:basedOn w:val="CommentText"/>
    <w:next w:val="CommentText"/>
    <w:semiHidden/>
    <w:rsid w:val="0042297B"/>
    <w:rPr>
      <w:b/>
      <w:bCs/>
    </w:rPr>
  </w:style>
  <w:style w:type="paragraph" w:styleId="FootnoteText">
    <w:name w:val="footnote text"/>
    <w:basedOn w:val="Normal"/>
    <w:link w:val="FootnoteTextChar"/>
    <w:uiPriority w:val="99"/>
    <w:semiHidden/>
    <w:rsid w:val="007475AA"/>
    <w:rPr>
      <w:sz w:val="20"/>
      <w:szCs w:val="20"/>
    </w:rPr>
  </w:style>
  <w:style w:type="character" w:styleId="FootnoteReference">
    <w:name w:val="footnote reference"/>
    <w:aliases w:val="o,fr,Style 3,o1,o2,o3,o4,o5,o6,o11,o21,o7"/>
    <w:rsid w:val="007475AA"/>
    <w:rPr>
      <w:vertAlign w:val="superscript"/>
    </w:rPr>
  </w:style>
  <w:style w:type="paragraph" w:customStyle="1" w:styleId="Reminders">
    <w:name w:val="Reminders"/>
    <w:basedOn w:val="Normal"/>
    <w:link w:val="RemindersChar"/>
    <w:rsid w:val="001C2942"/>
    <w:pPr>
      <w:spacing w:before="40" w:after="40"/>
    </w:pPr>
    <w:rPr>
      <w:rFonts w:ascii="Trebuchet MS" w:eastAsia="Calibri" w:hAnsi="Trebuchet MS"/>
      <w:i/>
      <w:color w:val="FF0000"/>
    </w:rPr>
  </w:style>
  <w:style w:type="paragraph" w:customStyle="1" w:styleId="Reminder">
    <w:name w:val="Reminder"/>
    <w:basedOn w:val="Reminders"/>
    <w:link w:val="ReminderChar"/>
    <w:rsid w:val="001C2942"/>
  </w:style>
  <w:style w:type="character" w:customStyle="1" w:styleId="RemindersChar">
    <w:name w:val="Reminders Char"/>
    <w:link w:val="Reminders"/>
    <w:locked/>
    <w:rsid w:val="001C2942"/>
    <w:rPr>
      <w:rFonts w:ascii="Trebuchet MS" w:eastAsia="Calibri" w:hAnsi="Trebuchet MS"/>
      <w:i/>
      <w:color w:val="FF0000"/>
      <w:sz w:val="24"/>
      <w:szCs w:val="24"/>
      <w:lang w:val="en-US" w:eastAsia="en-US" w:bidi="ar-SA"/>
    </w:rPr>
  </w:style>
  <w:style w:type="character" w:customStyle="1" w:styleId="ReminderChar">
    <w:name w:val="Reminder Char"/>
    <w:link w:val="Reminder"/>
    <w:locked/>
    <w:rsid w:val="001C2942"/>
    <w:rPr>
      <w:rFonts w:ascii="Trebuchet MS" w:eastAsia="Calibri" w:hAnsi="Trebuchet MS"/>
      <w:i/>
      <w:color w:val="FF0000"/>
      <w:sz w:val="24"/>
      <w:szCs w:val="24"/>
      <w:lang w:val="en-US" w:eastAsia="en-US" w:bidi="ar-SA"/>
    </w:rPr>
  </w:style>
  <w:style w:type="character" w:customStyle="1" w:styleId="CaptionChar">
    <w:name w:val="Caption Char"/>
    <w:link w:val="Caption"/>
    <w:locked/>
    <w:rsid w:val="001C2942"/>
    <w:rPr>
      <w:b/>
      <w:bCs/>
      <w:lang w:val="en-US" w:eastAsia="en-US" w:bidi="ar-SA"/>
    </w:rPr>
  </w:style>
  <w:style w:type="character" w:styleId="Strong">
    <w:name w:val="Strong"/>
    <w:link w:val="TitleChar"/>
    <w:qFormat/>
    <w:rsid w:val="00003527"/>
    <w:rPr>
      <w:rFonts w:ascii="Arial" w:hAnsi="Arial"/>
      <w:b/>
      <w:bCs/>
      <w:sz w:val="22"/>
    </w:rPr>
  </w:style>
  <w:style w:type="character" w:customStyle="1" w:styleId="TitleChar">
    <w:name w:val="Title Char"/>
    <w:link w:val="Strong"/>
    <w:locked/>
    <w:rsid w:val="000E22C9"/>
    <w:rPr>
      <w:rFonts w:ascii="Arial" w:hAnsi="Arial"/>
      <w:b/>
      <w:color w:val="17365D"/>
      <w:spacing w:val="5"/>
      <w:kern w:val="28"/>
      <w:sz w:val="48"/>
      <w:szCs w:val="52"/>
      <w:lang w:eastAsia="ko-KR"/>
    </w:rPr>
  </w:style>
  <w:style w:type="character" w:customStyle="1" w:styleId="Heading1Char">
    <w:name w:val="Heading 1 Char"/>
    <w:link w:val="Heading1"/>
    <w:locked/>
    <w:rsid w:val="002F3610"/>
    <w:rPr>
      <w:rFonts w:ascii="Arial" w:hAnsi="Arial" w:cs="Arial"/>
      <w:b/>
      <w:bCs/>
      <w:kern w:val="32"/>
      <w:sz w:val="32"/>
      <w:szCs w:val="32"/>
      <w:lang w:val="en-US" w:eastAsia="en-US" w:bidi="ar-SA"/>
    </w:rPr>
  </w:style>
  <w:style w:type="character" w:customStyle="1" w:styleId="Strong1">
    <w:name w:val="Strong1"/>
    <w:qFormat/>
    <w:rsid w:val="00A55DD1"/>
    <w:rPr>
      <w:b/>
      <w:bCs/>
    </w:rPr>
  </w:style>
  <w:style w:type="character" w:customStyle="1" w:styleId="SubtitleChar">
    <w:name w:val="Subtitle Char"/>
    <w:rsid w:val="000E22C9"/>
    <w:rPr>
      <w:rFonts w:ascii="Arial" w:eastAsia="Times New Roman" w:hAnsi="Arial" w:cs="Times New Roman"/>
      <w:b/>
      <w:sz w:val="36"/>
      <w:szCs w:val="24"/>
    </w:rPr>
  </w:style>
  <w:style w:type="paragraph" w:styleId="TOCHeading">
    <w:name w:val="TOC Heading"/>
    <w:basedOn w:val="Heading1"/>
    <w:next w:val="Normal"/>
    <w:uiPriority w:val="39"/>
    <w:semiHidden/>
    <w:unhideWhenUsed/>
    <w:qFormat/>
    <w:rsid w:val="00FA47E6"/>
    <w:pPr>
      <w:keepLines/>
      <w:spacing w:before="480" w:after="0" w:line="276" w:lineRule="auto"/>
      <w:outlineLvl w:val="9"/>
    </w:pPr>
    <w:rPr>
      <w:rFonts w:ascii="Cambria" w:eastAsia="MS Gothic" w:hAnsi="Cambria" w:cs="Times New Roman"/>
      <w:color w:val="365F91"/>
      <w:kern w:val="0"/>
      <w:sz w:val="28"/>
      <w:szCs w:val="28"/>
      <w:lang w:eastAsia="ja-JP"/>
    </w:rPr>
  </w:style>
  <w:style w:type="table" w:customStyle="1" w:styleId="PGEWorkPaper">
    <w:name w:val="PG&amp;E Work Paper"/>
    <w:basedOn w:val="TableContemporary"/>
    <w:uiPriority w:val="99"/>
    <w:rsid w:val="009B1863"/>
    <w:pPr>
      <w:jc w:val="center"/>
    </w:pPr>
    <w:rPr>
      <w:rFonts w:ascii="Arial" w:hAnsi="Arial"/>
    </w:rPr>
    <w:tblPr>
      <w:tblBorders>
        <w:top w:val="single" w:sz="18" w:space="0" w:color="FFFFFF"/>
        <w:left w:val="single" w:sz="18" w:space="0" w:color="FFFFFF"/>
        <w:bottom w:val="single" w:sz="18" w:space="0" w:color="FFFFFF"/>
        <w:right w:val="single" w:sz="18" w:space="0" w:color="FFFFFF"/>
        <w:insideH w:val="none" w:sz="0" w:space="0" w:color="auto"/>
        <w:insideV w:val="none" w:sz="0" w:space="0" w:color="auto"/>
      </w:tblBorders>
    </w:tblPr>
    <w:tcPr>
      <w:shd w:val="clear" w:color="auto" w:fill="CBCBCB"/>
      <w:vAlign w:val="bottom"/>
    </w:tcPr>
    <w:tblStylePr w:type="firstRow">
      <w:pPr>
        <w:keepNext w:val="0"/>
        <w:keepLines/>
        <w:widowControl/>
        <w:wordWrap/>
        <w:jc w:val="center"/>
      </w:pPr>
      <w:rPr>
        <w:rFonts w:ascii="Arial" w:hAnsi="Arial"/>
        <w:b/>
        <w:bCs/>
        <w:color w:val="F2F2F2"/>
        <w:position w:val="0"/>
      </w:rPr>
      <w:tblPr/>
      <w:tcPr>
        <w:tcBorders>
          <w:tl2br w:val="none" w:sz="0" w:space="0" w:color="auto"/>
          <w:tr2bl w:val="none" w:sz="0" w:space="0" w:color="auto"/>
        </w:tcBorders>
        <w:shd w:val="clear" w:color="auto" w:fill="262626"/>
        <w:vAlign w:val="bottom"/>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Revision">
    <w:name w:val="Revision"/>
    <w:hidden/>
    <w:uiPriority w:val="99"/>
    <w:semiHidden/>
    <w:rsid w:val="001E4C31"/>
    <w:rPr>
      <w:rFonts w:ascii="Arial" w:hAnsi="Arial"/>
      <w:sz w:val="22"/>
      <w:szCs w:val="24"/>
    </w:rPr>
  </w:style>
  <w:style w:type="character" w:customStyle="1" w:styleId="breadcrumbs">
    <w:name w:val="breadcrumbs"/>
    <w:rsid w:val="007B2E26"/>
  </w:style>
  <w:style w:type="character" w:customStyle="1" w:styleId="FooterChar">
    <w:name w:val="Footer Char"/>
    <w:link w:val="Footer"/>
    <w:uiPriority w:val="99"/>
    <w:rsid w:val="00E9724F"/>
    <w:rPr>
      <w:rFonts w:ascii="Arial" w:hAnsi="Arial"/>
      <w:sz w:val="22"/>
      <w:szCs w:val="24"/>
    </w:rPr>
  </w:style>
  <w:style w:type="paragraph" w:styleId="ListParagraph">
    <w:name w:val="List Paragraph"/>
    <w:basedOn w:val="Normal"/>
    <w:uiPriority w:val="34"/>
    <w:qFormat/>
    <w:rsid w:val="00761007"/>
    <w:pPr>
      <w:ind w:left="720"/>
      <w:contextualSpacing/>
    </w:pPr>
    <w:rPr>
      <w:rFonts w:ascii="Times New Roman" w:hAnsi="Times New Roman"/>
      <w:sz w:val="24"/>
    </w:rPr>
  </w:style>
  <w:style w:type="paragraph" w:customStyle="1" w:styleId="Default">
    <w:name w:val="Default"/>
    <w:rsid w:val="00E4452C"/>
    <w:pPr>
      <w:autoSpaceDE w:val="0"/>
      <w:autoSpaceDN w:val="0"/>
      <w:adjustRightInd w:val="0"/>
    </w:pPr>
    <w:rPr>
      <w:rFonts w:ascii="Times" w:hAnsi="Times" w:cs="Times"/>
      <w:color w:val="000000"/>
      <w:sz w:val="24"/>
      <w:szCs w:val="24"/>
    </w:rPr>
  </w:style>
  <w:style w:type="character" w:styleId="PlaceholderText">
    <w:name w:val="Placeholder Text"/>
    <w:basedOn w:val="DefaultParagraphFont"/>
    <w:uiPriority w:val="99"/>
    <w:semiHidden/>
    <w:rsid w:val="00A433CB"/>
    <w:rPr>
      <w:color w:val="808080"/>
    </w:rPr>
  </w:style>
  <w:style w:type="character" w:customStyle="1" w:styleId="HeaderChar">
    <w:name w:val="Header Char"/>
    <w:basedOn w:val="DefaultParagraphFont"/>
    <w:link w:val="Header"/>
    <w:uiPriority w:val="99"/>
    <w:rsid w:val="00DA288B"/>
    <w:rPr>
      <w:rFonts w:ascii="Arial" w:hAnsi="Arial"/>
      <w:sz w:val="22"/>
      <w:szCs w:val="24"/>
    </w:rPr>
  </w:style>
  <w:style w:type="paragraph" w:customStyle="1" w:styleId="CalTFHeading1">
    <w:name w:val="Cal TF Heading 1"/>
    <w:basedOn w:val="Heading1"/>
    <w:link w:val="CalTFHeading1Char"/>
    <w:rsid w:val="001D4579"/>
  </w:style>
  <w:style w:type="paragraph" w:customStyle="1" w:styleId="Heading1-CalTF">
    <w:name w:val="Heading 1 - Cal TF"/>
    <w:basedOn w:val="CalTFHeading1"/>
    <w:link w:val="Heading1-CalTFChar"/>
    <w:qFormat/>
    <w:rsid w:val="003E7CC9"/>
    <w:pPr>
      <w:numPr>
        <w:numId w:val="4"/>
      </w:numPr>
      <w:tabs>
        <w:tab w:val="left" w:pos="1620"/>
      </w:tabs>
      <w:spacing w:before="400" w:after="200"/>
    </w:pPr>
  </w:style>
  <w:style w:type="paragraph" w:customStyle="1" w:styleId="Heading2-CalTF">
    <w:name w:val="Heading 2 - Cal TF"/>
    <w:basedOn w:val="Heading2"/>
    <w:rsid w:val="007112FD"/>
    <w:rPr>
      <w:b w:val="0"/>
      <w:i w:val="0"/>
      <w:color w:val="0000FF"/>
      <w:sz w:val="24"/>
    </w:rPr>
  </w:style>
  <w:style w:type="numbering" w:customStyle="1" w:styleId="Style1-Header2">
    <w:name w:val="Style1 - Header 2"/>
    <w:uiPriority w:val="99"/>
    <w:rsid w:val="00960D9F"/>
    <w:pPr>
      <w:numPr>
        <w:numId w:val="2"/>
      </w:numPr>
    </w:pPr>
  </w:style>
  <w:style w:type="character" w:customStyle="1" w:styleId="Heading4Char">
    <w:name w:val="Heading 4 Char"/>
    <w:basedOn w:val="DefaultParagraphFont"/>
    <w:link w:val="Heading4"/>
    <w:rsid w:val="00960D9F"/>
    <w:rPr>
      <w:rFonts w:asciiTheme="majorHAnsi" w:eastAsiaTheme="majorEastAsia" w:hAnsiTheme="majorHAnsi" w:cstheme="majorBidi"/>
      <w:i/>
      <w:iCs/>
      <w:color w:val="365F91" w:themeColor="accent1" w:themeShade="BF"/>
      <w:sz w:val="22"/>
      <w:szCs w:val="24"/>
    </w:rPr>
  </w:style>
  <w:style w:type="character" w:customStyle="1" w:styleId="Heading5Char">
    <w:name w:val="Heading 5 Char"/>
    <w:basedOn w:val="DefaultParagraphFont"/>
    <w:link w:val="Heading5"/>
    <w:rsid w:val="00960D9F"/>
    <w:rPr>
      <w:rFonts w:asciiTheme="majorHAnsi" w:eastAsiaTheme="majorEastAsia" w:hAnsiTheme="majorHAnsi" w:cstheme="majorBidi"/>
      <w:color w:val="365F91" w:themeColor="accent1" w:themeShade="BF"/>
      <w:sz w:val="22"/>
      <w:szCs w:val="24"/>
    </w:rPr>
  </w:style>
  <w:style w:type="character" w:customStyle="1" w:styleId="Heading6Char">
    <w:name w:val="Heading 6 Char"/>
    <w:basedOn w:val="DefaultParagraphFont"/>
    <w:link w:val="Heading6"/>
    <w:rsid w:val="00960D9F"/>
    <w:rPr>
      <w:rFonts w:asciiTheme="majorHAnsi" w:eastAsiaTheme="majorEastAsia" w:hAnsiTheme="majorHAnsi" w:cstheme="majorBidi"/>
      <w:color w:val="243F60" w:themeColor="accent1" w:themeShade="7F"/>
      <w:sz w:val="22"/>
      <w:szCs w:val="24"/>
    </w:rPr>
  </w:style>
  <w:style w:type="character" w:customStyle="1" w:styleId="Heading7Char">
    <w:name w:val="Heading 7 Char"/>
    <w:basedOn w:val="DefaultParagraphFont"/>
    <w:link w:val="Heading7"/>
    <w:rsid w:val="00960D9F"/>
    <w:rPr>
      <w:rFonts w:asciiTheme="majorHAnsi" w:eastAsiaTheme="majorEastAsia" w:hAnsiTheme="majorHAnsi" w:cstheme="majorBidi"/>
      <w:i/>
      <w:iCs/>
      <w:color w:val="243F60" w:themeColor="accent1" w:themeShade="7F"/>
      <w:sz w:val="22"/>
      <w:szCs w:val="24"/>
    </w:rPr>
  </w:style>
  <w:style w:type="character" w:customStyle="1" w:styleId="Heading8Char">
    <w:name w:val="Heading 8 Char"/>
    <w:basedOn w:val="DefaultParagraphFont"/>
    <w:link w:val="Heading8"/>
    <w:semiHidden/>
    <w:rsid w:val="00960D9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960D9F"/>
    <w:rPr>
      <w:rFonts w:asciiTheme="majorHAnsi" w:eastAsiaTheme="majorEastAsia" w:hAnsiTheme="majorHAnsi" w:cstheme="majorBidi"/>
      <w:i/>
      <w:iCs/>
      <w:color w:val="272727" w:themeColor="text1" w:themeTint="D8"/>
      <w:sz w:val="21"/>
      <w:szCs w:val="21"/>
    </w:rPr>
  </w:style>
  <w:style w:type="paragraph" w:customStyle="1" w:styleId="StyleCalTF2">
    <w:name w:val="StyleCalTF2"/>
    <w:basedOn w:val="Heading1-CalTF"/>
    <w:link w:val="StyleCalTF2Char"/>
    <w:qFormat/>
    <w:rsid w:val="009341FB"/>
    <w:pPr>
      <w:numPr>
        <w:numId w:val="0"/>
      </w:numPr>
    </w:pPr>
    <w:rPr>
      <w:b w:val="0"/>
      <w:color w:val="0000FF"/>
      <w:sz w:val="24"/>
      <w:szCs w:val="24"/>
    </w:rPr>
  </w:style>
  <w:style w:type="paragraph" w:customStyle="1" w:styleId="Heading2-CalTF2">
    <w:name w:val="Heading 2 - CalTF2"/>
    <w:basedOn w:val="StyleCalTF2"/>
    <w:qFormat/>
    <w:rsid w:val="00271E01"/>
    <w:pPr>
      <w:numPr>
        <w:ilvl w:val="1"/>
        <w:numId w:val="4"/>
      </w:numPr>
      <w:spacing w:before="300" w:after="260"/>
    </w:pPr>
  </w:style>
  <w:style w:type="character" w:customStyle="1" w:styleId="CalTFHeading1Char">
    <w:name w:val="Cal TF Heading 1 Char"/>
    <w:basedOn w:val="Heading1Char"/>
    <w:link w:val="CalTFHeading1"/>
    <w:rsid w:val="009341FB"/>
    <w:rPr>
      <w:rFonts w:ascii="Arial" w:hAnsi="Arial" w:cs="Arial"/>
      <w:b/>
      <w:bCs/>
      <w:kern w:val="32"/>
      <w:sz w:val="32"/>
      <w:szCs w:val="32"/>
      <w:lang w:val="en-US" w:eastAsia="en-US" w:bidi="ar-SA"/>
    </w:rPr>
  </w:style>
  <w:style w:type="character" w:customStyle="1" w:styleId="Heading1-CalTFChar">
    <w:name w:val="Heading 1 - Cal TF Char"/>
    <w:basedOn w:val="CalTFHeading1Char"/>
    <w:link w:val="Heading1-CalTF"/>
    <w:rsid w:val="003E7CC9"/>
    <w:rPr>
      <w:rFonts w:ascii="Arial" w:hAnsi="Arial" w:cs="Arial"/>
      <w:b/>
      <w:bCs/>
      <w:kern w:val="32"/>
      <w:sz w:val="32"/>
      <w:szCs w:val="32"/>
      <w:lang w:val="en-US" w:eastAsia="en-US" w:bidi="ar-SA"/>
    </w:rPr>
  </w:style>
  <w:style w:type="character" w:customStyle="1" w:styleId="StyleCalTF2Char">
    <w:name w:val="StyleCalTF2 Char"/>
    <w:basedOn w:val="Heading1-CalTFChar"/>
    <w:link w:val="StyleCalTF2"/>
    <w:rsid w:val="009341FB"/>
    <w:rPr>
      <w:rFonts w:ascii="Arial" w:hAnsi="Arial" w:cs="Arial"/>
      <w:b w:val="0"/>
      <w:bCs/>
      <w:color w:val="0000FF"/>
      <w:kern w:val="32"/>
      <w:sz w:val="24"/>
      <w:szCs w:val="24"/>
      <w:lang w:val="en-US" w:eastAsia="en-US" w:bidi="ar-SA"/>
    </w:rPr>
  </w:style>
  <w:style w:type="paragraph" w:customStyle="1" w:styleId="Heading3-CalTFStyle3">
    <w:name w:val="Heading 3 - CalTFStyle3"/>
    <w:basedOn w:val="StyleCalTF2"/>
    <w:link w:val="Heading3-CalTFStyle3Char"/>
    <w:rsid w:val="003F526B"/>
    <w:pPr>
      <w:numPr>
        <w:ilvl w:val="2"/>
        <w:numId w:val="3"/>
      </w:numPr>
    </w:pPr>
    <w:rPr>
      <w:i/>
      <w:sz w:val="20"/>
      <w:szCs w:val="20"/>
    </w:rPr>
  </w:style>
  <w:style w:type="paragraph" w:customStyle="1" w:styleId="Heading3-CalTFStyle31">
    <w:name w:val="Heading 3 - CalTFStyle3.1"/>
    <w:basedOn w:val="Heading3-CalTFStyle3"/>
    <w:link w:val="Heading3-CalTFStyle31Char"/>
    <w:qFormat/>
    <w:rsid w:val="00F81AAE"/>
    <w:pPr>
      <w:numPr>
        <w:numId w:val="4"/>
      </w:numPr>
      <w:tabs>
        <w:tab w:val="clear" w:pos="1620"/>
        <w:tab w:val="left" w:pos="1260"/>
      </w:tabs>
      <w:spacing w:after="100"/>
    </w:pPr>
    <w:rPr>
      <w:b/>
    </w:rPr>
  </w:style>
  <w:style w:type="character" w:customStyle="1" w:styleId="Heading3-CalTFStyle3Char">
    <w:name w:val="Heading 3 - CalTFStyle3 Char"/>
    <w:basedOn w:val="StyleCalTF2Char"/>
    <w:link w:val="Heading3-CalTFStyle3"/>
    <w:rsid w:val="003F526B"/>
    <w:rPr>
      <w:rFonts w:ascii="Arial" w:hAnsi="Arial" w:cs="Arial"/>
      <w:b w:val="0"/>
      <w:bCs/>
      <w:i/>
      <w:color w:val="0000FF"/>
      <w:kern w:val="32"/>
      <w:sz w:val="24"/>
      <w:szCs w:val="24"/>
      <w:lang w:val="en-US" w:eastAsia="en-US" w:bidi="ar-SA"/>
    </w:rPr>
  </w:style>
  <w:style w:type="character" w:customStyle="1" w:styleId="Heading3-CalTFStyle31Char">
    <w:name w:val="Heading 3 - CalTFStyle3.1 Char"/>
    <w:basedOn w:val="Heading3-CalTFStyle3Char"/>
    <w:link w:val="Heading3-CalTFStyle31"/>
    <w:rsid w:val="00F81AAE"/>
    <w:rPr>
      <w:rFonts w:ascii="Arial" w:hAnsi="Arial" w:cs="Arial"/>
      <w:b/>
      <w:bCs/>
      <w:i/>
      <w:color w:val="0000FF"/>
      <w:kern w:val="32"/>
      <w:sz w:val="24"/>
      <w:szCs w:val="24"/>
      <w:lang w:val="en-US" w:eastAsia="en-US" w:bidi="ar-SA"/>
    </w:rPr>
  </w:style>
  <w:style w:type="character" w:customStyle="1" w:styleId="FootnoteTextChar">
    <w:name w:val="Footnote Text Char"/>
    <w:basedOn w:val="DefaultParagraphFont"/>
    <w:link w:val="FootnoteText"/>
    <w:uiPriority w:val="99"/>
    <w:semiHidden/>
    <w:rsid w:val="00695C6D"/>
    <w:rPr>
      <w:rFonts w:ascii="Arial" w:hAnsi="Arial"/>
    </w:rPr>
  </w:style>
  <w:style w:type="paragraph" w:customStyle="1" w:styleId="Heading1-NoSectionNo">
    <w:name w:val="Heading 1 - No Section No"/>
    <w:basedOn w:val="Heading1"/>
    <w:qFormat/>
    <w:rsid w:val="006D318D"/>
    <w:pPr>
      <w:spacing w:before="400" w:after="200"/>
      <w:ind w:left="432" w:hanging="432"/>
    </w:pPr>
  </w:style>
  <w:style w:type="table" w:customStyle="1" w:styleId="TableGrid1">
    <w:name w:val="Table Grid1"/>
    <w:basedOn w:val="TableNormal"/>
    <w:next w:val="TableGrid"/>
    <w:uiPriority w:val="39"/>
    <w:rsid w:val="000622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F6505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8524">
      <w:bodyDiv w:val="1"/>
      <w:marLeft w:val="0"/>
      <w:marRight w:val="0"/>
      <w:marTop w:val="0"/>
      <w:marBottom w:val="0"/>
      <w:divBdr>
        <w:top w:val="none" w:sz="0" w:space="0" w:color="auto"/>
        <w:left w:val="none" w:sz="0" w:space="0" w:color="auto"/>
        <w:bottom w:val="none" w:sz="0" w:space="0" w:color="auto"/>
        <w:right w:val="none" w:sz="0" w:space="0" w:color="auto"/>
      </w:divBdr>
    </w:div>
    <w:div w:id="208500405">
      <w:bodyDiv w:val="1"/>
      <w:marLeft w:val="0"/>
      <w:marRight w:val="0"/>
      <w:marTop w:val="0"/>
      <w:marBottom w:val="0"/>
      <w:divBdr>
        <w:top w:val="none" w:sz="0" w:space="0" w:color="auto"/>
        <w:left w:val="none" w:sz="0" w:space="0" w:color="auto"/>
        <w:bottom w:val="none" w:sz="0" w:space="0" w:color="auto"/>
        <w:right w:val="none" w:sz="0" w:space="0" w:color="auto"/>
      </w:divBdr>
    </w:div>
    <w:div w:id="298850117">
      <w:bodyDiv w:val="1"/>
      <w:marLeft w:val="0"/>
      <w:marRight w:val="0"/>
      <w:marTop w:val="0"/>
      <w:marBottom w:val="0"/>
      <w:divBdr>
        <w:top w:val="none" w:sz="0" w:space="0" w:color="auto"/>
        <w:left w:val="none" w:sz="0" w:space="0" w:color="auto"/>
        <w:bottom w:val="none" w:sz="0" w:space="0" w:color="auto"/>
        <w:right w:val="none" w:sz="0" w:space="0" w:color="auto"/>
      </w:divBdr>
    </w:div>
    <w:div w:id="352195217">
      <w:bodyDiv w:val="1"/>
      <w:marLeft w:val="0"/>
      <w:marRight w:val="0"/>
      <w:marTop w:val="0"/>
      <w:marBottom w:val="0"/>
      <w:divBdr>
        <w:top w:val="none" w:sz="0" w:space="0" w:color="auto"/>
        <w:left w:val="none" w:sz="0" w:space="0" w:color="auto"/>
        <w:bottom w:val="none" w:sz="0" w:space="0" w:color="auto"/>
        <w:right w:val="none" w:sz="0" w:space="0" w:color="auto"/>
      </w:divBdr>
    </w:div>
    <w:div w:id="461312187">
      <w:bodyDiv w:val="1"/>
      <w:marLeft w:val="0"/>
      <w:marRight w:val="0"/>
      <w:marTop w:val="0"/>
      <w:marBottom w:val="0"/>
      <w:divBdr>
        <w:top w:val="none" w:sz="0" w:space="0" w:color="auto"/>
        <w:left w:val="none" w:sz="0" w:space="0" w:color="auto"/>
        <w:bottom w:val="none" w:sz="0" w:space="0" w:color="auto"/>
        <w:right w:val="none" w:sz="0" w:space="0" w:color="auto"/>
      </w:divBdr>
    </w:div>
    <w:div w:id="500320824">
      <w:bodyDiv w:val="1"/>
      <w:marLeft w:val="0"/>
      <w:marRight w:val="0"/>
      <w:marTop w:val="0"/>
      <w:marBottom w:val="0"/>
      <w:divBdr>
        <w:top w:val="none" w:sz="0" w:space="0" w:color="auto"/>
        <w:left w:val="none" w:sz="0" w:space="0" w:color="auto"/>
        <w:bottom w:val="none" w:sz="0" w:space="0" w:color="auto"/>
        <w:right w:val="none" w:sz="0" w:space="0" w:color="auto"/>
      </w:divBdr>
    </w:div>
    <w:div w:id="587815635">
      <w:bodyDiv w:val="1"/>
      <w:marLeft w:val="0"/>
      <w:marRight w:val="0"/>
      <w:marTop w:val="0"/>
      <w:marBottom w:val="0"/>
      <w:divBdr>
        <w:top w:val="none" w:sz="0" w:space="0" w:color="auto"/>
        <w:left w:val="none" w:sz="0" w:space="0" w:color="auto"/>
        <w:bottom w:val="none" w:sz="0" w:space="0" w:color="auto"/>
        <w:right w:val="none" w:sz="0" w:space="0" w:color="auto"/>
      </w:divBdr>
    </w:div>
    <w:div w:id="660546922">
      <w:bodyDiv w:val="1"/>
      <w:marLeft w:val="0"/>
      <w:marRight w:val="0"/>
      <w:marTop w:val="0"/>
      <w:marBottom w:val="0"/>
      <w:divBdr>
        <w:top w:val="none" w:sz="0" w:space="0" w:color="auto"/>
        <w:left w:val="none" w:sz="0" w:space="0" w:color="auto"/>
        <w:bottom w:val="none" w:sz="0" w:space="0" w:color="auto"/>
        <w:right w:val="none" w:sz="0" w:space="0" w:color="auto"/>
      </w:divBdr>
    </w:div>
    <w:div w:id="691034635">
      <w:bodyDiv w:val="1"/>
      <w:marLeft w:val="0"/>
      <w:marRight w:val="0"/>
      <w:marTop w:val="0"/>
      <w:marBottom w:val="0"/>
      <w:divBdr>
        <w:top w:val="none" w:sz="0" w:space="0" w:color="auto"/>
        <w:left w:val="none" w:sz="0" w:space="0" w:color="auto"/>
        <w:bottom w:val="none" w:sz="0" w:space="0" w:color="auto"/>
        <w:right w:val="none" w:sz="0" w:space="0" w:color="auto"/>
      </w:divBdr>
    </w:div>
    <w:div w:id="741760005">
      <w:bodyDiv w:val="1"/>
      <w:marLeft w:val="0"/>
      <w:marRight w:val="0"/>
      <w:marTop w:val="0"/>
      <w:marBottom w:val="0"/>
      <w:divBdr>
        <w:top w:val="none" w:sz="0" w:space="0" w:color="auto"/>
        <w:left w:val="none" w:sz="0" w:space="0" w:color="auto"/>
        <w:bottom w:val="none" w:sz="0" w:space="0" w:color="auto"/>
        <w:right w:val="none" w:sz="0" w:space="0" w:color="auto"/>
      </w:divBdr>
    </w:div>
    <w:div w:id="760952783">
      <w:bodyDiv w:val="1"/>
      <w:marLeft w:val="0"/>
      <w:marRight w:val="0"/>
      <w:marTop w:val="0"/>
      <w:marBottom w:val="0"/>
      <w:divBdr>
        <w:top w:val="none" w:sz="0" w:space="0" w:color="auto"/>
        <w:left w:val="none" w:sz="0" w:space="0" w:color="auto"/>
        <w:bottom w:val="none" w:sz="0" w:space="0" w:color="auto"/>
        <w:right w:val="none" w:sz="0" w:space="0" w:color="auto"/>
      </w:divBdr>
    </w:div>
    <w:div w:id="765462337">
      <w:bodyDiv w:val="1"/>
      <w:marLeft w:val="0"/>
      <w:marRight w:val="0"/>
      <w:marTop w:val="0"/>
      <w:marBottom w:val="0"/>
      <w:divBdr>
        <w:top w:val="none" w:sz="0" w:space="0" w:color="auto"/>
        <w:left w:val="none" w:sz="0" w:space="0" w:color="auto"/>
        <w:bottom w:val="none" w:sz="0" w:space="0" w:color="auto"/>
        <w:right w:val="none" w:sz="0" w:space="0" w:color="auto"/>
      </w:divBdr>
    </w:div>
    <w:div w:id="791092033">
      <w:bodyDiv w:val="1"/>
      <w:marLeft w:val="0"/>
      <w:marRight w:val="0"/>
      <w:marTop w:val="0"/>
      <w:marBottom w:val="0"/>
      <w:divBdr>
        <w:top w:val="none" w:sz="0" w:space="0" w:color="auto"/>
        <w:left w:val="none" w:sz="0" w:space="0" w:color="auto"/>
        <w:bottom w:val="none" w:sz="0" w:space="0" w:color="auto"/>
        <w:right w:val="none" w:sz="0" w:space="0" w:color="auto"/>
      </w:divBdr>
    </w:div>
    <w:div w:id="1058044817">
      <w:bodyDiv w:val="1"/>
      <w:marLeft w:val="0"/>
      <w:marRight w:val="0"/>
      <w:marTop w:val="0"/>
      <w:marBottom w:val="0"/>
      <w:divBdr>
        <w:top w:val="none" w:sz="0" w:space="0" w:color="auto"/>
        <w:left w:val="none" w:sz="0" w:space="0" w:color="auto"/>
        <w:bottom w:val="none" w:sz="0" w:space="0" w:color="auto"/>
        <w:right w:val="none" w:sz="0" w:space="0" w:color="auto"/>
      </w:divBdr>
    </w:div>
    <w:div w:id="1120534869">
      <w:bodyDiv w:val="1"/>
      <w:marLeft w:val="0"/>
      <w:marRight w:val="0"/>
      <w:marTop w:val="0"/>
      <w:marBottom w:val="0"/>
      <w:divBdr>
        <w:top w:val="none" w:sz="0" w:space="0" w:color="auto"/>
        <w:left w:val="none" w:sz="0" w:space="0" w:color="auto"/>
        <w:bottom w:val="none" w:sz="0" w:space="0" w:color="auto"/>
        <w:right w:val="none" w:sz="0" w:space="0" w:color="auto"/>
      </w:divBdr>
    </w:div>
    <w:div w:id="1212113632">
      <w:bodyDiv w:val="1"/>
      <w:marLeft w:val="0"/>
      <w:marRight w:val="0"/>
      <w:marTop w:val="0"/>
      <w:marBottom w:val="0"/>
      <w:divBdr>
        <w:top w:val="none" w:sz="0" w:space="0" w:color="auto"/>
        <w:left w:val="none" w:sz="0" w:space="0" w:color="auto"/>
        <w:bottom w:val="none" w:sz="0" w:space="0" w:color="auto"/>
        <w:right w:val="none" w:sz="0" w:space="0" w:color="auto"/>
      </w:divBdr>
      <w:divsChild>
        <w:div w:id="1209997726">
          <w:marLeft w:val="0"/>
          <w:marRight w:val="0"/>
          <w:marTop w:val="0"/>
          <w:marBottom w:val="0"/>
          <w:divBdr>
            <w:top w:val="none" w:sz="0" w:space="0" w:color="auto"/>
            <w:left w:val="none" w:sz="0" w:space="0" w:color="auto"/>
            <w:bottom w:val="none" w:sz="0" w:space="0" w:color="auto"/>
            <w:right w:val="none" w:sz="0" w:space="0" w:color="auto"/>
          </w:divBdr>
          <w:divsChild>
            <w:div w:id="621150603">
              <w:marLeft w:val="0"/>
              <w:marRight w:val="0"/>
              <w:marTop w:val="0"/>
              <w:marBottom w:val="0"/>
              <w:divBdr>
                <w:top w:val="none" w:sz="0" w:space="0" w:color="auto"/>
                <w:left w:val="none" w:sz="0" w:space="0" w:color="auto"/>
                <w:bottom w:val="none" w:sz="0" w:space="0" w:color="auto"/>
                <w:right w:val="none" w:sz="0" w:space="0" w:color="auto"/>
              </w:divBdr>
              <w:divsChild>
                <w:div w:id="1158037326">
                  <w:marLeft w:val="2928"/>
                  <w:marRight w:val="0"/>
                  <w:marTop w:val="720"/>
                  <w:marBottom w:val="0"/>
                  <w:divBdr>
                    <w:top w:val="none" w:sz="0" w:space="0" w:color="auto"/>
                    <w:left w:val="none" w:sz="0" w:space="0" w:color="auto"/>
                    <w:bottom w:val="none" w:sz="0" w:space="0" w:color="auto"/>
                    <w:right w:val="none" w:sz="0" w:space="0" w:color="auto"/>
                  </w:divBdr>
                  <w:divsChild>
                    <w:div w:id="417793153">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246763622">
      <w:bodyDiv w:val="1"/>
      <w:marLeft w:val="0"/>
      <w:marRight w:val="0"/>
      <w:marTop w:val="0"/>
      <w:marBottom w:val="0"/>
      <w:divBdr>
        <w:top w:val="none" w:sz="0" w:space="0" w:color="auto"/>
        <w:left w:val="none" w:sz="0" w:space="0" w:color="auto"/>
        <w:bottom w:val="none" w:sz="0" w:space="0" w:color="auto"/>
        <w:right w:val="none" w:sz="0" w:space="0" w:color="auto"/>
      </w:divBdr>
    </w:div>
    <w:div w:id="1307852526">
      <w:bodyDiv w:val="1"/>
      <w:marLeft w:val="0"/>
      <w:marRight w:val="0"/>
      <w:marTop w:val="0"/>
      <w:marBottom w:val="0"/>
      <w:divBdr>
        <w:top w:val="none" w:sz="0" w:space="0" w:color="auto"/>
        <w:left w:val="none" w:sz="0" w:space="0" w:color="auto"/>
        <w:bottom w:val="none" w:sz="0" w:space="0" w:color="auto"/>
        <w:right w:val="none" w:sz="0" w:space="0" w:color="auto"/>
      </w:divBdr>
    </w:div>
    <w:div w:id="1378430032">
      <w:bodyDiv w:val="1"/>
      <w:marLeft w:val="0"/>
      <w:marRight w:val="0"/>
      <w:marTop w:val="0"/>
      <w:marBottom w:val="0"/>
      <w:divBdr>
        <w:top w:val="none" w:sz="0" w:space="0" w:color="auto"/>
        <w:left w:val="none" w:sz="0" w:space="0" w:color="auto"/>
        <w:bottom w:val="none" w:sz="0" w:space="0" w:color="auto"/>
        <w:right w:val="none" w:sz="0" w:space="0" w:color="auto"/>
      </w:divBdr>
    </w:div>
    <w:div w:id="1417433602">
      <w:bodyDiv w:val="1"/>
      <w:marLeft w:val="0"/>
      <w:marRight w:val="0"/>
      <w:marTop w:val="0"/>
      <w:marBottom w:val="0"/>
      <w:divBdr>
        <w:top w:val="none" w:sz="0" w:space="0" w:color="auto"/>
        <w:left w:val="none" w:sz="0" w:space="0" w:color="auto"/>
        <w:bottom w:val="none" w:sz="0" w:space="0" w:color="auto"/>
        <w:right w:val="none" w:sz="0" w:space="0" w:color="auto"/>
      </w:divBdr>
    </w:div>
    <w:div w:id="1484390487">
      <w:bodyDiv w:val="1"/>
      <w:marLeft w:val="0"/>
      <w:marRight w:val="0"/>
      <w:marTop w:val="0"/>
      <w:marBottom w:val="0"/>
      <w:divBdr>
        <w:top w:val="none" w:sz="0" w:space="0" w:color="auto"/>
        <w:left w:val="none" w:sz="0" w:space="0" w:color="auto"/>
        <w:bottom w:val="none" w:sz="0" w:space="0" w:color="auto"/>
        <w:right w:val="none" w:sz="0" w:space="0" w:color="auto"/>
      </w:divBdr>
    </w:div>
    <w:div w:id="1532764111">
      <w:bodyDiv w:val="1"/>
      <w:marLeft w:val="0"/>
      <w:marRight w:val="0"/>
      <w:marTop w:val="0"/>
      <w:marBottom w:val="0"/>
      <w:divBdr>
        <w:top w:val="none" w:sz="0" w:space="0" w:color="auto"/>
        <w:left w:val="none" w:sz="0" w:space="0" w:color="auto"/>
        <w:bottom w:val="none" w:sz="0" w:space="0" w:color="auto"/>
        <w:right w:val="none" w:sz="0" w:space="0" w:color="auto"/>
      </w:divBdr>
    </w:div>
    <w:div w:id="1533221962">
      <w:bodyDiv w:val="1"/>
      <w:marLeft w:val="0"/>
      <w:marRight w:val="0"/>
      <w:marTop w:val="0"/>
      <w:marBottom w:val="0"/>
      <w:divBdr>
        <w:top w:val="none" w:sz="0" w:space="0" w:color="auto"/>
        <w:left w:val="none" w:sz="0" w:space="0" w:color="auto"/>
        <w:bottom w:val="none" w:sz="0" w:space="0" w:color="auto"/>
        <w:right w:val="none" w:sz="0" w:space="0" w:color="auto"/>
      </w:divBdr>
    </w:div>
    <w:div w:id="1563175222">
      <w:bodyDiv w:val="1"/>
      <w:marLeft w:val="0"/>
      <w:marRight w:val="0"/>
      <w:marTop w:val="0"/>
      <w:marBottom w:val="0"/>
      <w:divBdr>
        <w:top w:val="none" w:sz="0" w:space="0" w:color="auto"/>
        <w:left w:val="none" w:sz="0" w:space="0" w:color="auto"/>
        <w:bottom w:val="none" w:sz="0" w:space="0" w:color="auto"/>
        <w:right w:val="none" w:sz="0" w:space="0" w:color="auto"/>
      </w:divBdr>
    </w:div>
    <w:div w:id="1611625156">
      <w:bodyDiv w:val="1"/>
      <w:marLeft w:val="0"/>
      <w:marRight w:val="0"/>
      <w:marTop w:val="0"/>
      <w:marBottom w:val="0"/>
      <w:divBdr>
        <w:top w:val="none" w:sz="0" w:space="0" w:color="auto"/>
        <w:left w:val="none" w:sz="0" w:space="0" w:color="auto"/>
        <w:bottom w:val="none" w:sz="0" w:space="0" w:color="auto"/>
        <w:right w:val="none" w:sz="0" w:space="0" w:color="auto"/>
      </w:divBdr>
    </w:div>
    <w:div w:id="1723870962">
      <w:bodyDiv w:val="1"/>
      <w:marLeft w:val="0"/>
      <w:marRight w:val="0"/>
      <w:marTop w:val="0"/>
      <w:marBottom w:val="0"/>
      <w:divBdr>
        <w:top w:val="none" w:sz="0" w:space="0" w:color="auto"/>
        <w:left w:val="none" w:sz="0" w:space="0" w:color="auto"/>
        <w:bottom w:val="none" w:sz="0" w:space="0" w:color="auto"/>
        <w:right w:val="none" w:sz="0" w:space="0" w:color="auto"/>
      </w:divBdr>
    </w:div>
    <w:div w:id="1806240145">
      <w:bodyDiv w:val="1"/>
      <w:marLeft w:val="0"/>
      <w:marRight w:val="0"/>
      <w:marTop w:val="0"/>
      <w:marBottom w:val="0"/>
      <w:divBdr>
        <w:top w:val="none" w:sz="0" w:space="0" w:color="auto"/>
        <w:left w:val="none" w:sz="0" w:space="0" w:color="auto"/>
        <w:bottom w:val="none" w:sz="0" w:space="0" w:color="auto"/>
        <w:right w:val="none" w:sz="0" w:space="0" w:color="auto"/>
      </w:divBdr>
    </w:div>
    <w:div w:id="1839346674">
      <w:bodyDiv w:val="1"/>
      <w:marLeft w:val="0"/>
      <w:marRight w:val="0"/>
      <w:marTop w:val="0"/>
      <w:marBottom w:val="0"/>
      <w:divBdr>
        <w:top w:val="none" w:sz="0" w:space="0" w:color="auto"/>
        <w:left w:val="none" w:sz="0" w:space="0" w:color="auto"/>
        <w:bottom w:val="none" w:sz="0" w:space="0" w:color="auto"/>
        <w:right w:val="none" w:sz="0" w:space="0" w:color="auto"/>
      </w:divBdr>
    </w:div>
    <w:div w:id="1857188326">
      <w:bodyDiv w:val="1"/>
      <w:marLeft w:val="0"/>
      <w:marRight w:val="0"/>
      <w:marTop w:val="0"/>
      <w:marBottom w:val="0"/>
      <w:divBdr>
        <w:top w:val="none" w:sz="0" w:space="0" w:color="auto"/>
        <w:left w:val="none" w:sz="0" w:space="0" w:color="auto"/>
        <w:bottom w:val="none" w:sz="0" w:space="0" w:color="auto"/>
        <w:right w:val="none" w:sz="0" w:space="0" w:color="auto"/>
      </w:divBdr>
    </w:div>
    <w:div w:id="1904832912">
      <w:bodyDiv w:val="1"/>
      <w:marLeft w:val="0"/>
      <w:marRight w:val="0"/>
      <w:marTop w:val="0"/>
      <w:marBottom w:val="0"/>
      <w:divBdr>
        <w:top w:val="none" w:sz="0" w:space="0" w:color="auto"/>
        <w:left w:val="none" w:sz="0" w:space="0" w:color="auto"/>
        <w:bottom w:val="none" w:sz="0" w:space="0" w:color="auto"/>
        <w:right w:val="none" w:sz="0" w:space="0" w:color="auto"/>
      </w:divBdr>
    </w:div>
    <w:div w:id="1944343191">
      <w:bodyDiv w:val="1"/>
      <w:marLeft w:val="0"/>
      <w:marRight w:val="0"/>
      <w:marTop w:val="0"/>
      <w:marBottom w:val="0"/>
      <w:divBdr>
        <w:top w:val="none" w:sz="0" w:space="0" w:color="auto"/>
        <w:left w:val="none" w:sz="0" w:space="0" w:color="auto"/>
        <w:bottom w:val="none" w:sz="0" w:space="0" w:color="auto"/>
        <w:right w:val="none" w:sz="0" w:space="0" w:color="auto"/>
      </w:divBdr>
    </w:div>
    <w:div w:id="2017228856">
      <w:bodyDiv w:val="1"/>
      <w:marLeft w:val="0"/>
      <w:marRight w:val="0"/>
      <w:marTop w:val="0"/>
      <w:marBottom w:val="0"/>
      <w:divBdr>
        <w:top w:val="none" w:sz="0" w:space="0" w:color="auto"/>
        <w:left w:val="none" w:sz="0" w:space="0" w:color="auto"/>
        <w:bottom w:val="none" w:sz="0" w:space="0" w:color="auto"/>
        <w:right w:val="none" w:sz="0" w:space="0" w:color="auto"/>
      </w:divBdr>
    </w:div>
    <w:div w:id="2118602275">
      <w:bodyDiv w:val="1"/>
      <w:marLeft w:val="0"/>
      <w:marRight w:val="0"/>
      <w:marTop w:val="0"/>
      <w:marBottom w:val="0"/>
      <w:divBdr>
        <w:top w:val="none" w:sz="0" w:space="0" w:color="auto"/>
        <w:left w:val="none" w:sz="0" w:space="0" w:color="auto"/>
        <w:bottom w:val="none" w:sz="0" w:space="0" w:color="auto"/>
        <w:right w:val="none" w:sz="0" w:space="0" w:color="auto"/>
      </w:divBdr>
    </w:div>
    <w:div w:id="213497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image" Target="media/image6.emf"/><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png"/><Relationship Id="rId33" Type="http://schemas.openxmlformats.org/officeDocument/2006/relationships/package" Target="embeddings/Microsoft_Word_Document3.docx"/><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www.deeresource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image" Target="media/image5.emf"/><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package" Target="embeddings/Microsoft_Excel_Worksheet1.xlsx"/><Relationship Id="rId36"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package" Target="embeddings/Microsoft_Word_Document2.doc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image" Target="media/image3.emf"/><Relationship Id="rId30" Type="http://schemas.openxmlformats.org/officeDocument/2006/relationships/image" Target="media/image4.emf"/><Relationship Id="rId35" Type="http://schemas.openxmlformats.org/officeDocument/2006/relationships/package" Target="embeddings/Microsoft_Excel_Worksheet4.xlsx"/></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ultf\Desktop\WorkPaperReview2ndQtr2007\SCE%20Work%20Paper%20Template%20-%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0EA4F4CB40DD419C6CAF9467FB7C04" ma:contentTypeVersion="2" ma:contentTypeDescription="Create a new document." ma:contentTypeScope="" ma:versionID="828d551e8869ea3dc498503510246c4f">
  <xsd:schema xmlns:xsd="http://www.w3.org/2001/XMLSchema" xmlns:p="http://schemas.microsoft.com/office/2006/metadata/properties" targetNamespace="http://schemas.microsoft.com/office/2006/metadata/properties" ma:root="true" ma:fieldsID="bfb85531492299a443187b2d09fe2a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C4E56-104E-4524-9907-9F647E8A41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280A6B-5D68-411B-8FF7-88DFD64A4E4A}">
  <ds:schemaRefs>
    <ds:schemaRef ds:uri="http://schemas.microsoft.com/sharepoint/v3/contenttype/forms"/>
  </ds:schemaRefs>
</ds:datastoreItem>
</file>

<file path=customXml/itemProps3.xml><?xml version="1.0" encoding="utf-8"?>
<ds:datastoreItem xmlns:ds="http://schemas.openxmlformats.org/officeDocument/2006/customXml" ds:itemID="{44F72AB3-3614-44E4-AD3D-4602D8619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572C46B-114C-46ED-BB5D-6F7560F05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SCE Work Paper Template - Final</Template>
  <TotalTime>1</TotalTime>
  <Pages>24</Pages>
  <Words>4189</Words>
  <Characters>23881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Work Paper Template 2011 November</vt:lpstr>
    </vt:vector>
  </TitlesOfParts>
  <Company>PG&amp;E</Company>
  <LinksUpToDate>false</LinksUpToDate>
  <CharactersWithSpaces>28014</CharactersWithSpaces>
  <SharedDoc>false</SharedDoc>
  <HLinks>
    <vt:vector size="186" baseType="variant">
      <vt:variant>
        <vt:i4>1572920</vt:i4>
      </vt:variant>
      <vt:variant>
        <vt:i4>188</vt:i4>
      </vt:variant>
      <vt:variant>
        <vt:i4>0</vt:i4>
      </vt:variant>
      <vt:variant>
        <vt:i4>5</vt:i4>
      </vt:variant>
      <vt:variant>
        <vt:lpwstr/>
      </vt:variant>
      <vt:variant>
        <vt:lpwstr>_Toc174189507</vt:lpwstr>
      </vt:variant>
      <vt:variant>
        <vt:i4>1572920</vt:i4>
      </vt:variant>
      <vt:variant>
        <vt:i4>182</vt:i4>
      </vt:variant>
      <vt:variant>
        <vt:i4>0</vt:i4>
      </vt:variant>
      <vt:variant>
        <vt:i4>5</vt:i4>
      </vt:variant>
      <vt:variant>
        <vt:lpwstr/>
      </vt:variant>
      <vt:variant>
        <vt:lpwstr>_Toc174189506</vt:lpwstr>
      </vt:variant>
      <vt:variant>
        <vt:i4>1441840</vt:i4>
      </vt:variant>
      <vt:variant>
        <vt:i4>173</vt:i4>
      </vt:variant>
      <vt:variant>
        <vt:i4>0</vt:i4>
      </vt:variant>
      <vt:variant>
        <vt:i4>5</vt:i4>
      </vt:variant>
      <vt:variant>
        <vt:lpwstr/>
      </vt:variant>
      <vt:variant>
        <vt:lpwstr>_Toc184119412</vt:lpwstr>
      </vt:variant>
      <vt:variant>
        <vt:i4>1900597</vt:i4>
      </vt:variant>
      <vt:variant>
        <vt:i4>164</vt:i4>
      </vt:variant>
      <vt:variant>
        <vt:i4>0</vt:i4>
      </vt:variant>
      <vt:variant>
        <vt:i4>5</vt:i4>
      </vt:variant>
      <vt:variant>
        <vt:lpwstr/>
      </vt:variant>
      <vt:variant>
        <vt:lpwstr>_Toc304800222</vt:lpwstr>
      </vt:variant>
      <vt:variant>
        <vt:i4>1900597</vt:i4>
      </vt:variant>
      <vt:variant>
        <vt:i4>158</vt:i4>
      </vt:variant>
      <vt:variant>
        <vt:i4>0</vt:i4>
      </vt:variant>
      <vt:variant>
        <vt:i4>5</vt:i4>
      </vt:variant>
      <vt:variant>
        <vt:lpwstr/>
      </vt:variant>
      <vt:variant>
        <vt:lpwstr>_Toc304800221</vt:lpwstr>
      </vt:variant>
      <vt:variant>
        <vt:i4>1900597</vt:i4>
      </vt:variant>
      <vt:variant>
        <vt:i4>152</vt:i4>
      </vt:variant>
      <vt:variant>
        <vt:i4>0</vt:i4>
      </vt:variant>
      <vt:variant>
        <vt:i4>5</vt:i4>
      </vt:variant>
      <vt:variant>
        <vt:lpwstr/>
      </vt:variant>
      <vt:variant>
        <vt:lpwstr>_Toc304800220</vt:lpwstr>
      </vt:variant>
      <vt:variant>
        <vt:i4>1966133</vt:i4>
      </vt:variant>
      <vt:variant>
        <vt:i4>146</vt:i4>
      </vt:variant>
      <vt:variant>
        <vt:i4>0</vt:i4>
      </vt:variant>
      <vt:variant>
        <vt:i4>5</vt:i4>
      </vt:variant>
      <vt:variant>
        <vt:lpwstr/>
      </vt:variant>
      <vt:variant>
        <vt:lpwstr>_Toc304800219</vt:lpwstr>
      </vt:variant>
      <vt:variant>
        <vt:i4>1966133</vt:i4>
      </vt:variant>
      <vt:variant>
        <vt:i4>140</vt:i4>
      </vt:variant>
      <vt:variant>
        <vt:i4>0</vt:i4>
      </vt:variant>
      <vt:variant>
        <vt:i4>5</vt:i4>
      </vt:variant>
      <vt:variant>
        <vt:lpwstr/>
      </vt:variant>
      <vt:variant>
        <vt:lpwstr>_Toc304800218</vt:lpwstr>
      </vt:variant>
      <vt:variant>
        <vt:i4>1966133</vt:i4>
      </vt:variant>
      <vt:variant>
        <vt:i4>134</vt:i4>
      </vt:variant>
      <vt:variant>
        <vt:i4>0</vt:i4>
      </vt:variant>
      <vt:variant>
        <vt:i4>5</vt:i4>
      </vt:variant>
      <vt:variant>
        <vt:lpwstr/>
      </vt:variant>
      <vt:variant>
        <vt:lpwstr>_Toc304800217</vt:lpwstr>
      </vt:variant>
      <vt:variant>
        <vt:i4>1966133</vt:i4>
      </vt:variant>
      <vt:variant>
        <vt:i4>128</vt:i4>
      </vt:variant>
      <vt:variant>
        <vt:i4>0</vt:i4>
      </vt:variant>
      <vt:variant>
        <vt:i4>5</vt:i4>
      </vt:variant>
      <vt:variant>
        <vt:lpwstr/>
      </vt:variant>
      <vt:variant>
        <vt:lpwstr>_Toc304800216</vt:lpwstr>
      </vt:variant>
      <vt:variant>
        <vt:i4>1966133</vt:i4>
      </vt:variant>
      <vt:variant>
        <vt:i4>122</vt:i4>
      </vt:variant>
      <vt:variant>
        <vt:i4>0</vt:i4>
      </vt:variant>
      <vt:variant>
        <vt:i4>5</vt:i4>
      </vt:variant>
      <vt:variant>
        <vt:lpwstr/>
      </vt:variant>
      <vt:variant>
        <vt:lpwstr>_Toc304800215</vt:lpwstr>
      </vt:variant>
      <vt:variant>
        <vt:i4>1966133</vt:i4>
      </vt:variant>
      <vt:variant>
        <vt:i4>116</vt:i4>
      </vt:variant>
      <vt:variant>
        <vt:i4>0</vt:i4>
      </vt:variant>
      <vt:variant>
        <vt:i4>5</vt:i4>
      </vt:variant>
      <vt:variant>
        <vt:lpwstr/>
      </vt:variant>
      <vt:variant>
        <vt:lpwstr>_Toc304800214</vt:lpwstr>
      </vt:variant>
      <vt:variant>
        <vt:i4>1966133</vt:i4>
      </vt:variant>
      <vt:variant>
        <vt:i4>110</vt:i4>
      </vt:variant>
      <vt:variant>
        <vt:i4>0</vt:i4>
      </vt:variant>
      <vt:variant>
        <vt:i4>5</vt:i4>
      </vt:variant>
      <vt:variant>
        <vt:lpwstr/>
      </vt:variant>
      <vt:variant>
        <vt:lpwstr>_Toc304800213</vt:lpwstr>
      </vt:variant>
      <vt:variant>
        <vt:i4>1966133</vt:i4>
      </vt:variant>
      <vt:variant>
        <vt:i4>104</vt:i4>
      </vt:variant>
      <vt:variant>
        <vt:i4>0</vt:i4>
      </vt:variant>
      <vt:variant>
        <vt:i4>5</vt:i4>
      </vt:variant>
      <vt:variant>
        <vt:lpwstr/>
      </vt:variant>
      <vt:variant>
        <vt:lpwstr>_Toc304800212</vt:lpwstr>
      </vt:variant>
      <vt:variant>
        <vt:i4>1966133</vt:i4>
      </vt:variant>
      <vt:variant>
        <vt:i4>98</vt:i4>
      </vt:variant>
      <vt:variant>
        <vt:i4>0</vt:i4>
      </vt:variant>
      <vt:variant>
        <vt:i4>5</vt:i4>
      </vt:variant>
      <vt:variant>
        <vt:lpwstr/>
      </vt:variant>
      <vt:variant>
        <vt:lpwstr>_Toc304800211</vt:lpwstr>
      </vt:variant>
      <vt:variant>
        <vt:i4>1966133</vt:i4>
      </vt:variant>
      <vt:variant>
        <vt:i4>92</vt:i4>
      </vt:variant>
      <vt:variant>
        <vt:i4>0</vt:i4>
      </vt:variant>
      <vt:variant>
        <vt:i4>5</vt:i4>
      </vt:variant>
      <vt:variant>
        <vt:lpwstr/>
      </vt:variant>
      <vt:variant>
        <vt:lpwstr>_Toc304800210</vt:lpwstr>
      </vt:variant>
      <vt:variant>
        <vt:i4>2031669</vt:i4>
      </vt:variant>
      <vt:variant>
        <vt:i4>86</vt:i4>
      </vt:variant>
      <vt:variant>
        <vt:i4>0</vt:i4>
      </vt:variant>
      <vt:variant>
        <vt:i4>5</vt:i4>
      </vt:variant>
      <vt:variant>
        <vt:lpwstr/>
      </vt:variant>
      <vt:variant>
        <vt:lpwstr>_Toc304800209</vt:lpwstr>
      </vt:variant>
      <vt:variant>
        <vt:i4>2031669</vt:i4>
      </vt:variant>
      <vt:variant>
        <vt:i4>80</vt:i4>
      </vt:variant>
      <vt:variant>
        <vt:i4>0</vt:i4>
      </vt:variant>
      <vt:variant>
        <vt:i4>5</vt:i4>
      </vt:variant>
      <vt:variant>
        <vt:lpwstr/>
      </vt:variant>
      <vt:variant>
        <vt:lpwstr>_Toc304800208</vt:lpwstr>
      </vt:variant>
      <vt:variant>
        <vt:i4>2031669</vt:i4>
      </vt:variant>
      <vt:variant>
        <vt:i4>74</vt:i4>
      </vt:variant>
      <vt:variant>
        <vt:i4>0</vt:i4>
      </vt:variant>
      <vt:variant>
        <vt:i4>5</vt:i4>
      </vt:variant>
      <vt:variant>
        <vt:lpwstr/>
      </vt:variant>
      <vt:variant>
        <vt:lpwstr>_Toc304800207</vt:lpwstr>
      </vt:variant>
      <vt:variant>
        <vt:i4>2031669</vt:i4>
      </vt:variant>
      <vt:variant>
        <vt:i4>68</vt:i4>
      </vt:variant>
      <vt:variant>
        <vt:i4>0</vt:i4>
      </vt:variant>
      <vt:variant>
        <vt:i4>5</vt:i4>
      </vt:variant>
      <vt:variant>
        <vt:lpwstr/>
      </vt:variant>
      <vt:variant>
        <vt:lpwstr>_Toc304800206</vt:lpwstr>
      </vt:variant>
      <vt:variant>
        <vt:i4>2031669</vt:i4>
      </vt:variant>
      <vt:variant>
        <vt:i4>62</vt:i4>
      </vt:variant>
      <vt:variant>
        <vt:i4>0</vt:i4>
      </vt:variant>
      <vt:variant>
        <vt:i4>5</vt:i4>
      </vt:variant>
      <vt:variant>
        <vt:lpwstr/>
      </vt:variant>
      <vt:variant>
        <vt:lpwstr>_Toc304800205</vt:lpwstr>
      </vt:variant>
      <vt:variant>
        <vt:i4>2031669</vt:i4>
      </vt:variant>
      <vt:variant>
        <vt:i4>56</vt:i4>
      </vt:variant>
      <vt:variant>
        <vt:i4>0</vt:i4>
      </vt:variant>
      <vt:variant>
        <vt:i4>5</vt:i4>
      </vt:variant>
      <vt:variant>
        <vt:lpwstr/>
      </vt:variant>
      <vt:variant>
        <vt:lpwstr>_Toc304800204</vt:lpwstr>
      </vt:variant>
      <vt:variant>
        <vt:i4>2031669</vt:i4>
      </vt:variant>
      <vt:variant>
        <vt:i4>50</vt:i4>
      </vt:variant>
      <vt:variant>
        <vt:i4>0</vt:i4>
      </vt:variant>
      <vt:variant>
        <vt:i4>5</vt:i4>
      </vt:variant>
      <vt:variant>
        <vt:lpwstr/>
      </vt:variant>
      <vt:variant>
        <vt:lpwstr>_Toc304800203</vt:lpwstr>
      </vt:variant>
      <vt:variant>
        <vt:i4>2031669</vt:i4>
      </vt:variant>
      <vt:variant>
        <vt:i4>44</vt:i4>
      </vt:variant>
      <vt:variant>
        <vt:i4>0</vt:i4>
      </vt:variant>
      <vt:variant>
        <vt:i4>5</vt:i4>
      </vt:variant>
      <vt:variant>
        <vt:lpwstr/>
      </vt:variant>
      <vt:variant>
        <vt:lpwstr>_Toc304800202</vt:lpwstr>
      </vt:variant>
      <vt:variant>
        <vt:i4>2031669</vt:i4>
      </vt:variant>
      <vt:variant>
        <vt:i4>38</vt:i4>
      </vt:variant>
      <vt:variant>
        <vt:i4>0</vt:i4>
      </vt:variant>
      <vt:variant>
        <vt:i4>5</vt:i4>
      </vt:variant>
      <vt:variant>
        <vt:lpwstr/>
      </vt:variant>
      <vt:variant>
        <vt:lpwstr>_Toc304800201</vt:lpwstr>
      </vt:variant>
      <vt:variant>
        <vt:i4>2031669</vt:i4>
      </vt:variant>
      <vt:variant>
        <vt:i4>32</vt:i4>
      </vt:variant>
      <vt:variant>
        <vt:i4>0</vt:i4>
      </vt:variant>
      <vt:variant>
        <vt:i4>5</vt:i4>
      </vt:variant>
      <vt:variant>
        <vt:lpwstr/>
      </vt:variant>
      <vt:variant>
        <vt:lpwstr>_Toc304800200</vt:lpwstr>
      </vt:variant>
      <vt:variant>
        <vt:i4>1441846</vt:i4>
      </vt:variant>
      <vt:variant>
        <vt:i4>26</vt:i4>
      </vt:variant>
      <vt:variant>
        <vt:i4>0</vt:i4>
      </vt:variant>
      <vt:variant>
        <vt:i4>5</vt:i4>
      </vt:variant>
      <vt:variant>
        <vt:lpwstr/>
      </vt:variant>
      <vt:variant>
        <vt:lpwstr>_Toc304800199</vt:lpwstr>
      </vt:variant>
      <vt:variant>
        <vt:i4>1441846</vt:i4>
      </vt:variant>
      <vt:variant>
        <vt:i4>20</vt:i4>
      </vt:variant>
      <vt:variant>
        <vt:i4>0</vt:i4>
      </vt:variant>
      <vt:variant>
        <vt:i4>5</vt:i4>
      </vt:variant>
      <vt:variant>
        <vt:lpwstr/>
      </vt:variant>
      <vt:variant>
        <vt:lpwstr>_Toc304800198</vt:lpwstr>
      </vt:variant>
      <vt:variant>
        <vt:i4>1441846</vt:i4>
      </vt:variant>
      <vt:variant>
        <vt:i4>14</vt:i4>
      </vt:variant>
      <vt:variant>
        <vt:i4>0</vt:i4>
      </vt:variant>
      <vt:variant>
        <vt:i4>5</vt:i4>
      </vt:variant>
      <vt:variant>
        <vt:lpwstr/>
      </vt:variant>
      <vt:variant>
        <vt:lpwstr>_Toc304800196</vt:lpwstr>
      </vt:variant>
      <vt:variant>
        <vt:i4>1441846</vt:i4>
      </vt:variant>
      <vt:variant>
        <vt:i4>8</vt:i4>
      </vt:variant>
      <vt:variant>
        <vt:i4>0</vt:i4>
      </vt:variant>
      <vt:variant>
        <vt:i4>5</vt:i4>
      </vt:variant>
      <vt:variant>
        <vt:lpwstr/>
      </vt:variant>
      <vt:variant>
        <vt:lpwstr>_Toc304800195</vt:lpwstr>
      </vt:variant>
      <vt:variant>
        <vt:i4>1441846</vt:i4>
      </vt:variant>
      <vt:variant>
        <vt:i4>2</vt:i4>
      </vt:variant>
      <vt:variant>
        <vt:i4>0</vt:i4>
      </vt:variant>
      <vt:variant>
        <vt:i4>5</vt:i4>
      </vt:variant>
      <vt:variant>
        <vt:lpwstr/>
      </vt:variant>
      <vt:variant>
        <vt:lpwstr>_Toc304800192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Paper Template 2011 November</dc:title>
  <dc:creator>Steven Blanc</dc:creator>
  <cp:lastModifiedBy>Jenny Roecks</cp:lastModifiedBy>
  <cp:revision>2</cp:revision>
  <cp:lastPrinted>2014-02-11T21:45:00Z</cp:lastPrinted>
  <dcterms:created xsi:type="dcterms:W3CDTF">2015-04-16T04:02:00Z</dcterms:created>
  <dcterms:modified xsi:type="dcterms:W3CDTF">2015-04-16T04:02:00Z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0x010100E20EA4F4CB40DD419C6CAF9467FB7C04</vt:lpwstr>
  </property>
</Properties>
</file>