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A41" w:rsidRPr="00500C4E" w:rsidRDefault="00A57D36" w:rsidP="00A57D36">
      <w:pPr>
        <w:pStyle w:val="WPnumber"/>
      </w:pPr>
      <w:bookmarkStart w:id="0" w:name="_Toc153189647"/>
      <w:bookmarkStart w:id="1" w:name="_Toc214003082"/>
      <w:r w:rsidRPr="00500C4E">
        <w:t xml:space="preserve">Work Paper </w:t>
      </w:r>
      <w:bookmarkStart w:id="2" w:name="_GoBack"/>
      <w:sdt>
        <w:sdtPr>
          <w:alias w:val="Title"/>
          <w:tag w:val=""/>
          <w:id w:val="650333005"/>
          <w:placeholder>
            <w:docPart w:val="8AF76D4BA89F40508BA1A114A8B4767F"/>
          </w:placeholder>
          <w:dataBinding w:prefixMappings="xmlns:ns0='http://purl.org/dc/elements/1.1/' xmlns:ns1='http://schemas.openxmlformats.org/package/2006/metadata/core-properties' " w:xpath="/ns1:coreProperties[1]/ns0:title[1]" w:storeItemID="{6C3C8BC8-F283-45AE-878A-BAB7291924A1}"/>
          <w:text/>
        </w:sdtPr>
        <w:sdtContent>
          <w:r w:rsidR="00CA7849" w:rsidRPr="00CA7849">
            <w:t>SCE13LG123</w:t>
          </w:r>
        </w:sdtContent>
      </w:sdt>
      <w:bookmarkEnd w:id="2"/>
    </w:p>
    <w:bookmarkEnd w:id="0"/>
    <w:p w:rsidR="00DA690B" w:rsidRPr="00500C4E" w:rsidRDefault="00AC15C8" w:rsidP="00A57D36">
      <w:pPr>
        <w:pStyle w:val="Revnumber"/>
        <w:rPr>
          <w:rStyle w:val="CaptionChar"/>
          <w:rFonts w:asciiTheme="minorHAnsi" w:hAnsiTheme="minorHAnsi" w:cstheme="minorHAnsi"/>
          <w:b/>
          <w:bCs w:val="0"/>
          <w:sz w:val="48"/>
          <w:szCs w:val="48"/>
        </w:rPr>
      </w:pPr>
      <w:sdt>
        <w:sdtPr>
          <w:rPr>
            <w:rStyle w:val="CaptionChar"/>
            <w:rFonts w:asciiTheme="minorHAnsi" w:hAnsiTheme="minorHAnsi" w:cstheme="minorHAnsi"/>
            <w:b/>
            <w:bCs w:val="0"/>
            <w:sz w:val="48"/>
            <w:szCs w:val="48"/>
          </w:rPr>
          <w:alias w:val="Revision"/>
          <w:tag w:val=""/>
          <w:id w:val="-1338455471"/>
          <w:placeholder>
            <w:docPart w:val="96BEE5C1219847A898CB0CD2E0B5BB49"/>
          </w:placeholder>
          <w:dataBinding w:prefixMappings="xmlns:ns0='http://purl.org/dc/elements/1.1/' xmlns:ns1='http://schemas.openxmlformats.org/package/2006/metadata/core-properties' " w:xpath="/ns1:coreProperties[1]/ns1:contentStatus[1]" w:storeItemID="{6C3C8BC8-F283-45AE-878A-BAB7291924A1}"/>
          <w:text/>
        </w:sdtPr>
        <w:sdtContent>
          <w:r w:rsidR="003F3A41" w:rsidRPr="00500C4E">
            <w:rPr>
              <w:rStyle w:val="CaptionChar"/>
              <w:rFonts w:asciiTheme="minorHAnsi" w:hAnsiTheme="minorHAnsi" w:cstheme="minorHAnsi"/>
              <w:b/>
              <w:bCs w:val="0"/>
              <w:sz w:val="48"/>
              <w:szCs w:val="48"/>
            </w:rPr>
            <w:t xml:space="preserve">Revision </w:t>
          </w:r>
          <w:r w:rsidR="00CA7849">
            <w:rPr>
              <w:rStyle w:val="CaptionChar"/>
              <w:rFonts w:asciiTheme="minorHAnsi" w:hAnsiTheme="minorHAnsi" w:cstheme="minorHAnsi"/>
              <w:b/>
              <w:bCs w:val="0"/>
              <w:sz w:val="48"/>
              <w:szCs w:val="48"/>
            </w:rPr>
            <w:t>0</w:t>
          </w:r>
        </w:sdtContent>
      </w:sdt>
    </w:p>
    <w:p w:rsidR="00285A0D" w:rsidRPr="00500C4E" w:rsidRDefault="00285A0D" w:rsidP="00DE5758">
      <w:pPr>
        <w:jc w:val="right"/>
        <w:rPr>
          <w:rFonts w:cstheme="minorHAnsi"/>
          <w:b/>
          <w:sz w:val="48"/>
          <w:szCs w:val="48"/>
        </w:rPr>
      </w:pPr>
    </w:p>
    <w:bookmarkStart w:id="3" w:name="SCE"/>
    <w:p w:rsidR="00DA690B" w:rsidRPr="00500C4E" w:rsidRDefault="00AC15C8" w:rsidP="00DA690B">
      <w:pPr>
        <w:pBdr>
          <w:bottom w:val="single" w:sz="4" w:space="1" w:color="auto"/>
        </w:pBdr>
        <w:rPr>
          <w:rFonts w:cstheme="minorHAnsi"/>
          <w:b/>
          <w:sz w:val="36"/>
          <w:szCs w:val="36"/>
        </w:rPr>
      </w:pPr>
      <w:sdt>
        <w:sdtPr>
          <w:rPr>
            <w:rFonts w:cstheme="minorHAnsi"/>
            <w:b/>
            <w:sz w:val="36"/>
            <w:szCs w:val="36"/>
          </w:rPr>
          <w:alias w:val="Company"/>
          <w:tag w:val=""/>
          <w:id w:val="1319073251"/>
          <w:placeholder>
            <w:docPart w:val="031487B9D5364842B3F71E059B0301DC"/>
          </w:placeholder>
          <w:dataBinding w:prefixMappings="xmlns:ns0='http://schemas.openxmlformats.org/officeDocument/2006/extended-properties' " w:xpath="/ns0:Properties[1]/ns0:Company[1]" w:storeItemID="{6668398D-A668-4E3E-A5EB-62B293D839F1}"/>
          <w:text/>
        </w:sdtPr>
        <w:sdtContent>
          <w:r w:rsidR="002950EC">
            <w:rPr>
              <w:rFonts w:cstheme="minorHAnsi"/>
              <w:b/>
              <w:sz w:val="36"/>
              <w:szCs w:val="36"/>
            </w:rPr>
            <w:t>Southern California Edison</w:t>
          </w:r>
        </w:sdtContent>
      </w:sdt>
      <w:bookmarkEnd w:id="3"/>
    </w:p>
    <w:p w:rsidR="00DA690B" w:rsidRPr="00500C4E" w:rsidRDefault="00DA690B" w:rsidP="00DA690B">
      <w:pPr>
        <w:rPr>
          <w:rFonts w:cstheme="minorHAnsi"/>
        </w:rPr>
      </w:pPr>
    </w:p>
    <w:p w:rsidR="00DA690B" w:rsidRPr="00500C4E" w:rsidRDefault="00DA690B" w:rsidP="00DA690B">
      <w:pPr>
        <w:rPr>
          <w:rFonts w:cstheme="minorHAnsi"/>
        </w:rPr>
      </w:pPr>
    </w:p>
    <w:p w:rsidR="00DA690B" w:rsidRPr="00500C4E" w:rsidRDefault="009D0753" w:rsidP="009D0753">
      <w:pPr>
        <w:tabs>
          <w:tab w:val="left" w:pos="8190"/>
        </w:tabs>
        <w:rPr>
          <w:rFonts w:cstheme="minorHAnsi"/>
        </w:rPr>
      </w:pPr>
      <w:r w:rsidRPr="00500C4E">
        <w:rPr>
          <w:rFonts w:cstheme="minorHAnsi"/>
        </w:rPr>
        <w:tab/>
      </w:r>
    </w:p>
    <w:p w:rsidR="00DA690B" w:rsidRPr="00500C4E" w:rsidRDefault="00DA690B" w:rsidP="00DA690B">
      <w:pPr>
        <w:rPr>
          <w:rFonts w:cstheme="minorHAnsi"/>
        </w:rPr>
      </w:pPr>
    </w:p>
    <w:p w:rsidR="00DA690B" w:rsidRPr="00500C4E" w:rsidRDefault="00DA690B" w:rsidP="00DA690B">
      <w:pPr>
        <w:rPr>
          <w:rFonts w:cstheme="minorHAnsi"/>
        </w:rPr>
      </w:pPr>
    </w:p>
    <w:p w:rsidR="00DA690B" w:rsidRPr="00500C4E" w:rsidRDefault="00DA690B" w:rsidP="00DA690B">
      <w:pPr>
        <w:rPr>
          <w:rFonts w:cstheme="minorHAnsi"/>
        </w:rPr>
      </w:pPr>
    </w:p>
    <w:p w:rsidR="00DA690B" w:rsidRPr="00500C4E" w:rsidRDefault="00DA690B" w:rsidP="00DA690B">
      <w:pPr>
        <w:rPr>
          <w:rFonts w:cstheme="minorHAnsi"/>
        </w:rPr>
      </w:pPr>
    </w:p>
    <w:p w:rsidR="00DA690B" w:rsidRPr="00500C4E" w:rsidRDefault="00DA690B" w:rsidP="00DA690B">
      <w:pPr>
        <w:rPr>
          <w:rFonts w:cstheme="minorHAnsi"/>
        </w:rPr>
      </w:pPr>
    </w:p>
    <w:p w:rsidR="00523736" w:rsidRPr="00500C4E" w:rsidRDefault="00EA232E" w:rsidP="00EA232E">
      <w:pPr>
        <w:pStyle w:val="Reminders"/>
        <w:rPr>
          <w:rFonts w:asciiTheme="minorHAnsi" w:hAnsiTheme="minorHAnsi" w:cstheme="minorHAnsi"/>
          <w:b/>
          <w:i w:val="0"/>
          <w:sz w:val="32"/>
          <w:szCs w:val="22"/>
        </w:rPr>
        <w:sectPr w:rsidR="00523736" w:rsidRPr="00500C4E">
          <w:footerReference w:type="default" r:id="rId10"/>
          <w:pgSz w:w="12240" w:h="15840"/>
          <w:pgMar w:top="1440" w:right="1440" w:bottom="1440" w:left="1440" w:header="720" w:footer="720" w:gutter="0"/>
          <w:cols w:space="720"/>
          <w:docGrid w:linePitch="360"/>
        </w:sectPr>
      </w:pPr>
      <w:r w:rsidRPr="00EA232E">
        <w:rPr>
          <w:rFonts w:asciiTheme="minorHAnsi" w:hAnsiTheme="minorHAnsi" w:cstheme="minorHAnsi"/>
          <w:b/>
          <w:i w:val="0"/>
          <w:color w:val="auto"/>
          <w:sz w:val="72"/>
          <w:szCs w:val="72"/>
        </w:rPr>
        <w:t xml:space="preserve">Interior LED Parking Garage </w:t>
      </w:r>
      <w:r w:rsidR="00E02853">
        <w:rPr>
          <w:rFonts w:asciiTheme="minorHAnsi" w:hAnsiTheme="minorHAnsi" w:cstheme="minorHAnsi"/>
          <w:b/>
          <w:i w:val="0"/>
          <w:color w:val="auto"/>
          <w:sz w:val="72"/>
          <w:szCs w:val="72"/>
        </w:rPr>
        <w:t>External Driver Lamp-Style Retrofit K</w:t>
      </w:r>
      <w:r w:rsidR="00E02853" w:rsidRPr="00E02853">
        <w:rPr>
          <w:rFonts w:asciiTheme="minorHAnsi" w:hAnsiTheme="minorHAnsi" w:cstheme="minorHAnsi"/>
          <w:b/>
          <w:i w:val="0"/>
          <w:color w:val="auto"/>
          <w:sz w:val="72"/>
          <w:szCs w:val="72"/>
        </w:rPr>
        <w:t>its (UL Type C)</w:t>
      </w:r>
    </w:p>
    <w:p w:rsidR="00290ED8" w:rsidRPr="00500C4E" w:rsidRDefault="00290ED8" w:rsidP="00AC5309">
      <w:pPr>
        <w:pStyle w:val="Heading1"/>
      </w:pPr>
      <w:bookmarkStart w:id="4" w:name="_Toc304800192"/>
      <w:bookmarkStart w:id="5" w:name="_Toc324318330"/>
      <w:bookmarkStart w:id="6" w:name="_Toc324340474"/>
      <w:bookmarkStart w:id="7" w:name="_Toc324433427"/>
      <w:r w:rsidRPr="00500C4E">
        <w:lastRenderedPageBreak/>
        <w:t>At-a-Glance Summary</w:t>
      </w:r>
      <w:bookmarkEnd w:id="4"/>
      <w:bookmarkEnd w:id="5"/>
      <w:bookmarkEnd w:id="6"/>
      <w:bookmarkEnd w:id="7"/>
    </w:p>
    <w:tbl>
      <w:tblPr>
        <w:tblStyle w:val="TableGrid1"/>
        <w:tblW w:w="5000" w:type="pct"/>
        <w:tblLook w:val="01E0" w:firstRow="1" w:lastRow="1" w:firstColumn="1" w:lastColumn="1" w:noHBand="0" w:noVBand="0"/>
      </w:tblPr>
      <w:tblGrid>
        <w:gridCol w:w="3591"/>
        <w:gridCol w:w="5985"/>
      </w:tblGrid>
      <w:tr w:rsidR="00AC5309" w:rsidRPr="00500C4E" w:rsidTr="00920905">
        <w:trPr>
          <w:trHeight w:val="465"/>
        </w:trPr>
        <w:tc>
          <w:tcPr>
            <w:tcW w:w="1875" w:type="pct"/>
          </w:tcPr>
          <w:p w:rsidR="00AC5309" w:rsidRPr="00920905" w:rsidRDefault="00AC5309">
            <w:pPr>
              <w:rPr>
                <w:rStyle w:val="Strong"/>
                <w:rFonts w:asciiTheme="minorHAnsi" w:hAnsiTheme="minorHAnsi"/>
                <w:b w:val="0"/>
                <w:sz w:val="20"/>
                <w:szCs w:val="20"/>
              </w:rPr>
            </w:pPr>
            <w:r w:rsidRPr="00500C4E">
              <w:rPr>
                <w:rStyle w:val="Strong"/>
                <w:rFonts w:asciiTheme="minorHAnsi" w:hAnsiTheme="minorHAnsi"/>
                <w:sz w:val="20"/>
                <w:szCs w:val="20"/>
              </w:rPr>
              <w:t>Measure Codes</w:t>
            </w:r>
          </w:p>
        </w:tc>
        <w:tc>
          <w:tcPr>
            <w:tcW w:w="3125" w:type="pct"/>
          </w:tcPr>
          <w:p w:rsidR="00202E78" w:rsidRPr="00BB060F" w:rsidRDefault="00202E78" w:rsidP="00202E78">
            <w:pPr>
              <w:rPr>
                <w:rFonts w:cs="Arial"/>
                <w:szCs w:val="20"/>
              </w:rPr>
            </w:pPr>
            <w:r w:rsidRPr="00BB060F">
              <w:rPr>
                <w:rFonts w:cs="Arial"/>
                <w:szCs w:val="20"/>
              </w:rPr>
              <w:t xml:space="preserve">SCE </w:t>
            </w:r>
          </w:p>
          <w:p w:rsidR="00202E78" w:rsidRPr="00BB060F" w:rsidRDefault="00202E78" w:rsidP="00202E78">
            <w:pPr>
              <w:pStyle w:val="ListParagraph"/>
              <w:numPr>
                <w:ilvl w:val="0"/>
                <w:numId w:val="7"/>
              </w:numPr>
              <w:rPr>
                <w:szCs w:val="20"/>
              </w:rPr>
            </w:pPr>
            <w:r w:rsidRPr="00BB060F">
              <w:rPr>
                <w:b/>
                <w:szCs w:val="20"/>
              </w:rPr>
              <w:t>LT- 12500:</w:t>
            </w:r>
            <w:r w:rsidRPr="00BB060F">
              <w:rPr>
                <w:szCs w:val="20"/>
              </w:rPr>
              <w:t xml:space="preserve"> Four foot 2-lamp LED External Driver Lamp-Style Retrofit Kit (UL Type C) fixture with bi-level control in day lit zone</w:t>
            </w:r>
          </w:p>
          <w:p w:rsidR="00202E78" w:rsidRPr="00BB060F" w:rsidRDefault="00202E78" w:rsidP="00202E78">
            <w:pPr>
              <w:pStyle w:val="ListParagraph"/>
              <w:numPr>
                <w:ilvl w:val="0"/>
                <w:numId w:val="7"/>
              </w:numPr>
              <w:rPr>
                <w:szCs w:val="20"/>
              </w:rPr>
            </w:pPr>
            <w:r w:rsidRPr="00BB060F">
              <w:rPr>
                <w:b/>
                <w:szCs w:val="20"/>
              </w:rPr>
              <w:t>LT-12501:</w:t>
            </w:r>
            <w:r w:rsidRPr="00BB060F">
              <w:rPr>
                <w:szCs w:val="20"/>
              </w:rPr>
              <w:t xml:space="preserve"> Four foot 2-lamp LED External Driver Lamp-Style Retrofit Kit (UL Type C) fixture with bi-level control in non-day</w:t>
            </w:r>
            <w:r w:rsidR="00E77E1A">
              <w:rPr>
                <w:szCs w:val="20"/>
              </w:rPr>
              <w:t xml:space="preserve"> </w:t>
            </w:r>
            <w:r w:rsidRPr="00BB060F">
              <w:rPr>
                <w:szCs w:val="20"/>
              </w:rPr>
              <w:t>lit zone</w:t>
            </w:r>
          </w:p>
          <w:p w:rsidR="00AC5309" w:rsidRPr="00500C4E" w:rsidRDefault="00AC5309" w:rsidP="00202E78">
            <w:pPr>
              <w:rPr>
                <w:rFonts w:cs="Arial"/>
                <w:bCs/>
                <w:color w:val="FF0000"/>
                <w:szCs w:val="20"/>
              </w:rPr>
            </w:pPr>
            <w:r w:rsidRPr="00CC321D">
              <w:rPr>
                <w:rFonts w:cs="Arial"/>
                <w:szCs w:val="20"/>
              </w:rPr>
              <w:t xml:space="preserve"> </w:t>
            </w:r>
          </w:p>
        </w:tc>
      </w:tr>
      <w:tr w:rsidR="00AC5309" w:rsidRPr="00500C4E" w:rsidTr="00920905">
        <w:trPr>
          <w:trHeight w:val="465"/>
        </w:trPr>
        <w:tc>
          <w:tcPr>
            <w:tcW w:w="1875" w:type="pct"/>
          </w:tcPr>
          <w:p w:rsidR="00290ED8" w:rsidRPr="00500C4E" w:rsidRDefault="00290ED8">
            <w:pPr>
              <w:rPr>
                <w:rStyle w:val="Strong"/>
                <w:rFonts w:asciiTheme="minorHAnsi" w:hAnsiTheme="minorHAnsi"/>
                <w:sz w:val="20"/>
                <w:szCs w:val="20"/>
              </w:rPr>
            </w:pPr>
            <w:r w:rsidRPr="00500C4E">
              <w:rPr>
                <w:rStyle w:val="Strong"/>
                <w:rFonts w:asciiTheme="minorHAnsi" w:hAnsiTheme="minorHAnsi"/>
                <w:sz w:val="20"/>
                <w:szCs w:val="20"/>
              </w:rPr>
              <w:t>Measure</w:t>
            </w:r>
            <w:r w:rsidR="001D3223" w:rsidRPr="00500C4E">
              <w:rPr>
                <w:rStyle w:val="Strong"/>
                <w:rFonts w:asciiTheme="minorHAnsi" w:hAnsiTheme="minorHAnsi"/>
                <w:sz w:val="20"/>
                <w:szCs w:val="20"/>
              </w:rPr>
              <w:t xml:space="preserve"> </w:t>
            </w:r>
            <w:r w:rsidRPr="00500C4E">
              <w:rPr>
                <w:rStyle w:val="Strong"/>
                <w:rFonts w:asciiTheme="minorHAnsi" w:hAnsiTheme="minorHAnsi"/>
                <w:sz w:val="20"/>
                <w:szCs w:val="20"/>
              </w:rPr>
              <w:t>Description</w:t>
            </w:r>
          </w:p>
        </w:tc>
        <w:tc>
          <w:tcPr>
            <w:tcW w:w="3125" w:type="pct"/>
          </w:tcPr>
          <w:p w:rsidR="0076388F" w:rsidRDefault="0076388F" w:rsidP="00202E78">
            <w:pPr>
              <w:pStyle w:val="ListParagraph"/>
              <w:numPr>
                <w:ilvl w:val="0"/>
                <w:numId w:val="17"/>
              </w:numPr>
              <w:rPr>
                <w:szCs w:val="20"/>
              </w:rPr>
            </w:pPr>
            <w:r w:rsidRPr="00356AF3">
              <w:rPr>
                <w:szCs w:val="20"/>
              </w:rPr>
              <w:t>Four foot 2-lamp LED External Driver Lamp-Style Retrofit Kit (UL Type C) fixture</w:t>
            </w:r>
            <w:r>
              <w:rPr>
                <w:szCs w:val="20"/>
              </w:rPr>
              <w:t xml:space="preserve"> with bi-level control in </w:t>
            </w:r>
            <w:r w:rsidR="00540EA9">
              <w:rPr>
                <w:szCs w:val="20"/>
              </w:rPr>
              <w:t>day</w:t>
            </w:r>
            <w:r w:rsidR="00051A38">
              <w:rPr>
                <w:szCs w:val="20"/>
              </w:rPr>
              <w:t xml:space="preserve"> </w:t>
            </w:r>
            <w:r w:rsidR="00540EA9">
              <w:rPr>
                <w:szCs w:val="20"/>
              </w:rPr>
              <w:t>lit</w:t>
            </w:r>
            <w:r>
              <w:rPr>
                <w:szCs w:val="20"/>
              </w:rPr>
              <w:t xml:space="preserve"> zone</w:t>
            </w:r>
          </w:p>
          <w:p w:rsidR="00290ED8" w:rsidRPr="0076388F" w:rsidRDefault="0076388F" w:rsidP="00202E78">
            <w:pPr>
              <w:pStyle w:val="ListParagraph"/>
              <w:numPr>
                <w:ilvl w:val="0"/>
                <w:numId w:val="17"/>
              </w:numPr>
              <w:rPr>
                <w:szCs w:val="20"/>
              </w:rPr>
            </w:pPr>
            <w:r w:rsidRPr="0076388F">
              <w:rPr>
                <w:szCs w:val="20"/>
              </w:rPr>
              <w:t>Four foot 2-lamp LED External Driver Lamp-Style Retrofit Kit (UL Type C) fixture with bi-level control in non-</w:t>
            </w:r>
            <w:r w:rsidR="00540EA9" w:rsidRPr="0076388F">
              <w:rPr>
                <w:szCs w:val="20"/>
              </w:rPr>
              <w:t>daylit</w:t>
            </w:r>
            <w:r w:rsidRPr="0076388F">
              <w:rPr>
                <w:szCs w:val="20"/>
              </w:rPr>
              <w:t xml:space="preserve"> zone</w:t>
            </w:r>
          </w:p>
        </w:tc>
      </w:tr>
      <w:tr w:rsidR="00AC5309" w:rsidRPr="00500C4E" w:rsidTr="00920905">
        <w:trPr>
          <w:trHeight w:val="465"/>
        </w:trPr>
        <w:tc>
          <w:tcPr>
            <w:tcW w:w="1875" w:type="pct"/>
          </w:tcPr>
          <w:p w:rsidR="00290ED8" w:rsidRPr="00500C4E" w:rsidRDefault="00290ED8">
            <w:pPr>
              <w:rPr>
                <w:rStyle w:val="Strong"/>
                <w:rFonts w:asciiTheme="minorHAnsi" w:hAnsiTheme="minorHAnsi"/>
                <w:sz w:val="20"/>
                <w:szCs w:val="20"/>
              </w:rPr>
            </w:pPr>
            <w:r w:rsidRPr="00500C4E">
              <w:rPr>
                <w:rStyle w:val="Strong"/>
                <w:rFonts w:asciiTheme="minorHAnsi" w:hAnsiTheme="minorHAnsi"/>
                <w:sz w:val="20"/>
                <w:szCs w:val="20"/>
              </w:rPr>
              <w:t>Base Case Description</w:t>
            </w:r>
          </w:p>
        </w:tc>
        <w:tc>
          <w:tcPr>
            <w:tcW w:w="3125" w:type="pct"/>
          </w:tcPr>
          <w:p w:rsidR="0076388F" w:rsidRPr="0076388F" w:rsidRDefault="0076388F" w:rsidP="00DD2BB9">
            <w:pPr>
              <w:pStyle w:val="ListParagraph"/>
              <w:numPr>
                <w:ilvl w:val="0"/>
                <w:numId w:val="8"/>
              </w:numPr>
              <w:rPr>
                <w:i/>
                <w:szCs w:val="20"/>
              </w:rPr>
            </w:pPr>
            <w:r w:rsidRPr="00356AF3">
              <w:rPr>
                <w:szCs w:val="20"/>
              </w:rPr>
              <w:t>Four foot 2-lamp 2</w:t>
            </w:r>
            <w:r w:rsidRPr="00356AF3">
              <w:rPr>
                <w:szCs w:val="20"/>
                <w:vertAlign w:val="superscript"/>
              </w:rPr>
              <w:t>nd</w:t>
            </w:r>
            <w:r w:rsidRPr="00356AF3">
              <w:rPr>
                <w:szCs w:val="20"/>
              </w:rPr>
              <w:t xml:space="preserve"> generation normal light output (NLO) F32T8 Linear Fluorescent fixture</w:t>
            </w:r>
            <w:r>
              <w:rPr>
                <w:szCs w:val="20"/>
              </w:rPr>
              <w:t xml:space="preserve"> with bi-level control in </w:t>
            </w:r>
            <w:r w:rsidR="00540EA9">
              <w:rPr>
                <w:szCs w:val="20"/>
              </w:rPr>
              <w:t>daylit</w:t>
            </w:r>
            <w:r>
              <w:rPr>
                <w:szCs w:val="20"/>
              </w:rPr>
              <w:t xml:space="preserve"> zone</w:t>
            </w:r>
          </w:p>
          <w:p w:rsidR="00290ED8" w:rsidRPr="0076388F" w:rsidRDefault="0076388F" w:rsidP="00DD2BB9">
            <w:pPr>
              <w:pStyle w:val="ListParagraph"/>
              <w:numPr>
                <w:ilvl w:val="0"/>
                <w:numId w:val="8"/>
              </w:numPr>
              <w:rPr>
                <w:i/>
                <w:szCs w:val="20"/>
              </w:rPr>
            </w:pPr>
            <w:r w:rsidRPr="0076388F">
              <w:rPr>
                <w:szCs w:val="20"/>
              </w:rPr>
              <w:t>Four foot 2-lamp 2</w:t>
            </w:r>
            <w:r w:rsidRPr="0076388F">
              <w:rPr>
                <w:szCs w:val="20"/>
                <w:vertAlign w:val="superscript"/>
              </w:rPr>
              <w:t>nd</w:t>
            </w:r>
            <w:r w:rsidRPr="0076388F">
              <w:rPr>
                <w:szCs w:val="20"/>
              </w:rPr>
              <w:t xml:space="preserve"> generation normal light output (NLO) F32T8 Linear Fluorescent fixture with bi-level control in non-</w:t>
            </w:r>
            <w:r w:rsidR="00540EA9" w:rsidRPr="0076388F">
              <w:rPr>
                <w:szCs w:val="20"/>
              </w:rPr>
              <w:t>daylit</w:t>
            </w:r>
            <w:r w:rsidRPr="0076388F">
              <w:rPr>
                <w:szCs w:val="20"/>
              </w:rPr>
              <w:t xml:space="preserve"> zone</w:t>
            </w:r>
          </w:p>
        </w:tc>
      </w:tr>
      <w:tr w:rsidR="00D36798" w:rsidRPr="00500C4E" w:rsidTr="00920905">
        <w:trPr>
          <w:trHeight w:val="465"/>
        </w:trPr>
        <w:tc>
          <w:tcPr>
            <w:tcW w:w="1875" w:type="pct"/>
          </w:tcPr>
          <w:p w:rsidR="00D36798" w:rsidRPr="00500C4E" w:rsidRDefault="00B4065F">
            <w:pPr>
              <w:rPr>
                <w:rStyle w:val="Strong"/>
                <w:rFonts w:asciiTheme="minorHAnsi" w:hAnsiTheme="minorHAnsi"/>
                <w:sz w:val="20"/>
                <w:szCs w:val="20"/>
              </w:rPr>
            </w:pPr>
            <w:r w:rsidRPr="00500C4E">
              <w:rPr>
                <w:rStyle w:val="Strong"/>
                <w:rFonts w:asciiTheme="minorHAnsi" w:hAnsiTheme="minorHAnsi"/>
                <w:sz w:val="20"/>
                <w:szCs w:val="20"/>
              </w:rPr>
              <w:t>Units</w:t>
            </w:r>
          </w:p>
        </w:tc>
        <w:tc>
          <w:tcPr>
            <w:tcW w:w="3125" w:type="pct"/>
          </w:tcPr>
          <w:p w:rsidR="00D36798" w:rsidRPr="00500C4E" w:rsidRDefault="003534CB">
            <w:pPr>
              <w:rPr>
                <w:rFonts w:cs="Arial"/>
                <w:color w:val="FF0000"/>
                <w:szCs w:val="20"/>
              </w:rPr>
            </w:pPr>
            <w:r w:rsidRPr="0076388F">
              <w:rPr>
                <w:rFonts w:cs="Arial"/>
                <w:szCs w:val="20"/>
              </w:rPr>
              <w:t>Fixture</w:t>
            </w:r>
          </w:p>
        </w:tc>
      </w:tr>
      <w:tr w:rsidR="00290ED8" w:rsidRPr="00500C4E" w:rsidTr="00920905">
        <w:trPr>
          <w:trHeight w:val="465"/>
        </w:trPr>
        <w:tc>
          <w:tcPr>
            <w:tcW w:w="1875" w:type="pct"/>
          </w:tcPr>
          <w:p w:rsidR="00290ED8" w:rsidRPr="00920905" w:rsidRDefault="001C1338">
            <w:pPr>
              <w:rPr>
                <w:rStyle w:val="Strong1"/>
                <w:szCs w:val="20"/>
              </w:rPr>
            </w:pPr>
            <w:r w:rsidRPr="00500C4E">
              <w:rPr>
                <w:rStyle w:val="Strong"/>
                <w:rFonts w:asciiTheme="minorHAnsi" w:hAnsiTheme="minorHAnsi"/>
                <w:sz w:val="20"/>
                <w:szCs w:val="20"/>
              </w:rPr>
              <w:t>Energy Savings</w:t>
            </w:r>
          </w:p>
        </w:tc>
        <w:tc>
          <w:tcPr>
            <w:tcW w:w="3125" w:type="pct"/>
          </w:tcPr>
          <w:p w:rsidR="008F2B17" w:rsidRPr="00BB060F" w:rsidRDefault="008F2B17">
            <w:pPr>
              <w:rPr>
                <w:rFonts w:cs="Arial"/>
                <w:szCs w:val="20"/>
              </w:rPr>
            </w:pPr>
            <w:r w:rsidRPr="00BB060F">
              <w:rPr>
                <w:rFonts w:cs="Arial"/>
                <w:b/>
                <w:szCs w:val="20"/>
              </w:rPr>
              <w:t>Non-Day Lit Zones:</w:t>
            </w:r>
            <w:r w:rsidRPr="00BB060F">
              <w:rPr>
                <w:rFonts w:cs="Arial"/>
                <w:szCs w:val="20"/>
              </w:rPr>
              <w:t xml:space="preserve"> 103 kWh</w:t>
            </w:r>
          </w:p>
          <w:p w:rsidR="008F2B17" w:rsidRPr="00500C4E" w:rsidRDefault="008F2B17">
            <w:pPr>
              <w:rPr>
                <w:rFonts w:cs="Arial"/>
                <w:szCs w:val="20"/>
              </w:rPr>
            </w:pPr>
            <w:r w:rsidRPr="00BB060F">
              <w:rPr>
                <w:rFonts w:cs="Arial"/>
                <w:b/>
                <w:szCs w:val="20"/>
              </w:rPr>
              <w:t>Day Lit Zones:</w:t>
            </w:r>
            <w:r w:rsidRPr="00BB060F">
              <w:rPr>
                <w:rFonts w:cs="Arial"/>
                <w:szCs w:val="20"/>
              </w:rPr>
              <w:t xml:space="preserve"> 46 kWh</w:t>
            </w:r>
          </w:p>
        </w:tc>
      </w:tr>
      <w:tr w:rsidR="00512295" w:rsidRPr="00500C4E" w:rsidTr="00920905">
        <w:trPr>
          <w:trHeight w:val="465"/>
        </w:trPr>
        <w:tc>
          <w:tcPr>
            <w:tcW w:w="1875" w:type="pct"/>
          </w:tcPr>
          <w:p w:rsidR="00512295" w:rsidRPr="00500C4E" w:rsidRDefault="00512295">
            <w:pPr>
              <w:rPr>
                <w:rStyle w:val="Strong"/>
                <w:rFonts w:asciiTheme="minorHAnsi" w:hAnsiTheme="minorHAnsi"/>
                <w:sz w:val="20"/>
                <w:szCs w:val="20"/>
              </w:rPr>
            </w:pPr>
            <w:r>
              <w:rPr>
                <w:rStyle w:val="Strong"/>
                <w:rFonts w:asciiTheme="minorHAnsi" w:hAnsiTheme="minorHAnsi"/>
                <w:sz w:val="20"/>
                <w:szCs w:val="20"/>
              </w:rPr>
              <w:t>Peak Demand Reduction</w:t>
            </w:r>
          </w:p>
        </w:tc>
        <w:tc>
          <w:tcPr>
            <w:tcW w:w="3125" w:type="pct"/>
          </w:tcPr>
          <w:p w:rsidR="00512295" w:rsidRPr="00BB060F" w:rsidRDefault="00512295" w:rsidP="00512295">
            <w:pPr>
              <w:rPr>
                <w:rFonts w:cs="Arial"/>
                <w:szCs w:val="20"/>
              </w:rPr>
            </w:pPr>
            <w:r w:rsidRPr="00BB060F">
              <w:rPr>
                <w:rFonts w:cs="Arial"/>
                <w:b/>
                <w:szCs w:val="20"/>
              </w:rPr>
              <w:t>Non-Day Lit Zones:</w:t>
            </w:r>
            <w:r w:rsidRPr="00BB060F">
              <w:rPr>
                <w:rFonts w:cs="Arial"/>
                <w:szCs w:val="20"/>
              </w:rPr>
              <w:t xml:space="preserve"> </w:t>
            </w:r>
            <w:r>
              <w:rPr>
                <w:rFonts w:cs="Arial"/>
                <w:szCs w:val="20"/>
              </w:rPr>
              <w:t>0.01377 kW</w:t>
            </w:r>
          </w:p>
          <w:p w:rsidR="00512295" w:rsidRPr="00BB060F" w:rsidRDefault="00512295" w:rsidP="00512295">
            <w:pPr>
              <w:rPr>
                <w:rFonts w:cs="Arial"/>
                <w:b/>
                <w:szCs w:val="20"/>
              </w:rPr>
            </w:pPr>
            <w:r w:rsidRPr="00BB060F">
              <w:rPr>
                <w:rFonts w:cs="Arial"/>
                <w:b/>
                <w:szCs w:val="20"/>
              </w:rPr>
              <w:t>Day Lit Zones:</w:t>
            </w:r>
            <w:r w:rsidRPr="00BB060F">
              <w:rPr>
                <w:rFonts w:cs="Arial"/>
                <w:szCs w:val="20"/>
              </w:rPr>
              <w:t xml:space="preserve"> </w:t>
            </w:r>
            <w:r>
              <w:rPr>
                <w:rFonts w:cs="Arial"/>
                <w:szCs w:val="20"/>
              </w:rPr>
              <w:t>0 kW</w:t>
            </w:r>
          </w:p>
        </w:tc>
      </w:tr>
      <w:tr w:rsidR="00290ED8" w:rsidRPr="00500C4E" w:rsidTr="00920905">
        <w:trPr>
          <w:trHeight w:val="465"/>
        </w:trPr>
        <w:tc>
          <w:tcPr>
            <w:tcW w:w="1875" w:type="pct"/>
          </w:tcPr>
          <w:p w:rsidR="00290ED8" w:rsidRPr="00500C4E" w:rsidRDefault="002469DD">
            <w:pPr>
              <w:rPr>
                <w:rStyle w:val="Strong"/>
                <w:rFonts w:asciiTheme="minorHAnsi" w:hAnsiTheme="minorHAnsi"/>
                <w:sz w:val="20"/>
                <w:szCs w:val="20"/>
              </w:rPr>
            </w:pPr>
            <w:r>
              <w:rPr>
                <w:rStyle w:val="Strong"/>
                <w:rFonts w:asciiTheme="minorHAnsi" w:hAnsiTheme="minorHAnsi"/>
                <w:sz w:val="20"/>
                <w:szCs w:val="20"/>
              </w:rPr>
              <w:t>Full</w:t>
            </w:r>
            <w:r w:rsidRPr="00500C4E">
              <w:rPr>
                <w:rStyle w:val="Strong"/>
                <w:rFonts w:asciiTheme="minorHAnsi" w:hAnsiTheme="minorHAnsi"/>
                <w:sz w:val="20"/>
                <w:szCs w:val="20"/>
              </w:rPr>
              <w:t xml:space="preserve"> </w:t>
            </w:r>
            <w:r w:rsidR="00290ED8" w:rsidRPr="00500C4E">
              <w:rPr>
                <w:rStyle w:val="Strong"/>
                <w:rFonts w:asciiTheme="minorHAnsi" w:hAnsiTheme="minorHAnsi"/>
                <w:sz w:val="20"/>
                <w:szCs w:val="20"/>
              </w:rPr>
              <w:t>Measure Cost ($/unit)</w:t>
            </w:r>
          </w:p>
        </w:tc>
        <w:tc>
          <w:tcPr>
            <w:tcW w:w="3125" w:type="pct"/>
          </w:tcPr>
          <w:p w:rsidR="00290ED8" w:rsidRPr="00500C4E" w:rsidRDefault="008F2B17" w:rsidP="00AC2F5B">
            <w:pPr>
              <w:rPr>
                <w:rFonts w:cs="Arial"/>
                <w:szCs w:val="20"/>
              </w:rPr>
            </w:pPr>
            <w:r>
              <w:rPr>
                <w:rFonts w:cs="Arial"/>
                <w:szCs w:val="20"/>
              </w:rPr>
              <w:t>Same as IMC</w:t>
            </w:r>
          </w:p>
        </w:tc>
      </w:tr>
      <w:tr w:rsidR="00AC5309" w:rsidRPr="00500C4E" w:rsidTr="00920905">
        <w:trPr>
          <w:trHeight w:val="465"/>
        </w:trPr>
        <w:tc>
          <w:tcPr>
            <w:tcW w:w="1875" w:type="pct"/>
          </w:tcPr>
          <w:p w:rsidR="00290ED8" w:rsidRPr="00500C4E" w:rsidRDefault="00290ED8">
            <w:pPr>
              <w:rPr>
                <w:rStyle w:val="Strong"/>
                <w:rFonts w:asciiTheme="minorHAnsi" w:hAnsiTheme="minorHAnsi"/>
                <w:sz w:val="20"/>
                <w:szCs w:val="20"/>
              </w:rPr>
            </w:pPr>
            <w:r w:rsidRPr="00500C4E">
              <w:rPr>
                <w:rStyle w:val="Strong"/>
                <w:rFonts w:asciiTheme="minorHAnsi" w:hAnsiTheme="minorHAnsi"/>
                <w:sz w:val="20"/>
                <w:szCs w:val="20"/>
              </w:rPr>
              <w:t xml:space="preserve">Incremental </w:t>
            </w:r>
            <w:r w:rsidR="00BE0AEB" w:rsidRPr="00500C4E">
              <w:rPr>
                <w:rStyle w:val="Strong"/>
                <w:rFonts w:asciiTheme="minorHAnsi" w:hAnsiTheme="minorHAnsi"/>
                <w:sz w:val="20"/>
                <w:szCs w:val="20"/>
              </w:rPr>
              <w:t xml:space="preserve">Measure </w:t>
            </w:r>
            <w:r w:rsidRPr="00500C4E">
              <w:rPr>
                <w:rStyle w:val="Strong"/>
                <w:rFonts w:asciiTheme="minorHAnsi" w:hAnsiTheme="minorHAnsi"/>
                <w:sz w:val="20"/>
                <w:szCs w:val="20"/>
              </w:rPr>
              <w:t>Cost ($/unit)</w:t>
            </w:r>
          </w:p>
        </w:tc>
        <w:tc>
          <w:tcPr>
            <w:tcW w:w="3125" w:type="pct"/>
          </w:tcPr>
          <w:p w:rsidR="00290ED8" w:rsidRPr="00500C4E" w:rsidRDefault="008F2B17" w:rsidP="00E77E1A">
            <w:pPr>
              <w:rPr>
                <w:rFonts w:cs="Arial"/>
                <w:szCs w:val="20"/>
              </w:rPr>
            </w:pPr>
            <w:r w:rsidRPr="00E77E1A">
              <w:rPr>
                <w:rFonts w:cs="Arial"/>
                <w:szCs w:val="20"/>
              </w:rPr>
              <w:t>$</w:t>
            </w:r>
            <w:r w:rsidR="00E77E1A" w:rsidRPr="00E77E1A">
              <w:rPr>
                <w:rFonts w:cs="Arial"/>
                <w:szCs w:val="20"/>
              </w:rPr>
              <w:t>89.76</w:t>
            </w:r>
            <w:r w:rsidRPr="00E77E1A">
              <w:rPr>
                <w:rFonts w:cs="Arial"/>
                <w:szCs w:val="20"/>
              </w:rPr>
              <w:t xml:space="preserve"> per fixture</w:t>
            </w:r>
          </w:p>
        </w:tc>
      </w:tr>
      <w:tr w:rsidR="00290ED8" w:rsidRPr="00500C4E" w:rsidTr="00920905">
        <w:trPr>
          <w:trHeight w:val="465"/>
        </w:trPr>
        <w:tc>
          <w:tcPr>
            <w:tcW w:w="1875" w:type="pct"/>
          </w:tcPr>
          <w:p w:rsidR="00290ED8" w:rsidRPr="00500C4E" w:rsidRDefault="00B4065F">
            <w:pPr>
              <w:rPr>
                <w:rStyle w:val="Strong"/>
                <w:rFonts w:asciiTheme="minorHAnsi" w:hAnsiTheme="minorHAnsi"/>
                <w:sz w:val="20"/>
                <w:szCs w:val="20"/>
              </w:rPr>
            </w:pPr>
            <w:r w:rsidRPr="00500C4E">
              <w:rPr>
                <w:rStyle w:val="Strong"/>
                <w:rFonts w:asciiTheme="minorHAnsi" w:hAnsiTheme="minorHAnsi"/>
                <w:sz w:val="20"/>
                <w:szCs w:val="20"/>
              </w:rPr>
              <w:t>Effective Useful Life</w:t>
            </w:r>
          </w:p>
        </w:tc>
        <w:tc>
          <w:tcPr>
            <w:tcW w:w="3125" w:type="pct"/>
          </w:tcPr>
          <w:p w:rsidR="00051A38" w:rsidRDefault="008F2B17" w:rsidP="00051A38">
            <w:pPr>
              <w:rPr>
                <w:b/>
                <w:szCs w:val="20"/>
              </w:rPr>
            </w:pPr>
            <w:r w:rsidRPr="0076388F">
              <w:rPr>
                <w:rFonts w:cs="Arial"/>
                <w:b/>
                <w:szCs w:val="20"/>
              </w:rPr>
              <w:t>Non-Dayl</w:t>
            </w:r>
            <w:r w:rsidR="00051A38">
              <w:rPr>
                <w:rFonts w:cs="Arial"/>
                <w:b/>
                <w:szCs w:val="20"/>
              </w:rPr>
              <w:t>i</w:t>
            </w:r>
            <w:r w:rsidRPr="0076388F">
              <w:rPr>
                <w:rFonts w:cs="Arial"/>
                <w:b/>
                <w:szCs w:val="20"/>
              </w:rPr>
              <w:t>t Zones:</w:t>
            </w:r>
            <w:r w:rsidRPr="0076388F">
              <w:rPr>
                <w:rFonts w:cs="Arial"/>
                <w:szCs w:val="20"/>
              </w:rPr>
              <w:t xml:space="preserve"> Need New EUL ID from EAR team 8.3 years</w:t>
            </w:r>
            <w:r w:rsidRPr="0076388F">
              <w:rPr>
                <w:b/>
                <w:szCs w:val="20"/>
              </w:rPr>
              <w:t xml:space="preserve"> </w:t>
            </w:r>
          </w:p>
          <w:p w:rsidR="00290ED8" w:rsidRPr="00500C4E" w:rsidRDefault="00540EA9" w:rsidP="00051A38">
            <w:pPr>
              <w:rPr>
                <w:rFonts w:cs="Arial"/>
                <w:color w:val="FF0000"/>
                <w:szCs w:val="20"/>
              </w:rPr>
            </w:pPr>
            <w:r w:rsidRPr="0076388F">
              <w:rPr>
                <w:b/>
                <w:szCs w:val="20"/>
              </w:rPr>
              <w:t>Daylit</w:t>
            </w:r>
            <w:r w:rsidR="0076388F" w:rsidRPr="0076388F">
              <w:rPr>
                <w:b/>
                <w:szCs w:val="20"/>
              </w:rPr>
              <w:t xml:space="preserve"> Zones:</w:t>
            </w:r>
            <w:r w:rsidR="0076388F" w:rsidRPr="0076388F">
              <w:rPr>
                <w:szCs w:val="20"/>
              </w:rPr>
              <w:t xml:space="preserve"> ILtg-Lfluor-fix</w:t>
            </w:r>
            <w:r w:rsidR="0076388F" w:rsidRPr="0076388F">
              <w:rPr>
                <w:rFonts w:cs="Arial"/>
                <w:szCs w:val="20"/>
              </w:rPr>
              <w:t>: 16 years</w:t>
            </w:r>
          </w:p>
        </w:tc>
      </w:tr>
      <w:tr w:rsidR="00AC5309" w:rsidRPr="00500C4E" w:rsidTr="00920905">
        <w:trPr>
          <w:trHeight w:val="465"/>
        </w:trPr>
        <w:tc>
          <w:tcPr>
            <w:tcW w:w="1875" w:type="pct"/>
          </w:tcPr>
          <w:p w:rsidR="00290ED8" w:rsidRPr="00500C4E" w:rsidRDefault="00290ED8">
            <w:pPr>
              <w:rPr>
                <w:rStyle w:val="Strong"/>
                <w:rFonts w:asciiTheme="minorHAnsi" w:hAnsiTheme="minorHAnsi"/>
                <w:sz w:val="20"/>
                <w:szCs w:val="20"/>
              </w:rPr>
            </w:pPr>
            <w:r w:rsidRPr="00500C4E">
              <w:rPr>
                <w:rStyle w:val="Strong"/>
                <w:rFonts w:asciiTheme="minorHAnsi" w:hAnsiTheme="minorHAnsi"/>
                <w:sz w:val="20"/>
                <w:szCs w:val="20"/>
              </w:rPr>
              <w:t xml:space="preserve">Measure </w:t>
            </w:r>
            <w:r w:rsidR="00AE0A8D" w:rsidRPr="00500C4E">
              <w:rPr>
                <w:rStyle w:val="Strong"/>
                <w:rFonts w:asciiTheme="minorHAnsi" w:hAnsiTheme="minorHAnsi"/>
                <w:sz w:val="20"/>
                <w:szCs w:val="20"/>
              </w:rPr>
              <w:t>Installation</w:t>
            </w:r>
            <w:r w:rsidRPr="00500C4E">
              <w:rPr>
                <w:rStyle w:val="Strong"/>
                <w:rFonts w:asciiTheme="minorHAnsi" w:hAnsiTheme="minorHAnsi"/>
                <w:sz w:val="20"/>
                <w:szCs w:val="20"/>
              </w:rPr>
              <w:t xml:space="preserve"> Type</w:t>
            </w:r>
          </w:p>
        </w:tc>
        <w:tc>
          <w:tcPr>
            <w:tcW w:w="3125" w:type="pct"/>
          </w:tcPr>
          <w:p w:rsidR="00290ED8" w:rsidRPr="0076388F" w:rsidRDefault="001C1338" w:rsidP="003534CB">
            <w:pPr>
              <w:rPr>
                <w:rFonts w:cs="Arial"/>
                <w:szCs w:val="20"/>
              </w:rPr>
            </w:pPr>
            <w:r w:rsidRPr="0076388F">
              <w:rPr>
                <w:szCs w:val="20"/>
              </w:rPr>
              <w:t>Replace on Burnout (ROB)</w:t>
            </w:r>
          </w:p>
        </w:tc>
      </w:tr>
      <w:tr w:rsidR="00290ED8" w:rsidRPr="00500C4E" w:rsidTr="00920905">
        <w:trPr>
          <w:trHeight w:val="465"/>
        </w:trPr>
        <w:tc>
          <w:tcPr>
            <w:tcW w:w="1875" w:type="pct"/>
          </w:tcPr>
          <w:p w:rsidR="00290ED8" w:rsidRPr="00500C4E" w:rsidRDefault="001C1338">
            <w:pPr>
              <w:rPr>
                <w:rStyle w:val="Strong"/>
                <w:rFonts w:asciiTheme="minorHAnsi" w:hAnsiTheme="minorHAnsi"/>
                <w:sz w:val="20"/>
                <w:szCs w:val="20"/>
              </w:rPr>
            </w:pPr>
            <w:r w:rsidRPr="00500C4E">
              <w:rPr>
                <w:rStyle w:val="Strong"/>
                <w:rFonts w:asciiTheme="minorHAnsi" w:hAnsiTheme="minorHAnsi"/>
                <w:sz w:val="20"/>
                <w:szCs w:val="20"/>
              </w:rPr>
              <w:t>Net-to-Gross Ratio</w:t>
            </w:r>
          </w:p>
        </w:tc>
        <w:tc>
          <w:tcPr>
            <w:tcW w:w="3125" w:type="pct"/>
          </w:tcPr>
          <w:p w:rsidR="00290ED8" w:rsidRPr="0076388F" w:rsidRDefault="003534CB">
            <w:pPr>
              <w:rPr>
                <w:rFonts w:cs="Arial"/>
                <w:szCs w:val="20"/>
              </w:rPr>
            </w:pPr>
            <w:r w:rsidRPr="0076388F">
              <w:rPr>
                <w:rFonts w:cs="Arial"/>
                <w:szCs w:val="20"/>
              </w:rPr>
              <w:t>All-Default&lt;=2yrsSource</w:t>
            </w:r>
            <w:r w:rsidR="0076388F">
              <w:rPr>
                <w:rFonts w:cs="Arial"/>
                <w:szCs w:val="20"/>
              </w:rPr>
              <w:t xml:space="preserve">: </w:t>
            </w:r>
            <w:r w:rsidR="0076388F" w:rsidRPr="0076388F">
              <w:rPr>
                <w:rFonts w:cs="Arial"/>
                <w:szCs w:val="20"/>
              </w:rPr>
              <w:t>0.70</w:t>
            </w:r>
          </w:p>
        </w:tc>
      </w:tr>
      <w:tr w:rsidR="00290ED8" w:rsidRPr="00500C4E" w:rsidTr="00920905">
        <w:trPr>
          <w:trHeight w:val="465"/>
        </w:trPr>
        <w:tc>
          <w:tcPr>
            <w:tcW w:w="1875" w:type="pct"/>
          </w:tcPr>
          <w:p w:rsidR="00290ED8" w:rsidRPr="00500C4E" w:rsidRDefault="00290ED8">
            <w:pPr>
              <w:rPr>
                <w:rStyle w:val="Strong"/>
                <w:rFonts w:asciiTheme="minorHAnsi" w:hAnsiTheme="minorHAnsi"/>
                <w:sz w:val="20"/>
                <w:szCs w:val="20"/>
              </w:rPr>
            </w:pPr>
            <w:r w:rsidRPr="00500C4E">
              <w:rPr>
                <w:rStyle w:val="Strong"/>
                <w:rFonts w:asciiTheme="minorHAnsi" w:hAnsiTheme="minorHAnsi"/>
                <w:sz w:val="20"/>
                <w:szCs w:val="20"/>
              </w:rPr>
              <w:t>Important Comments</w:t>
            </w:r>
          </w:p>
        </w:tc>
        <w:tc>
          <w:tcPr>
            <w:tcW w:w="3125" w:type="pct"/>
          </w:tcPr>
          <w:p w:rsidR="00061A8E" w:rsidRPr="00920905" w:rsidRDefault="00BE0AEB">
            <w:pPr>
              <w:rPr>
                <w:rFonts w:cs="Arial"/>
                <w:szCs w:val="20"/>
              </w:rPr>
            </w:pPr>
            <w:r>
              <w:rPr>
                <w:rFonts w:cs="Arial"/>
                <w:szCs w:val="20"/>
              </w:rPr>
              <w:t xml:space="preserve">This work paper has a complementary </w:t>
            </w:r>
            <w:r w:rsidR="00A84127" w:rsidRPr="00920905">
              <w:rPr>
                <w:rFonts w:cs="Arial"/>
                <w:szCs w:val="20"/>
              </w:rPr>
              <w:t>Ex Ante Data</w:t>
            </w:r>
            <w:r w:rsidR="00317EB0" w:rsidRPr="00920905">
              <w:rPr>
                <w:rFonts w:cs="Arial"/>
                <w:szCs w:val="20"/>
              </w:rPr>
              <w:t>base</w:t>
            </w:r>
            <w:r w:rsidR="00A84127" w:rsidRPr="00920905">
              <w:rPr>
                <w:rFonts w:cs="Arial"/>
                <w:szCs w:val="20"/>
              </w:rPr>
              <w:t xml:space="preserve"> </w:t>
            </w:r>
            <w:r w:rsidR="00A6687F" w:rsidRPr="00920905">
              <w:rPr>
                <w:rFonts w:cs="Arial"/>
                <w:szCs w:val="20"/>
              </w:rPr>
              <w:t>data</w:t>
            </w:r>
            <w:r>
              <w:rPr>
                <w:rFonts w:cs="Arial"/>
                <w:szCs w:val="20"/>
              </w:rPr>
              <w:t xml:space="preserve"> set</w:t>
            </w:r>
            <w:r w:rsidR="00A6687F" w:rsidRPr="00920905">
              <w:rPr>
                <w:rFonts w:cs="Arial"/>
                <w:szCs w:val="20"/>
              </w:rPr>
              <w:t xml:space="preserve"> that will be </w:t>
            </w:r>
            <w:r w:rsidR="001B2301" w:rsidRPr="00920905">
              <w:rPr>
                <w:rFonts w:cs="Arial"/>
                <w:szCs w:val="20"/>
              </w:rPr>
              <w:t xml:space="preserve">provided </w:t>
            </w:r>
            <w:r w:rsidR="00A6687F" w:rsidRPr="00920905">
              <w:rPr>
                <w:rFonts w:cs="Arial"/>
                <w:szCs w:val="20"/>
              </w:rPr>
              <w:t>in a separate submission to the California Public Utilities Commission (CPUC)</w:t>
            </w:r>
            <w:r w:rsidR="00A84127" w:rsidRPr="00920905">
              <w:rPr>
                <w:rFonts w:cs="Arial"/>
                <w:szCs w:val="20"/>
              </w:rPr>
              <w:t>.</w:t>
            </w:r>
          </w:p>
        </w:tc>
      </w:tr>
    </w:tbl>
    <w:p w:rsidR="00AC5309" w:rsidRPr="00500C4E" w:rsidRDefault="00AC5309">
      <w:pPr>
        <w:spacing w:after="200" w:line="276" w:lineRule="auto"/>
        <w:rPr>
          <w:rFonts w:cstheme="minorHAnsi"/>
          <w:b/>
          <w:bCs/>
          <w:smallCaps/>
          <w:kern w:val="32"/>
          <w:sz w:val="36"/>
          <w:szCs w:val="32"/>
        </w:rPr>
      </w:pPr>
    </w:p>
    <w:p w:rsidR="00AC5309" w:rsidRPr="00500C4E" w:rsidRDefault="00AC5309">
      <w:pPr>
        <w:spacing w:after="200" w:line="276" w:lineRule="auto"/>
        <w:rPr>
          <w:rFonts w:cstheme="minorHAnsi"/>
          <w:b/>
          <w:bCs/>
          <w:smallCaps/>
          <w:kern w:val="32"/>
          <w:sz w:val="36"/>
          <w:szCs w:val="32"/>
        </w:rPr>
      </w:pPr>
      <w:r w:rsidRPr="00500C4E">
        <w:rPr>
          <w:rFonts w:cstheme="minorHAnsi"/>
          <w:b/>
          <w:bCs/>
          <w:smallCaps/>
          <w:kern w:val="32"/>
          <w:sz w:val="36"/>
          <w:szCs w:val="32"/>
        </w:rPr>
        <w:br w:type="page"/>
      </w:r>
    </w:p>
    <w:p w:rsidR="0088361D" w:rsidRPr="00500C4E" w:rsidRDefault="00EB34FC" w:rsidP="00C959CA">
      <w:pPr>
        <w:pStyle w:val="Heading1"/>
      </w:pPr>
      <w:r w:rsidRPr="00500C4E">
        <w:lastRenderedPageBreak/>
        <w:t>Revision History</w:t>
      </w:r>
    </w:p>
    <w:tbl>
      <w:tblPr>
        <w:tblStyle w:val="TableGrid1"/>
        <w:tblW w:w="5000" w:type="pct"/>
        <w:tblLook w:val="01E0" w:firstRow="1" w:lastRow="1" w:firstColumn="1" w:lastColumn="1" w:noHBand="0" w:noVBand="0"/>
      </w:tblPr>
      <w:tblGrid>
        <w:gridCol w:w="524"/>
        <w:gridCol w:w="1081"/>
        <w:gridCol w:w="1373"/>
        <w:gridCol w:w="6598"/>
      </w:tblGrid>
      <w:tr w:rsidR="003845E5" w:rsidRPr="00500C4E" w:rsidTr="00FC44C8">
        <w:trPr>
          <w:trHeight w:val="20"/>
        </w:trPr>
        <w:tc>
          <w:tcPr>
            <w:tcW w:w="274" w:type="pct"/>
            <w:shd w:val="clear" w:color="auto" w:fill="D9D9D9" w:themeFill="background1" w:themeFillShade="D9"/>
          </w:tcPr>
          <w:p w:rsidR="00933188" w:rsidRPr="00500C4E" w:rsidRDefault="003845E5" w:rsidP="003845E5">
            <w:pPr>
              <w:rPr>
                <w:rFonts w:cstheme="minorHAnsi"/>
                <w:b/>
                <w:bCs/>
                <w:szCs w:val="20"/>
              </w:rPr>
            </w:pPr>
            <w:r>
              <w:rPr>
                <w:rFonts w:cstheme="minorHAnsi"/>
                <w:b/>
                <w:szCs w:val="20"/>
              </w:rPr>
              <w:t>Rev</w:t>
            </w:r>
          </w:p>
        </w:tc>
        <w:tc>
          <w:tcPr>
            <w:tcW w:w="564" w:type="pct"/>
            <w:shd w:val="clear" w:color="auto" w:fill="D9D9D9" w:themeFill="background1" w:themeFillShade="D9"/>
          </w:tcPr>
          <w:p w:rsidR="00933188" w:rsidRPr="00500C4E" w:rsidRDefault="00933188" w:rsidP="005729C8">
            <w:pPr>
              <w:rPr>
                <w:rFonts w:cstheme="minorHAnsi"/>
                <w:b/>
                <w:bCs/>
                <w:szCs w:val="20"/>
              </w:rPr>
            </w:pPr>
            <w:r w:rsidRPr="00920905">
              <w:rPr>
                <w:rFonts w:cstheme="minorHAnsi"/>
                <w:b/>
                <w:szCs w:val="20"/>
              </w:rPr>
              <w:t>Date</w:t>
            </w:r>
          </w:p>
        </w:tc>
        <w:tc>
          <w:tcPr>
            <w:tcW w:w="717" w:type="pct"/>
            <w:shd w:val="clear" w:color="auto" w:fill="D9D9D9" w:themeFill="background1" w:themeFillShade="D9"/>
          </w:tcPr>
          <w:p w:rsidR="00933188" w:rsidRPr="00500C4E" w:rsidRDefault="003845E5" w:rsidP="003845E5">
            <w:pPr>
              <w:rPr>
                <w:rFonts w:cstheme="minorHAnsi"/>
                <w:b/>
                <w:bCs/>
                <w:szCs w:val="20"/>
              </w:rPr>
            </w:pPr>
            <w:r>
              <w:rPr>
                <w:rFonts w:cstheme="minorHAnsi"/>
                <w:b/>
                <w:szCs w:val="20"/>
              </w:rPr>
              <w:t>Author</w:t>
            </w:r>
          </w:p>
        </w:tc>
        <w:tc>
          <w:tcPr>
            <w:tcW w:w="3445" w:type="pct"/>
            <w:shd w:val="clear" w:color="auto" w:fill="D9D9D9" w:themeFill="background1" w:themeFillShade="D9"/>
          </w:tcPr>
          <w:p w:rsidR="00933188" w:rsidRPr="00500C4E" w:rsidRDefault="00933188" w:rsidP="005729C8">
            <w:pPr>
              <w:rPr>
                <w:rFonts w:cstheme="minorHAnsi"/>
                <w:b/>
                <w:bCs/>
                <w:szCs w:val="20"/>
              </w:rPr>
            </w:pPr>
            <w:r w:rsidRPr="00920905">
              <w:rPr>
                <w:rFonts w:cstheme="minorHAnsi"/>
                <w:b/>
                <w:szCs w:val="20"/>
              </w:rPr>
              <w:t>Summary of Changes</w:t>
            </w:r>
          </w:p>
        </w:tc>
      </w:tr>
      <w:tr w:rsidR="003845E5" w:rsidRPr="00500C4E" w:rsidTr="00FC44C8">
        <w:trPr>
          <w:trHeight w:val="20"/>
        </w:trPr>
        <w:tc>
          <w:tcPr>
            <w:tcW w:w="274" w:type="pct"/>
          </w:tcPr>
          <w:p w:rsidR="00933188" w:rsidRPr="0076388F" w:rsidRDefault="00933188" w:rsidP="005729C8">
            <w:pPr>
              <w:rPr>
                <w:rFonts w:cstheme="minorHAnsi"/>
                <w:szCs w:val="20"/>
              </w:rPr>
            </w:pPr>
            <w:r w:rsidRPr="0076388F">
              <w:rPr>
                <w:rFonts w:cstheme="minorHAnsi"/>
                <w:szCs w:val="20"/>
              </w:rPr>
              <w:t>0</w:t>
            </w:r>
          </w:p>
        </w:tc>
        <w:tc>
          <w:tcPr>
            <w:tcW w:w="564" w:type="pct"/>
          </w:tcPr>
          <w:p w:rsidR="00933188" w:rsidRPr="0076388F" w:rsidRDefault="00FC44C8" w:rsidP="00BB060F">
            <w:pPr>
              <w:rPr>
                <w:rFonts w:cstheme="minorHAnsi"/>
                <w:szCs w:val="20"/>
              </w:rPr>
            </w:pPr>
            <w:r w:rsidRPr="0076388F">
              <w:rPr>
                <w:rFonts w:cstheme="minorHAnsi"/>
                <w:szCs w:val="20"/>
              </w:rPr>
              <w:t>7</w:t>
            </w:r>
            <w:r w:rsidR="00933188" w:rsidRPr="0076388F">
              <w:rPr>
                <w:rFonts w:cstheme="minorHAnsi"/>
                <w:szCs w:val="20"/>
              </w:rPr>
              <w:t>/</w:t>
            </w:r>
            <w:r w:rsidR="00BB060F">
              <w:rPr>
                <w:rFonts w:cstheme="minorHAnsi"/>
                <w:szCs w:val="20"/>
              </w:rPr>
              <w:t>26</w:t>
            </w:r>
            <w:r w:rsidRPr="0076388F">
              <w:rPr>
                <w:rFonts w:cstheme="minorHAnsi"/>
                <w:szCs w:val="20"/>
              </w:rPr>
              <w:t>/2016</w:t>
            </w:r>
          </w:p>
        </w:tc>
        <w:tc>
          <w:tcPr>
            <w:tcW w:w="717" w:type="pct"/>
          </w:tcPr>
          <w:p w:rsidR="00933188" w:rsidRPr="0076388F" w:rsidRDefault="00FC44C8" w:rsidP="001B2301">
            <w:pPr>
              <w:rPr>
                <w:rFonts w:cstheme="minorHAnsi"/>
                <w:szCs w:val="20"/>
              </w:rPr>
            </w:pPr>
            <w:r w:rsidRPr="0076388F">
              <w:rPr>
                <w:rFonts w:cstheme="minorHAnsi"/>
                <w:szCs w:val="20"/>
              </w:rPr>
              <w:t>RMS Energy Consulting, LLC</w:t>
            </w:r>
          </w:p>
        </w:tc>
        <w:tc>
          <w:tcPr>
            <w:tcW w:w="3445" w:type="pct"/>
          </w:tcPr>
          <w:p w:rsidR="0036726C" w:rsidRPr="0076388F" w:rsidRDefault="00933188" w:rsidP="00FC44C8">
            <w:pPr>
              <w:pStyle w:val="NoSpacing"/>
            </w:pPr>
            <w:r w:rsidRPr="0076388F">
              <w:rPr>
                <w:rFonts w:eastAsiaTheme="minorHAnsi" w:cstheme="minorBidi"/>
                <w:szCs w:val="22"/>
              </w:rPr>
              <w:t>N</w:t>
            </w:r>
            <w:r w:rsidR="00FC44C8" w:rsidRPr="0076388F">
              <w:rPr>
                <w:rFonts w:eastAsiaTheme="minorHAnsi" w:cstheme="minorBidi"/>
                <w:szCs w:val="22"/>
              </w:rPr>
              <w:t xml:space="preserve">ew Workpaper </w:t>
            </w:r>
          </w:p>
        </w:tc>
      </w:tr>
    </w:tbl>
    <w:p w:rsidR="00E325BE" w:rsidRDefault="00800706" w:rsidP="00E325BE">
      <w:pPr>
        <w:pStyle w:val="Heading1"/>
      </w:pPr>
      <w:r>
        <w:t xml:space="preserve">Commission Staff </w:t>
      </w:r>
      <w:r w:rsidR="000C687D">
        <w:t>and Cal TF</w:t>
      </w:r>
      <w:r>
        <w:t xml:space="preserve"> Comment</w:t>
      </w:r>
      <w:r w:rsidR="001E1320">
        <w:t>s</w:t>
      </w:r>
    </w:p>
    <w:tbl>
      <w:tblPr>
        <w:tblStyle w:val="TableGrid1"/>
        <w:tblW w:w="5000" w:type="pct"/>
        <w:tblLook w:val="01E0" w:firstRow="1" w:lastRow="1" w:firstColumn="1" w:lastColumn="1" w:noHBand="0" w:noVBand="0"/>
      </w:tblPr>
      <w:tblGrid>
        <w:gridCol w:w="524"/>
        <w:gridCol w:w="658"/>
        <w:gridCol w:w="1081"/>
        <w:gridCol w:w="1081"/>
        <w:gridCol w:w="3116"/>
        <w:gridCol w:w="3116"/>
      </w:tblGrid>
      <w:tr w:rsidR="008877AF" w:rsidRPr="00500C4E" w:rsidTr="00BA5FE4">
        <w:trPr>
          <w:trHeight w:val="20"/>
        </w:trPr>
        <w:tc>
          <w:tcPr>
            <w:tcW w:w="280" w:type="pct"/>
            <w:shd w:val="clear" w:color="auto" w:fill="D9D9D9" w:themeFill="background1" w:themeFillShade="D9"/>
          </w:tcPr>
          <w:p w:rsidR="008877AF" w:rsidRPr="00090AC9" w:rsidRDefault="008877AF" w:rsidP="00EE4120">
            <w:pPr>
              <w:rPr>
                <w:b/>
                <w:bCs/>
                <w:szCs w:val="20"/>
              </w:rPr>
            </w:pPr>
            <w:r>
              <w:rPr>
                <w:b/>
                <w:szCs w:val="20"/>
              </w:rPr>
              <w:t>Rev</w:t>
            </w:r>
          </w:p>
        </w:tc>
        <w:tc>
          <w:tcPr>
            <w:tcW w:w="351" w:type="pct"/>
            <w:shd w:val="clear" w:color="auto" w:fill="D9D9D9" w:themeFill="background1" w:themeFillShade="D9"/>
          </w:tcPr>
          <w:p w:rsidR="008877AF" w:rsidRPr="00090AC9" w:rsidRDefault="008877AF" w:rsidP="00EE4120">
            <w:pPr>
              <w:rPr>
                <w:b/>
                <w:szCs w:val="20"/>
              </w:rPr>
            </w:pPr>
            <w:r>
              <w:rPr>
                <w:b/>
                <w:szCs w:val="20"/>
              </w:rPr>
              <w:t>Party</w:t>
            </w:r>
          </w:p>
        </w:tc>
        <w:tc>
          <w:tcPr>
            <w:tcW w:w="548" w:type="pct"/>
            <w:shd w:val="clear" w:color="auto" w:fill="D9D9D9" w:themeFill="background1" w:themeFillShade="D9"/>
          </w:tcPr>
          <w:p w:rsidR="008877AF" w:rsidRPr="00090AC9" w:rsidRDefault="008877AF" w:rsidP="00847A4E">
            <w:pPr>
              <w:rPr>
                <w:b/>
                <w:bCs/>
                <w:szCs w:val="20"/>
              </w:rPr>
            </w:pPr>
            <w:r>
              <w:rPr>
                <w:b/>
                <w:szCs w:val="20"/>
              </w:rPr>
              <w:t>Submittal Date</w:t>
            </w:r>
          </w:p>
        </w:tc>
        <w:tc>
          <w:tcPr>
            <w:tcW w:w="552" w:type="pct"/>
            <w:shd w:val="clear" w:color="auto" w:fill="D9D9D9" w:themeFill="background1" w:themeFillShade="D9"/>
          </w:tcPr>
          <w:p w:rsidR="008877AF" w:rsidRPr="00090AC9" w:rsidRDefault="008877AF" w:rsidP="00847A4E">
            <w:pPr>
              <w:rPr>
                <w:b/>
                <w:bCs/>
                <w:szCs w:val="20"/>
              </w:rPr>
            </w:pPr>
            <w:r>
              <w:rPr>
                <w:b/>
                <w:szCs w:val="20"/>
              </w:rPr>
              <w:t>Comment Date</w:t>
            </w:r>
          </w:p>
        </w:tc>
        <w:tc>
          <w:tcPr>
            <w:tcW w:w="1634" w:type="pct"/>
            <w:shd w:val="clear" w:color="auto" w:fill="D9D9D9" w:themeFill="background1" w:themeFillShade="D9"/>
          </w:tcPr>
          <w:p w:rsidR="008877AF" w:rsidRPr="00090AC9" w:rsidRDefault="008877AF" w:rsidP="00CA7849">
            <w:pPr>
              <w:rPr>
                <w:b/>
                <w:bCs/>
                <w:szCs w:val="20"/>
              </w:rPr>
            </w:pPr>
            <w:r w:rsidRPr="00090AC9">
              <w:rPr>
                <w:b/>
                <w:szCs w:val="20"/>
              </w:rPr>
              <w:t>Comments</w:t>
            </w:r>
          </w:p>
        </w:tc>
        <w:tc>
          <w:tcPr>
            <w:tcW w:w="1634" w:type="pct"/>
            <w:shd w:val="clear" w:color="auto" w:fill="D9D9D9" w:themeFill="background1" w:themeFillShade="D9"/>
          </w:tcPr>
          <w:p w:rsidR="008877AF" w:rsidRPr="00090AC9" w:rsidRDefault="008877AF" w:rsidP="00CA7849">
            <w:pPr>
              <w:rPr>
                <w:b/>
                <w:szCs w:val="20"/>
              </w:rPr>
            </w:pPr>
            <w:r>
              <w:rPr>
                <w:b/>
                <w:szCs w:val="20"/>
              </w:rPr>
              <w:t>WP Developer Response</w:t>
            </w:r>
          </w:p>
        </w:tc>
      </w:tr>
      <w:tr w:rsidR="008877AF" w:rsidRPr="00500C4E" w:rsidTr="00CC321D">
        <w:trPr>
          <w:trHeight w:val="20"/>
        </w:trPr>
        <w:tc>
          <w:tcPr>
            <w:tcW w:w="280" w:type="pct"/>
            <w:vAlign w:val="center"/>
          </w:tcPr>
          <w:p w:rsidR="008877AF" w:rsidRPr="00CC321D" w:rsidRDefault="008877AF" w:rsidP="00CC321D">
            <w:pPr>
              <w:jc w:val="center"/>
              <w:rPr>
                <w:bCs/>
              </w:rPr>
            </w:pPr>
            <w:r w:rsidRPr="00CC321D">
              <w:rPr>
                <w:bCs/>
              </w:rPr>
              <w:t>0</w:t>
            </w:r>
          </w:p>
        </w:tc>
        <w:tc>
          <w:tcPr>
            <w:tcW w:w="351" w:type="pct"/>
            <w:vAlign w:val="center"/>
          </w:tcPr>
          <w:p w:rsidR="008877AF" w:rsidRPr="00CC321D" w:rsidRDefault="008877AF" w:rsidP="00CC321D">
            <w:pPr>
              <w:jc w:val="center"/>
              <w:rPr>
                <w:bCs/>
                <w:szCs w:val="20"/>
              </w:rPr>
            </w:pPr>
            <w:r w:rsidRPr="00CC321D">
              <w:rPr>
                <w:bCs/>
                <w:szCs w:val="20"/>
              </w:rPr>
              <w:t>CS</w:t>
            </w:r>
          </w:p>
        </w:tc>
        <w:tc>
          <w:tcPr>
            <w:tcW w:w="548" w:type="pct"/>
            <w:vAlign w:val="center"/>
          </w:tcPr>
          <w:p w:rsidR="008877AF" w:rsidRPr="00CC321D" w:rsidRDefault="008877AF" w:rsidP="00CC321D">
            <w:pPr>
              <w:jc w:val="center"/>
              <w:rPr>
                <w:bCs/>
                <w:szCs w:val="20"/>
              </w:rPr>
            </w:pPr>
            <w:r w:rsidRPr="00CC321D">
              <w:rPr>
                <w:bCs/>
                <w:szCs w:val="20"/>
              </w:rPr>
              <w:t>6/2</w:t>
            </w:r>
            <w:r w:rsidR="00CC321D">
              <w:rPr>
                <w:bCs/>
                <w:szCs w:val="20"/>
              </w:rPr>
              <w:t>0</w:t>
            </w:r>
            <w:r w:rsidRPr="00CC321D">
              <w:rPr>
                <w:bCs/>
                <w:szCs w:val="20"/>
              </w:rPr>
              <w:t>/</w:t>
            </w:r>
            <w:r w:rsidR="00CC321D">
              <w:rPr>
                <w:bCs/>
                <w:szCs w:val="20"/>
              </w:rPr>
              <w:t>2016</w:t>
            </w:r>
          </w:p>
        </w:tc>
        <w:tc>
          <w:tcPr>
            <w:tcW w:w="552" w:type="pct"/>
            <w:vAlign w:val="center"/>
          </w:tcPr>
          <w:p w:rsidR="008877AF" w:rsidRPr="00CC321D" w:rsidRDefault="00CC321D" w:rsidP="008F5FA0">
            <w:pPr>
              <w:jc w:val="center"/>
              <w:rPr>
                <w:bCs/>
                <w:szCs w:val="20"/>
              </w:rPr>
            </w:pPr>
            <w:r>
              <w:rPr>
                <w:bCs/>
                <w:szCs w:val="20"/>
              </w:rPr>
              <w:t>7/</w:t>
            </w:r>
            <w:r w:rsidR="008F5FA0">
              <w:rPr>
                <w:bCs/>
                <w:szCs w:val="20"/>
              </w:rPr>
              <w:t>26</w:t>
            </w:r>
            <w:r w:rsidR="008877AF" w:rsidRPr="00CC321D">
              <w:rPr>
                <w:bCs/>
                <w:szCs w:val="20"/>
              </w:rPr>
              <w:t>/</w:t>
            </w:r>
            <w:r>
              <w:rPr>
                <w:bCs/>
                <w:szCs w:val="20"/>
              </w:rPr>
              <w:t>2016</w:t>
            </w:r>
          </w:p>
        </w:tc>
        <w:bookmarkStart w:id="8" w:name="_MON_1531012310"/>
        <w:bookmarkEnd w:id="8"/>
        <w:tc>
          <w:tcPr>
            <w:tcW w:w="1634" w:type="pct"/>
          </w:tcPr>
          <w:p w:rsidR="008877AF" w:rsidRDefault="008F5FA0" w:rsidP="001D0196">
            <w:pPr>
              <w:jc w:val="center"/>
              <w:rPr>
                <w:bCs/>
                <w:color w:val="FF0000"/>
                <w:szCs w:val="20"/>
              </w:rPr>
            </w:pPr>
            <w:r>
              <w:rPr>
                <w:bCs/>
                <w:color w:val="FF0000"/>
                <w:szCs w:val="20"/>
              </w:rPr>
              <w:object w:dxaOrig="1547" w:dyaOrig="1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pt;height:50.1pt" o:ole="">
                  <v:imagedata r:id="rId11" o:title=""/>
                </v:shape>
                <o:OLEObject Type="Embed" ProgID="Word.Document.12" ShapeID="_x0000_i1025" DrawAspect="Icon" ObjectID="_1531025174" r:id="rId12">
                  <o:FieldCodes>\s</o:FieldCodes>
                </o:OLEObject>
              </w:object>
            </w:r>
          </w:p>
          <w:bookmarkStart w:id="9" w:name="_MON_1531012346"/>
          <w:bookmarkEnd w:id="9"/>
          <w:p w:rsidR="002475A1" w:rsidRPr="00FC44C8" w:rsidRDefault="008F5FA0" w:rsidP="001D0196">
            <w:pPr>
              <w:jc w:val="center"/>
              <w:rPr>
                <w:bCs/>
                <w:color w:val="FF0000"/>
                <w:szCs w:val="20"/>
              </w:rPr>
            </w:pPr>
            <w:r>
              <w:rPr>
                <w:bCs/>
                <w:color w:val="FF0000"/>
                <w:szCs w:val="20"/>
              </w:rPr>
              <w:object w:dxaOrig="1547" w:dyaOrig="1003">
                <v:shape id="_x0000_i1026" type="#_x0000_t75" style="width:77.2pt;height:50.1pt" o:ole="">
                  <v:imagedata r:id="rId13" o:title=""/>
                </v:shape>
                <o:OLEObject Type="Embed" ProgID="Word.Document.12" ShapeID="_x0000_i1026" DrawAspect="Icon" ObjectID="_1531025175" r:id="rId14">
                  <o:FieldCodes>\s</o:FieldCodes>
                </o:OLEObject>
              </w:object>
            </w:r>
          </w:p>
        </w:tc>
        <w:bookmarkStart w:id="10" w:name="_MON_1531018808"/>
        <w:bookmarkEnd w:id="10"/>
        <w:tc>
          <w:tcPr>
            <w:tcW w:w="1634" w:type="pct"/>
          </w:tcPr>
          <w:p w:rsidR="008877AF" w:rsidRPr="001D0196" w:rsidRDefault="006E7642" w:rsidP="008F5FA0">
            <w:pPr>
              <w:jc w:val="center"/>
              <w:rPr>
                <w:bCs/>
                <w:color w:val="FF0000"/>
                <w:szCs w:val="20"/>
              </w:rPr>
            </w:pPr>
            <w:r>
              <w:rPr>
                <w:bCs/>
                <w:color w:val="FF0000"/>
                <w:szCs w:val="20"/>
              </w:rPr>
              <w:object w:dxaOrig="1547" w:dyaOrig="1003">
                <v:shape id="_x0000_i1029" type="#_x0000_t75" style="width:77.2pt;height:50.1pt" o:ole="">
                  <v:imagedata r:id="rId15" o:title=""/>
                </v:shape>
                <o:OLEObject Type="Embed" ProgID="Word.Document.12" ShapeID="_x0000_i1029" DrawAspect="Icon" ObjectID="_1531025176" r:id="rId16">
                  <o:FieldCodes>\s</o:FieldCodes>
                </o:OLEObject>
              </w:object>
            </w:r>
          </w:p>
        </w:tc>
      </w:tr>
      <w:tr w:rsidR="008877AF" w:rsidRPr="00500C4E" w:rsidTr="00CC321D">
        <w:trPr>
          <w:trHeight w:val="20"/>
        </w:trPr>
        <w:tc>
          <w:tcPr>
            <w:tcW w:w="280" w:type="pct"/>
            <w:vAlign w:val="center"/>
          </w:tcPr>
          <w:p w:rsidR="008877AF" w:rsidRPr="00CC321D" w:rsidRDefault="008877AF" w:rsidP="00CC321D">
            <w:pPr>
              <w:jc w:val="center"/>
            </w:pPr>
            <w:r w:rsidRPr="00CC321D">
              <w:t>0</w:t>
            </w:r>
          </w:p>
        </w:tc>
        <w:tc>
          <w:tcPr>
            <w:tcW w:w="351" w:type="pct"/>
            <w:vAlign w:val="center"/>
          </w:tcPr>
          <w:p w:rsidR="008877AF" w:rsidRPr="00CC321D" w:rsidRDefault="008877AF" w:rsidP="00CC321D">
            <w:pPr>
              <w:autoSpaceDE w:val="0"/>
              <w:autoSpaceDN w:val="0"/>
              <w:adjustRightInd w:val="0"/>
              <w:jc w:val="center"/>
              <w:rPr>
                <w:szCs w:val="20"/>
              </w:rPr>
            </w:pPr>
            <w:r w:rsidRPr="00CC321D">
              <w:rPr>
                <w:szCs w:val="20"/>
              </w:rPr>
              <w:t>Cal TF</w:t>
            </w:r>
          </w:p>
        </w:tc>
        <w:tc>
          <w:tcPr>
            <w:tcW w:w="548" w:type="pct"/>
            <w:vAlign w:val="center"/>
          </w:tcPr>
          <w:p w:rsidR="008877AF" w:rsidRPr="00CC321D" w:rsidRDefault="00CC321D" w:rsidP="00CC321D">
            <w:pPr>
              <w:autoSpaceDE w:val="0"/>
              <w:autoSpaceDN w:val="0"/>
              <w:adjustRightInd w:val="0"/>
              <w:jc w:val="center"/>
              <w:rPr>
                <w:szCs w:val="20"/>
              </w:rPr>
            </w:pPr>
            <w:r>
              <w:rPr>
                <w:bCs/>
                <w:szCs w:val="20"/>
              </w:rPr>
              <w:t>5/2</w:t>
            </w:r>
            <w:r w:rsidR="00FC44C8" w:rsidRPr="00CC321D">
              <w:rPr>
                <w:bCs/>
                <w:szCs w:val="20"/>
              </w:rPr>
              <w:t>6/2016</w:t>
            </w:r>
          </w:p>
        </w:tc>
        <w:tc>
          <w:tcPr>
            <w:tcW w:w="552" w:type="pct"/>
            <w:vAlign w:val="center"/>
          </w:tcPr>
          <w:p w:rsidR="008877AF" w:rsidRPr="00CC321D" w:rsidRDefault="00CC321D" w:rsidP="008F5FA0">
            <w:pPr>
              <w:jc w:val="center"/>
              <w:rPr>
                <w:szCs w:val="20"/>
              </w:rPr>
            </w:pPr>
            <w:r>
              <w:rPr>
                <w:szCs w:val="20"/>
              </w:rPr>
              <w:t>7/</w:t>
            </w:r>
            <w:r w:rsidR="008F5FA0">
              <w:rPr>
                <w:szCs w:val="20"/>
              </w:rPr>
              <w:t>26</w:t>
            </w:r>
            <w:r w:rsidR="00FC44C8" w:rsidRPr="00CC321D">
              <w:rPr>
                <w:szCs w:val="20"/>
              </w:rPr>
              <w:t>/2016</w:t>
            </w:r>
          </w:p>
        </w:tc>
        <w:bookmarkStart w:id="11" w:name="_MON_1531012382"/>
        <w:bookmarkEnd w:id="11"/>
        <w:tc>
          <w:tcPr>
            <w:tcW w:w="1634" w:type="pct"/>
          </w:tcPr>
          <w:p w:rsidR="008877AF" w:rsidRPr="00FC44C8" w:rsidRDefault="008F5FA0" w:rsidP="004B0444">
            <w:pPr>
              <w:jc w:val="center"/>
              <w:rPr>
                <w:bCs/>
                <w:color w:val="FF0000"/>
                <w:szCs w:val="20"/>
              </w:rPr>
            </w:pPr>
            <w:r>
              <w:rPr>
                <w:bCs/>
                <w:color w:val="FF0000"/>
                <w:szCs w:val="20"/>
              </w:rPr>
              <w:object w:dxaOrig="1547" w:dyaOrig="1003">
                <v:shape id="_x0000_i1027" type="#_x0000_t75" style="width:77.2pt;height:50.1pt" o:ole="">
                  <v:imagedata r:id="rId17" o:title=""/>
                </v:shape>
                <o:OLEObject Type="Embed" ProgID="Word.Document.12" ShapeID="_x0000_i1027" DrawAspect="Icon" ObjectID="_1531025177" r:id="rId18">
                  <o:FieldCodes>\s</o:FieldCodes>
                </o:OLEObject>
              </w:object>
            </w:r>
          </w:p>
        </w:tc>
        <w:bookmarkStart w:id="12" w:name="_MON_1531012429"/>
        <w:bookmarkEnd w:id="12"/>
        <w:tc>
          <w:tcPr>
            <w:tcW w:w="1634" w:type="pct"/>
          </w:tcPr>
          <w:p w:rsidR="008877AF" w:rsidRPr="00F25B36" w:rsidRDefault="008F5FA0" w:rsidP="008F5FA0">
            <w:pPr>
              <w:pStyle w:val="ListParagraph"/>
              <w:ind w:left="360"/>
              <w:jc w:val="center"/>
              <w:rPr>
                <w:bCs/>
                <w:color w:val="FF0000"/>
                <w:szCs w:val="20"/>
              </w:rPr>
            </w:pPr>
            <w:r>
              <w:rPr>
                <w:bCs/>
                <w:color w:val="FF0000"/>
                <w:szCs w:val="20"/>
              </w:rPr>
              <w:object w:dxaOrig="1547" w:dyaOrig="1003">
                <v:shape id="_x0000_i1028" type="#_x0000_t75" style="width:77.2pt;height:50.1pt" o:ole="">
                  <v:imagedata r:id="rId19" o:title=""/>
                </v:shape>
                <o:OLEObject Type="Embed" ProgID="Word.Document.12" ShapeID="_x0000_i1028" DrawAspect="Icon" ObjectID="_1531025178" r:id="rId20">
                  <o:FieldCodes>\s</o:FieldCodes>
                </o:OLEObject>
              </w:object>
            </w:r>
          </w:p>
        </w:tc>
      </w:tr>
      <w:tr w:rsidR="008877AF" w:rsidRPr="00500C4E" w:rsidTr="00BA5FE4">
        <w:trPr>
          <w:trHeight w:val="20"/>
        </w:trPr>
        <w:tc>
          <w:tcPr>
            <w:tcW w:w="280" w:type="pct"/>
          </w:tcPr>
          <w:p w:rsidR="008877AF" w:rsidRPr="002A1843" w:rsidRDefault="008877AF" w:rsidP="00CA7849"/>
        </w:tc>
        <w:tc>
          <w:tcPr>
            <w:tcW w:w="351" w:type="pct"/>
          </w:tcPr>
          <w:p w:rsidR="008877AF" w:rsidRPr="002A1843" w:rsidRDefault="008877AF" w:rsidP="00CA7849">
            <w:pPr>
              <w:autoSpaceDE w:val="0"/>
              <w:autoSpaceDN w:val="0"/>
              <w:adjustRightInd w:val="0"/>
              <w:rPr>
                <w:szCs w:val="20"/>
              </w:rPr>
            </w:pPr>
          </w:p>
        </w:tc>
        <w:tc>
          <w:tcPr>
            <w:tcW w:w="548" w:type="pct"/>
          </w:tcPr>
          <w:p w:rsidR="008877AF" w:rsidRPr="002A1843" w:rsidRDefault="008877AF" w:rsidP="00CA7849">
            <w:pPr>
              <w:autoSpaceDE w:val="0"/>
              <w:autoSpaceDN w:val="0"/>
              <w:adjustRightInd w:val="0"/>
              <w:rPr>
                <w:szCs w:val="20"/>
              </w:rPr>
            </w:pPr>
          </w:p>
        </w:tc>
        <w:tc>
          <w:tcPr>
            <w:tcW w:w="552" w:type="pct"/>
          </w:tcPr>
          <w:p w:rsidR="008877AF" w:rsidRPr="002A1843" w:rsidRDefault="008877AF" w:rsidP="00CA7849">
            <w:pPr>
              <w:rPr>
                <w:szCs w:val="20"/>
              </w:rPr>
            </w:pPr>
          </w:p>
        </w:tc>
        <w:tc>
          <w:tcPr>
            <w:tcW w:w="1634" w:type="pct"/>
          </w:tcPr>
          <w:p w:rsidR="008877AF" w:rsidRPr="002A1843" w:rsidRDefault="008877AF" w:rsidP="00CA7849">
            <w:pPr>
              <w:rPr>
                <w:bCs/>
                <w:szCs w:val="20"/>
              </w:rPr>
            </w:pPr>
          </w:p>
        </w:tc>
        <w:tc>
          <w:tcPr>
            <w:tcW w:w="1634" w:type="pct"/>
          </w:tcPr>
          <w:p w:rsidR="008877AF" w:rsidRPr="002A1843" w:rsidRDefault="008877AF" w:rsidP="00CA7849">
            <w:pPr>
              <w:rPr>
                <w:bCs/>
                <w:szCs w:val="20"/>
              </w:rPr>
            </w:pPr>
          </w:p>
        </w:tc>
      </w:tr>
    </w:tbl>
    <w:p w:rsidR="008877AF" w:rsidRDefault="001E1320" w:rsidP="00BA5FE4">
      <w:pPr>
        <w:spacing w:line="276" w:lineRule="auto"/>
        <w:rPr>
          <w:sz w:val="20"/>
          <w:szCs w:val="20"/>
        </w:rPr>
      </w:pPr>
      <w:r>
        <w:rPr>
          <w:sz w:val="20"/>
          <w:szCs w:val="20"/>
        </w:rPr>
        <w:t xml:space="preserve">Cal TF website: </w:t>
      </w:r>
      <w:hyperlink r:id="rId21" w:history="1">
        <w:r w:rsidR="008877AF" w:rsidRPr="007911DF">
          <w:rPr>
            <w:rStyle w:val="Hyperlink"/>
            <w:sz w:val="20"/>
            <w:szCs w:val="20"/>
          </w:rPr>
          <w:t>http://www.caltf.org/</w:t>
        </w:r>
      </w:hyperlink>
      <w:r w:rsidR="008877AF">
        <w:rPr>
          <w:sz w:val="20"/>
          <w:szCs w:val="20"/>
        </w:rPr>
        <w:t xml:space="preserve"> </w:t>
      </w:r>
    </w:p>
    <w:p w:rsidR="00DA2822" w:rsidRDefault="008877AF" w:rsidP="00BA5FE4">
      <w:pPr>
        <w:spacing w:line="276" w:lineRule="auto"/>
        <w:rPr>
          <w:rFonts w:cs="Arial"/>
          <w:b/>
          <w:bCs/>
          <w:smallCaps/>
          <w:kern w:val="32"/>
          <w:sz w:val="36"/>
          <w:szCs w:val="20"/>
        </w:rPr>
      </w:pPr>
      <w:r w:rsidRPr="002475A1">
        <w:rPr>
          <w:sz w:val="20"/>
          <w:szCs w:val="20"/>
        </w:rPr>
        <w:t xml:space="preserve">The Cal TF approved the version </w:t>
      </w:r>
      <w:r w:rsidR="002475A1">
        <w:rPr>
          <w:sz w:val="20"/>
          <w:szCs w:val="20"/>
        </w:rPr>
        <w:t>0</w:t>
      </w:r>
      <w:r w:rsidRPr="002475A1">
        <w:rPr>
          <w:sz w:val="20"/>
          <w:szCs w:val="20"/>
        </w:rPr>
        <w:t xml:space="preserve"> of this workpaper found under the “Approved Measures” section of the website, </w:t>
      </w:r>
      <w:hyperlink r:id="rId22" w:history="1">
        <w:r w:rsidRPr="002475A1">
          <w:rPr>
            <w:rStyle w:val="Hyperlink"/>
            <w:color w:val="auto"/>
            <w:sz w:val="20"/>
            <w:szCs w:val="20"/>
          </w:rPr>
          <w:t>http://www.caltf.org/approved-measures/</w:t>
        </w:r>
      </w:hyperlink>
      <w:r w:rsidRPr="002475A1">
        <w:rPr>
          <w:szCs w:val="20"/>
        </w:rPr>
        <w:t xml:space="preserve"> </w:t>
      </w:r>
      <w:r w:rsidR="00DA2822">
        <w:rPr>
          <w:szCs w:val="20"/>
        </w:rPr>
        <w:br w:type="page"/>
      </w:r>
    </w:p>
    <w:p w:rsidR="00E16609" w:rsidRPr="00500C4E" w:rsidRDefault="00E16609" w:rsidP="00E16609">
      <w:pPr>
        <w:pStyle w:val="Heading1"/>
        <w:rPr>
          <w:rFonts w:cstheme="minorHAnsi"/>
        </w:rPr>
      </w:pPr>
      <w:r w:rsidRPr="00500C4E">
        <w:rPr>
          <w:rFonts w:cstheme="minorHAnsi"/>
        </w:rPr>
        <w:lastRenderedPageBreak/>
        <w:t>Section 1</w:t>
      </w:r>
      <w:r w:rsidR="00317970">
        <w:rPr>
          <w:rFonts w:cstheme="minorHAnsi"/>
        </w:rPr>
        <w:t>.</w:t>
      </w:r>
      <w:r w:rsidRPr="00500C4E">
        <w:rPr>
          <w:rFonts w:cstheme="minorHAnsi"/>
        </w:rPr>
        <w:t xml:space="preserve"> General Measure &amp; Baseline Data</w:t>
      </w:r>
      <w:bookmarkEnd w:id="1"/>
    </w:p>
    <w:p w:rsidR="00E16609" w:rsidRPr="00500C4E" w:rsidRDefault="00824F1C" w:rsidP="00697868">
      <w:pPr>
        <w:pStyle w:val="Heading2"/>
        <w:rPr>
          <w:rFonts w:asciiTheme="minorHAnsi" w:hAnsiTheme="minorHAnsi"/>
        </w:rPr>
      </w:pPr>
      <w:bookmarkStart w:id="13" w:name="_Toc214003083"/>
      <w:r w:rsidRPr="00500C4E">
        <w:rPr>
          <w:rFonts w:asciiTheme="minorHAnsi" w:hAnsiTheme="minorHAnsi"/>
        </w:rPr>
        <w:t xml:space="preserve">1.1 </w:t>
      </w:r>
      <w:r w:rsidR="00AC5309" w:rsidRPr="00500C4E">
        <w:rPr>
          <w:rFonts w:asciiTheme="minorHAnsi" w:hAnsiTheme="minorHAnsi"/>
        </w:rPr>
        <w:t xml:space="preserve">Measure Description </w:t>
      </w:r>
      <w:r w:rsidR="00E16609" w:rsidRPr="00500C4E">
        <w:rPr>
          <w:rFonts w:asciiTheme="minorHAnsi" w:hAnsiTheme="minorHAnsi"/>
        </w:rPr>
        <w:t xml:space="preserve">&amp; </w:t>
      </w:r>
      <w:r w:rsidR="00AC5309" w:rsidRPr="00500C4E">
        <w:rPr>
          <w:rFonts w:asciiTheme="minorHAnsi" w:hAnsiTheme="minorHAnsi"/>
        </w:rPr>
        <w:t>Background</w:t>
      </w:r>
      <w:r w:rsidR="00E16609" w:rsidRPr="00500C4E">
        <w:rPr>
          <w:rFonts w:asciiTheme="minorHAnsi" w:hAnsiTheme="minorHAnsi"/>
        </w:rPr>
        <w:t xml:space="preserve"> </w:t>
      </w:r>
      <w:bookmarkEnd w:id="13"/>
    </w:p>
    <w:p w:rsidR="002475A1" w:rsidRDefault="005F678F" w:rsidP="001D3223">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 xml:space="preserve">This work paper details the replacement of </w:t>
      </w:r>
      <w:r w:rsidR="001F01A6" w:rsidRPr="00607F9D">
        <w:rPr>
          <w:rFonts w:asciiTheme="minorHAnsi" w:hAnsiTheme="minorHAnsi" w:cstheme="minorHAnsi"/>
          <w:i w:val="0"/>
          <w:color w:val="auto"/>
          <w:szCs w:val="22"/>
        </w:rPr>
        <w:t xml:space="preserve">a four foot 2-lamp </w:t>
      </w:r>
      <w:r w:rsidR="002C52CA">
        <w:rPr>
          <w:rFonts w:asciiTheme="minorHAnsi" w:hAnsiTheme="minorHAnsi" w:cstheme="minorHAnsi"/>
          <w:i w:val="0"/>
          <w:color w:val="auto"/>
          <w:szCs w:val="22"/>
        </w:rPr>
        <w:t>2</w:t>
      </w:r>
      <w:r w:rsidR="002C52CA" w:rsidRPr="002C52CA">
        <w:rPr>
          <w:rFonts w:asciiTheme="minorHAnsi" w:hAnsiTheme="minorHAnsi" w:cstheme="minorHAnsi"/>
          <w:i w:val="0"/>
          <w:color w:val="auto"/>
          <w:szCs w:val="22"/>
          <w:vertAlign w:val="superscript"/>
        </w:rPr>
        <w:t>nd</w:t>
      </w:r>
      <w:r w:rsidR="001F01A6" w:rsidRPr="00607F9D">
        <w:rPr>
          <w:rFonts w:asciiTheme="minorHAnsi" w:hAnsiTheme="minorHAnsi" w:cstheme="minorHAnsi"/>
          <w:i w:val="0"/>
          <w:color w:val="auto"/>
          <w:szCs w:val="22"/>
        </w:rPr>
        <w:t xml:space="preserve"> generation normal light output (NLO) F32T8 Linear Fluorescent base case fixture </w:t>
      </w:r>
      <w:r w:rsidR="002475A1" w:rsidRPr="00607F9D">
        <w:rPr>
          <w:rFonts w:asciiTheme="minorHAnsi" w:hAnsiTheme="minorHAnsi" w:cstheme="minorHAnsi"/>
          <w:i w:val="0"/>
          <w:color w:val="auto"/>
          <w:szCs w:val="22"/>
        </w:rPr>
        <w:t xml:space="preserve">retrofitted with </w:t>
      </w:r>
      <w:r w:rsidR="001F01A6" w:rsidRPr="00607F9D">
        <w:rPr>
          <w:rFonts w:asciiTheme="minorHAnsi" w:hAnsiTheme="minorHAnsi" w:cstheme="minorHAnsi"/>
          <w:i w:val="0"/>
          <w:color w:val="auto"/>
          <w:szCs w:val="22"/>
        </w:rPr>
        <w:t xml:space="preserve">a four foot 2-lamp </w:t>
      </w:r>
      <w:r w:rsidR="004F1054" w:rsidRPr="00607F9D">
        <w:rPr>
          <w:rFonts w:asciiTheme="minorHAnsi" w:hAnsiTheme="minorHAnsi" w:cstheme="minorHAnsi"/>
          <w:i w:val="0"/>
          <w:color w:val="auto"/>
          <w:szCs w:val="22"/>
        </w:rPr>
        <w:t xml:space="preserve">LED </w:t>
      </w:r>
      <w:r w:rsidR="001F01A6" w:rsidRPr="00607F9D">
        <w:rPr>
          <w:rFonts w:asciiTheme="minorHAnsi" w:hAnsiTheme="minorHAnsi" w:cstheme="minorHAnsi"/>
          <w:i w:val="0"/>
          <w:color w:val="auto"/>
          <w:szCs w:val="22"/>
        </w:rPr>
        <w:t>External Driver Lamp-Style Retrofit Kit (UL Type C) measure case fixture</w:t>
      </w:r>
      <w:r w:rsidR="00356AF3">
        <w:rPr>
          <w:rFonts w:asciiTheme="minorHAnsi" w:hAnsiTheme="minorHAnsi" w:cstheme="minorHAnsi"/>
          <w:i w:val="0"/>
          <w:color w:val="auto"/>
          <w:szCs w:val="22"/>
        </w:rPr>
        <w:t xml:space="preserve"> in both </w:t>
      </w:r>
      <w:r w:rsidR="00051A38">
        <w:rPr>
          <w:rFonts w:asciiTheme="minorHAnsi" w:hAnsiTheme="minorHAnsi" w:cstheme="minorHAnsi"/>
          <w:i w:val="0"/>
          <w:color w:val="auto"/>
          <w:szCs w:val="22"/>
        </w:rPr>
        <w:t>day li</w:t>
      </w:r>
      <w:r w:rsidR="00540EA9">
        <w:rPr>
          <w:rFonts w:asciiTheme="minorHAnsi" w:hAnsiTheme="minorHAnsi" w:cstheme="minorHAnsi"/>
          <w:i w:val="0"/>
          <w:color w:val="auto"/>
          <w:szCs w:val="22"/>
        </w:rPr>
        <w:t>t</w:t>
      </w:r>
      <w:r w:rsidR="00356AF3">
        <w:rPr>
          <w:rFonts w:asciiTheme="minorHAnsi" w:hAnsiTheme="minorHAnsi" w:cstheme="minorHAnsi"/>
          <w:i w:val="0"/>
          <w:color w:val="auto"/>
          <w:szCs w:val="22"/>
        </w:rPr>
        <w:t xml:space="preserve"> and non-</w:t>
      </w:r>
      <w:r w:rsidR="00540EA9">
        <w:rPr>
          <w:rFonts w:asciiTheme="minorHAnsi" w:hAnsiTheme="minorHAnsi" w:cstheme="minorHAnsi"/>
          <w:i w:val="0"/>
          <w:color w:val="auto"/>
          <w:szCs w:val="22"/>
        </w:rPr>
        <w:t>day</w:t>
      </w:r>
      <w:r w:rsidR="00051A38">
        <w:rPr>
          <w:rFonts w:asciiTheme="minorHAnsi" w:hAnsiTheme="minorHAnsi" w:cstheme="minorHAnsi"/>
          <w:i w:val="0"/>
          <w:color w:val="auto"/>
          <w:szCs w:val="22"/>
        </w:rPr>
        <w:t xml:space="preserve"> </w:t>
      </w:r>
      <w:r w:rsidR="00540EA9">
        <w:rPr>
          <w:rFonts w:asciiTheme="minorHAnsi" w:hAnsiTheme="minorHAnsi" w:cstheme="minorHAnsi"/>
          <w:i w:val="0"/>
          <w:color w:val="auto"/>
          <w:szCs w:val="22"/>
        </w:rPr>
        <w:t>lit</w:t>
      </w:r>
      <w:r w:rsidR="00356AF3">
        <w:rPr>
          <w:rFonts w:asciiTheme="minorHAnsi" w:hAnsiTheme="minorHAnsi" w:cstheme="minorHAnsi"/>
          <w:i w:val="0"/>
          <w:color w:val="auto"/>
          <w:szCs w:val="22"/>
        </w:rPr>
        <w:t xml:space="preserve"> parking garage zones</w:t>
      </w:r>
      <w:r w:rsidR="001F01A6" w:rsidRPr="00607F9D">
        <w:rPr>
          <w:rFonts w:asciiTheme="minorHAnsi" w:hAnsiTheme="minorHAnsi" w:cstheme="minorHAnsi"/>
          <w:i w:val="0"/>
          <w:color w:val="auto"/>
          <w:szCs w:val="22"/>
        </w:rPr>
        <w:t>.</w:t>
      </w:r>
      <w:r w:rsidR="00356AF3">
        <w:rPr>
          <w:rFonts w:asciiTheme="minorHAnsi" w:hAnsiTheme="minorHAnsi" w:cstheme="minorHAnsi"/>
          <w:i w:val="0"/>
          <w:color w:val="auto"/>
          <w:szCs w:val="22"/>
        </w:rPr>
        <w:t xml:space="preserve"> </w:t>
      </w:r>
      <w:r w:rsidR="00B77BCE">
        <w:rPr>
          <w:rFonts w:asciiTheme="minorHAnsi" w:hAnsiTheme="minorHAnsi" w:cstheme="minorHAnsi"/>
          <w:i w:val="0"/>
          <w:color w:val="auto"/>
          <w:szCs w:val="22"/>
        </w:rPr>
        <w:t>Both base case and measure case fixtures are assumed to be controlled by bi-level occupancy sensors in non</w:t>
      </w:r>
      <w:r w:rsidR="00167AAD">
        <w:rPr>
          <w:rFonts w:asciiTheme="minorHAnsi" w:hAnsiTheme="minorHAnsi" w:cstheme="minorHAnsi"/>
          <w:i w:val="0"/>
          <w:color w:val="auto"/>
          <w:szCs w:val="22"/>
        </w:rPr>
        <w:t>-</w:t>
      </w:r>
      <w:r w:rsidR="00B77BCE">
        <w:rPr>
          <w:rFonts w:asciiTheme="minorHAnsi" w:hAnsiTheme="minorHAnsi" w:cstheme="minorHAnsi"/>
          <w:i w:val="0"/>
          <w:color w:val="auto"/>
          <w:szCs w:val="22"/>
        </w:rPr>
        <w:t>day lit zones and</w:t>
      </w:r>
      <w:r w:rsidR="00167AAD">
        <w:rPr>
          <w:rFonts w:asciiTheme="minorHAnsi" w:hAnsiTheme="minorHAnsi" w:cstheme="minorHAnsi"/>
          <w:i w:val="0"/>
          <w:color w:val="auto"/>
          <w:szCs w:val="22"/>
        </w:rPr>
        <w:t xml:space="preserve"> photocells and bi-level occupancy sensors in day lit zones as required by Title 24.</w:t>
      </w:r>
    </w:p>
    <w:p w:rsidR="00356AF3" w:rsidRPr="00800706" w:rsidRDefault="00356AF3" w:rsidP="001D3223">
      <w:pPr>
        <w:pStyle w:val="Reminders"/>
        <w:tabs>
          <w:tab w:val="num" w:pos="360"/>
        </w:tabs>
        <w:rPr>
          <w:rFonts w:asciiTheme="minorHAnsi" w:hAnsiTheme="minorHAnsi" w:cstheme="minorHAnsi"/>
          <w:i w:val="0"/>
          <w:szCs w:val="22"/>
        </w:rPr>
      </w:pPr>
    </w:p>
    <w:p w:rsidR="00F171E1" w:rsidRPr="00167AAD" w:rsidRDefault="00167AAD" w:rsidP="00167AAD">
      <w:pPr>
        <w:jc w:val="center"/>
        <w:rPr>
          <w:szCs w:val="22"/>
        </w:rPr>
      </w:pPr>
      <w:r>
        <w:rPr>
          <w:b/>
          <w:szCs w:val="22"/>
        </w:rPr>
        <w:t xml:space="preserve">Table 1. </w:t>
      </w:r>
      <w:r w:rsidR="00F171E1" w:rsidRPr="00167AAD">
        <w:rPr>
          <w:szCs w:val="22"/>
        </w:rPr>
        <w:t>Base</w:t>
      </w:r>
      <w:r w:rsidR="005720F2" w:rsidRPr="00167AAD">
        <w:rPr>
          <w:szCs w:val="22"/>
        </w:rPr>
        <w:t>, Standard,</w:t>
      </w:r>
      <w:r w:rsidR="00F171E1" w:rsidRPr="00167AAD">
        <w:rPr>
          <w:szCs w:val="22"/>
        </w:rPr>
        <w:t xml:space="preserve"> and Measure Cases</w:t>
      </w:r>
    </w:p>
    <w:tbl>
      <w:tblPr>
        <w:tblStyle w:val="TableGrid1"/>
        <w:tblW w:w="5000" w:type="pct"/>
        <w:tblLook w:val="04A0" w:firstRow="1" w:lastRow="0" w:firstColumn="1" w:lastColumn="0" w:noHBand="0" w:noVBand="1"/>
      </w:tblPr>
      <w:tblGrid>
        <w:gridCol w:w="2877"/>
        <w:gridCol w:w="6699"/>
      </w:tblGrid>
      <w:tr w:rsidR="005720F2" w:rsidRPr="00800706" w:rsidTr="00920905">
        <w:trPr>
          <w:trHeight w:val="20"/>
        </w:trPr>
        <w:tc>
          <w:tcPr>
            <w:tcW w:w="1502" w:type="pct"/>
            <w:shd w:val="clear" w:color="auto" w:fill="D9D9D9" w:themeFill="background1" w:themeFillShade="D9"/>
          </w:tcPr>
          <w:p w:rsidR="005720F2" w:rsidRPr="00800706" w:rsidRDefault="005720F2" w:rsidP="00920905">
            <w:pPr>
              <w:pStyle w:val="Reminders"/>
              <w:tabs>
                <w:tab w:val="num" w:pos="360"/>
              </w:tabs>
              <w:spacing w:before="0" w:after="0"/>
              <w:rPr>
                <w:rFonts w:asciiTheme="minorHAnsi" w:hAnsiTheme="minorHAnsi" w:cs="Arial"/>
                <w:b/>
                <w:i w:val="0"/>
                <w:color w:val="auto"/>
                <w:szCs w:val="20"/>
              </w:rPr>
            </w:pPr>
            <w:r w:rsidRPr="00800706">
              <w:rPr>
                <w:rFonts w:asciiTheme="minorHAnsi" w:hAnsiTheme="minorHAnsi" w:cs="Arial"/>
                <w:b/>
                <w:i w:val="0"/>
                <w:color w:val="auto"/>
                <w:szCs w:val="20"/>
              </w:rPr>
              <w:t>Case</w:t>
            </w:r>
          </w:p>
        </w:tc>
        <w:tc>
          <w:tcPr>
            <w:tcW w:w="3498" w:type="pct"/>
            <w:shd w:val="clear" w:color="auto" w:fill="D9D9D9" w:themeFill="background1" w:themeFillShade="D9"/>
          </w:tcPr>
          <w:p w:rsidR="005720F2" w:rsidRPr="00920905" w:rsidRDefault="005720F2" w:rsidP="00920905">
            <w:pPr>
              <w:pStyle w:val="Reminders"/>
              <w:tabs>
                <w:tab w:val="num" w:pos="360"/>
              </w:tabs>
              <w:spacing w:before="0" w:after="0"/>
              <w:rPr>
                <w:rFonts w:asciiTheme="minorHAnsi" w:hAnsiTheme="minorHAnsi" w:cstheme="minorHAnsi"/>
                <w:b/>
                <w:i w:val="0"/>
                <w:color w:val="auto"/>
                <w:szCs w:val="20"/>
              </w:rPr>
            </w:pPr>
            <w:r w:rsidRPr="00920905">
              <w:rPr>
                <w:rFonts w:asciiTheme="minorHAnsi" w:hAnsiTheme="minorHAnsi" w:cstheme="minorHAnsi"/>
                <w:b/>
                <w:i w:val="0"/>
                <w:color w:val="auto"/>
                <w:szCs w:val="20"/>
              </w:rPr>
              <w:t>Description</w:t>
            </w:r>
            <w:r w:rsidR="00680934" w:rsidRPr="00800706">
              <w:rPr>
                <w:rFonts w:asciiTheme="minorHAnsi" w:hAnsiTheme="minorHAnsi" w:cstheme="minorHAnsi"/>
                <w:b/>
                <w:i w:val="0"/>
                <w:color w:val="auto"/>
                <w:szCs w:val="20"/>
              </w:rPr>
              <w:t xml:space="preserve"> of Typical Scenario</w:t>
            </w:r>
          </w:p>
        </w:tc>
      </w:tr>
      <w:tr w:rsidR="00D85F09" w:rsidRPr="00800706" w:rsidTr="00920905">
        <w:trPr>
          <w:trHeight w:val="20"/>
        </w:trPr>
        <w:tc>
          <w:tcPr>
            <w:tcW w:w="1502" w:type="pct"/>
          </w:tcPr>
          <w:p w:rsidR="00D85F09" w:rsidRPr="00920905" w:rsidRDefault="00D85F09" w:rsidP="00920905">
            <w:pPr>
              <w:pStyle w:val="Reminders"/>
              <w:tabs>
                <w:tab w:val="num" w:pos="360"/>
              </w:tabs>
              <w:spacing w:before="0" w:after="0"/>
              <w:rPr>
                <w:rFonts w:asciiTheme="minorHAnsi" w:hAnsiTheme="minorHAnsi" w:cstheme="minorHAnsi"/>
                <w:i w:val="0"/>
                <w:color w:val="auto"/>
                <w:szCs w:val="22"/>
              </w:rPr>
            </w:pPr>
            <w:r w:rsidRPr="00920905">
              <w:rPr>
                <w:rFonts w:asciiTheme="minorHAnsi" w:hAnsiTheme="minorHAnsi" w:cs="Arial"/>
                <w:i w:val="0"/>
                <w:color w:val="auto"/>
                <w:szCs w:val="20"/>
              </w:rPr>
              <w:t>Measure</w:t>
            </w:r>
          </w:p>
        </w:tc>
        <w:tc>
          <w:tcPr>
            <w:tcW w:w="3498" w:type="pct"/>
          </w:tcPr>
          <w:p w:rsidR="00D85F09" w:rsidRDefault="001F01A6" w:rsidP="00DD2BB9">
            <w:pPr>
              <w:pStyle w:val="ListParagraph"/>
              <w:numPr>
                <w:ilvl w:val="0"/>
                <w:numId w:val="13"/>
              </w:numPr>
              <w:rPr>
                <w:szCs w:val="20"/>
              </w:rPr>
            </w:pPr>
            <w:r w:rsidRPr="00356AF3">
              <w:rPr>
                <w:szCs w:val="20"/>
              </w:rPr>
              <w:t>Four foot 2-lamp LED External Driver Lamp-Style Retrofit Kit (UL Type C) fixture</w:t>
            </w:r>
            <w:r w:rsidR="00356AF3">
              <w:rPr>
                <w:szCs w:val="20"/>
              </w:rPr>
              <w:t xml:space="preserve"> </w:t>
            </w:r>
            <w:r w:rsidR="008B3C6A">
              <w:rPr>
                <w:szCs w:val="20"/>
              </w:rPr>
              <w:t xml:space="preserve">with bi-level </w:t>
            </w:r>
            <w:r w:rsidR="00167AAD">
              <w:rPr>
                <w:szCs w:val="20"/>
              </w:rPr>
              <w:t xml:space="preserve">occupancy sensor and photocell </w:t>
            </w:r>
            <w:r w:rsidR="008B3C6A">
              <w:rPr>
                <w:szCs w:val="20"/>
              </w:rPr>
              <w:t>control</w:t>
            </w:r>
            <w:r w:rsidR="00167AAD">
              <w:rPr>
                <w:szCs w:val="20"/>
              </w:rPr>
              <w:t>s</w:t>
            </w:r>
            <w:r w:rsidR="008B3C6A">
              <w:rPr>
                <w:szCs w:val="20"/>
              </w:rPr>
              <w:t xml:space="preserve"> </w:t>
            </w:r>
            <w:r w:rsidR="00356AF3">
              <w:rPr>
                <w:szCs w:val="20"/>
              </w:rPr>
              <w:t xml:space="preserve">in </w:t>
            </w:r>
            <w:r w:rsidR="00540EA9">
              <w:rPr>
                <w:szCs w:val="20"/>
              </w:rPr>
              <w:t>day</w:t>
            </w:r>
            <w:r w:rsidR="00051A38">
              <w:rPr>
                <w:szCs w:val="20"/>
              </w:rPr>
              <w:t xml:space="preserve"> </w:t>
            </w:r>
            <w:r w:rsidR="00540EA9">
              <w:rPr>
                <w:szCs w:val="20"/>
              </w:rPr>
              <w:t>lit</w:t>
            </w:r>
            <w:r w:rsidR="00356AF3">
              <w:rPr>
                <w:szCs w:val="20"/>
              </w:rPr>
              <w:t xml:space="preserve"> zone</w:t>
            </w:r>
            <w:r w:rsidR="00167AAD">
              <w:rPr>
                <w:szCs w:val="20"/>
              </w:rPr>
              <w:t>s</w:t>
            </w:r>
          </w:p>
          <w:p w:rsidR="00356AF3" w:rsidRPr="00356AF3" w:rsidRDefault="00356AF3" w:rsidP="00DD2BB9">
            <w:pPr>
              <w:pStyle w:val="ListParagraph"/>
              <w:numPr>
                <w:ilvl w:val="0"/>
                <w:numId w:val="13"/>
              </w:numPr>
              <w:rPr>
                <w:szCs w:val="20"/>
              </w:rPr>
            </w:pPr>
            <w:r w:rsidRPr="00356AF3">
              <w:rPr>
                <w:szCs w:val="20"/>
              </w:rPr>
              <w:t xml:space="preserve">Four foot 2-lamp LED External Driver Lamp-Style Retrofit Kit (UL Type C) fixture </w:t>
            </w:r>
            <w:r w:rsidR="008B3C6A">
              <w:rPr>
                <w:szCs w:val="20"/>
              </w:rPr>
              <w:t xml:space="preserve">with bi-level </w:t>
            </w:r>
            <w:r w:rsidR="00167AAD">
              <w:rPr>
                <w:szCs w:val="20"/>
              </w:rPr>
              <w:t xml:space="preserve">occupancy sensing </w:t>
            </w:r>
            <w:r w:rsidR="008B3C6A">
              <w:rPr>
                <w:szCs w:val="20"/>
              </w:rPr>
              <w:t xml:space="preserve">control </w:t>
            </w:r>
            <w:r w:rsidRPr="00356AF3">
              <w:rPr>
                <w:szCs w:val="20"/>
              </w:rPr>
              <w:t xml:space="preserve">in </w:t>
            </w:r>
            <w:r>
              <w:rPr>
                <w:szCs w:val="20"/>
              </w:rPr>
              <w:t>non-</w:t>
            </w:r>
            <w:r w:rsidR="00540EA9" w:rsidRPr="00356AF3">
              <w:rPr>
                <w:szCs w:val="20"/>
              </w:rPr>
              <w:t>day</w:t>
            </w:r>
            <w:r w:rsidR="00051A38">
              <w:rPr>
                <w:szCs w:val="20"/>
              </w:rPr>
              <w:t xml:space="preserve"> </w:t>
            </w:r>
            <w:r w:rsidR="00540EA9" w:rsidRPr="00356AF3">
              <w:rPr>
                <w:szCs w:val="20"/>
              </w:rPr>
              <w:t>lit</w:t>
            </w:r>
            <w:r w:rsidRPr="00356AF3">
              <w:rPr>
                <w:szCs w:val="20"/>
              </w:rPr>
              <w:t xml:space="preserve"> zone</w:t>
            </w:r>
            <w:r w:rsidR="00167AAD">
              <w:rPr>
                <w:szCs w:val="20"/>
              </w:rPr>
              <w:t>s</w:t>
            </w:r>
          </w:p>
        </w:tc>
      </w:tr>
      <w:tr w:rsidR="00D85F09" w:rsidRPr="00800706" w:rsidTr="00920905">
        <w:trPr>
          <w:trHeight w:val="20"/>
        </w:trPr>
        <w:tc>
          <w:tcPr>
            <w:tcW w:w="1502" w:type="pct"/>
          </w:tcPr>
          <w:p w:rsidR="00D85F09" w:rsidRPr="00920905" w:rsidRDefault="00786E92" w:rsidP="00920905">
            <w:pPr>
              <w:pStyle w:val="Reminders"/>
              <w:tabs>
                <w:tab w:val="num" w:pos="360"/>
              </w:tabs>
              <w:spacing w:before="0" w:after="0"/>
              <w:rPr>
                <w:rFonts w:asciiTheme="minorHAnsi" w:hAnsiTheme="minorHAnsi" w:cstheme="minorHAnsi"/>
                <w:i w:val="0"/>
                <w:color w:val="auto"/>
                <w:szCs w:val="22"/>
              </w:rPr>
            </w:pPr>
            <w:r w:rsidRPr="00800706">
              <w:rPr>
                <w:rFonts w:asciiTheme="minorHAnsi" w:hAnsiTheme="minorHAnsi" w:cs="Arial"/>
                <w:i w:val="0"/>
                <w:color w:val="auto"/>
                <w:szCs w:val="20"/>
              </w:rPr>
              <w:t>Existing Condition</w:t>
            </w:r>
          </w:p>
        </w:tc>
        <w:tc>
          <w:tcPr>
            <w:tcW w:w="3498" w:type="pct"/>
          </w:tcPr>
          <w:p w:rsidR="00D85F09" w:rsidRPr="00356AF3" w:rsidRDefault="001F01A6" w:rsidP="00DD2BB9">
            <w:pPr>
              <w:pStyle w:val="ListParagraph"/>
              <w:numPr>
                <w:ilvl w:val="0"/>
                <w:numId w:val="14"/>
              </w:numPr>
              <w:rPr>
                <w:i/>
                <w:szCs w:val="20"/>
              </w:rPr>
            </w:pPr>
            <w:r w:rsidRPr="00356AF3">
              <w:rPr>
                <w:szCs w:val="20"/>
              </w:rPr>
              <w:t xml:space="preserve">Four foot 2-lamp </w:t>
            </w:r>
            <w:r w:rsidR="002C52CA" w:rsidRPr="00356AF3">
              <w:rPr>
                <w:szCs w:val="20"/>
              </w:rPr>
              <w:t>2</w:t>
            </w:r>
            <w:r w:rsidR="002C52CA" w:rsidRPr="00356AF3">
              <w:rPr>
                <w:szCs w:val="20"/>
                <w:vertAlign w:val="superscript"/>
              </w:rPr>
              <w:t>nd</w:t>
            </w:r>
            <w:r w:rsidRPr="00356AF3">
              <w:rPr>
                <w:szCs w:val="20"/>
              </w:rPr>
              <w:t xml:space="preserve"> generation normal light output (NLO) F32T8 Linear Fluorescent fixture</w:t>
            </w:r>
            <w:r w:rsidR="00356AF3">
              <w:rPr>
                <w:szCs w:val="20"/>
              </w:rPr>
              <w:t xml:space="preserve"> </w:t>
            </w:r>
            <w:r w:rsidR="008B3C6A">
              <w:rPr>
                <w:szCs w:val="20"/>
              </w:rPr>
              <w:t xml:space="preserve">with </w:t>
            </w:r>
            <w:r w:rsidR="00167AAD">
              <w:rPr>
                <w:szCs w:val="20"/>
              </w:rPr>
              <w:t xml:space="preserve">bi-level occupancy sensor and photocell controls </w:t>
            </w:r>
            <w:r w:rsidR="00356AF3">
              <w:rPr>
                <w:szCs w:val="20"/>
              </w:rPr>
              <w:t xml:space="preserve">in </w:t>
            </w:r>
            <w:r w:rsidR="00540EA9">
              <w:rPr>
                <w:szCs w:val="20"/>
              </w:rPr>
              <w:t>day</w:t>
            </w:r>
            <w:r w:rsidR="00051A38">
              <w:rPr>
                <w:szCs w:val="20"/>
              </w:rPr>
              <w:t xml:space="preserve"> </w:t>
            </w:r>
            <w:r w:rsidR="00540EA9">
              <w:rPr>
                <w:szCs w:val="20"/>
              </w:rPr>
              <w:t>lit</w:t>
            </w:r>
            <w:r w:rsidR="00356AF3">
              <w:rPr>
                <w:szCs w:val="20"/>
              </w:rPr>
              <w:t xml:space="preserve"> zone</w:t>
            </w:r>
            <w:r w:rsidR="00167AAD">
              <w:rPr>
                <w:szCs w:val="20"/>
              </w:rPr>
              <w:t>s</w:t>
            </w:r>
          </w:p>
          <w:p w:rsidR="00356AF3" w:rsidRPr="00356AF3" w:rsidRDefault="00356AF3" w:rsidP="00DD2BB9">
            <w:pPr>
              <w:pStyle w:val="ListParagraph"/>
              <w:numPr>
                <w:ilvl w:val="0"/>
                <w:numId w:val="14"/>
              </w:numPr>
              <w:rPr>
                <w:i/>
                <w:szCs w:val="20"/>
              </w:rPr>
            </w:pPr>
            <w:r w:rsidRPr="00356AF3">
              <w:rPr>
                <w:szCs w:val="20"/>
              </w:rPr>
              <w:t>Four foot 2-lamp 2</w:t>
            </w:r>
            <w:r w:rsidRPr="00356AF3">
              <w:rPr>
                <w:szCs w:val="20"/>
                <w:vertAlign w:val="superscript"/>
              </w:rPr>
              <w:t>nd</w:t>
            </w:r>
            <w:r w:rsidRPr="00356AF3">
              <w:rPr>
                <w:szCs w:val="20"/>
              </w:rPr>
              <w:t xml:space="preserve"> generation normal light output (NLO) F32T8 Linear Fluorescent fixture</w:t>
            </w:r>
            <w:r>
              <w:rPr>
                <w:szCs w:val="20"/>
              </w:rPr>
              <w:t xml:space="preserve"> </w:t>
            </w:r>
            <w:r w:rsidR="008B3C6A">
              <w:rPr>
                <w:szCs w:val="20"/>
              </w:rPr>
              <w:t xml:space="preserve">with </w:t>
            </w:r>
            <w:r w:rsidR="00167AAD">
              <w:rPr>
                <w:szCs w:val="20"/>
              </w:rPr>
              <w:t xml:space="preserve">bi-level occupancy sensing control </w:t>
            </w:r>
            <w:r>
              <w:rPr>
                <w:szCs w:val="20"/>
              </w:rPr>
              <w:t xml:space="preserve">in </w:t>
            </w:r>
            <w:r w:rsidR="008B3C6A">
              <w:rPr>
                <w:szCs w:val="20"/>
              </w:rPr>
              <w:t>non-</w:t>
            </w:r>
            <w:r w:rsidR="00540EA9">
              <w:rPr>
                <w:szCs w:val="20"/>
              </w:rPr>
              <w:t>day</w:t>
            </w:r>
            <w:r w:rsidR="00051A38">
              <w:rPr>
                <w:szCs w:val="20"/>
              </w:rPr>
              <w:t xml:space="preserve"> </w:t>
            </w:r>
            <w:r w:rsidR="00540EA9">
              <w:rPr>
                <w:szCs w:val="20"/>
              </w:rPr>
              <w:t>lit</w:t>
            </w:r>
            <w:r>
              <w:rPr>
                <w:szCs w:val="20"/>
              </w:rPr>
              <w:t xml:space="preserve"> zone</w:t>
            </w:r>
            <w:r w:rsidR="00167AAD">
              <w:rPr>
                <w:szCs w:val="20"/>
              </w:rPr>
              <w:t>s</w:t>
            </w:r>
          </w:p>
        </w:tc>
      </w:tr>
      <w:tr w:rsidR="002344FB" w:rsidRPr="00800706" w:rsidTr="006F21E8">
        <w:trPr>
          <w:trHeight w:val="20"/>
        </w:trPr>
        <w:tc>
          <w:tcPr>
            <w:tcW w:w="1502" w:type="pct"/>
          </w:tcPr>
          <w:p w:rsidR="002344FB" w:rsidRPr="00800706" w:rsidRDefault="002344FB">
            <w:pPr>
              <w:pStyle w:val="Reminders"/>
              <w:tabs>
                <w:tab w:val="num" w:pos="360"/>
              </w:tabs>
              <w:spacing w:before="0" w:after="0"/>
              <w:rPr>
                <w:rFonts w:asciiTheme="minorHAnsi" w:hAnsiTheme="minorHAnsi" w:cs="Arial"/>
                <w:i w:val="0"/>
                <w:color w:val="auto"/>
                <w:szCs w:val="20"/>
              </w:rPr>
            </w:pPr>
            <w:r>
              <w:rPr>
                <w:rFonts w:asciiTheme="minorHAnsi" w:hAnsiTheme="minorHAnsi" w:cs="Arial"/>
                <w:i w:val="0"/>
                <w:color w:val="auto"/>
                <w:szCs w:val="20"/>
              </w:rPr>
              <w:t>Code/Standard</w:t>
            </w:r>
          </w:p>
        </w:tc>
        <w:tc>
          <w:tcPr>
            <w:tcW w:w="3498" w:type="pct"/>
          </w:tcPr>
          <w:p w:rsidR="008B3C6A" w:rsidRPr="008B3C6A" w:rsidRDefault="008B3C6A" w:rsidP="00DD2BB9">
            <w:pPr>
              <w:pStyle w:val="ListParagraph"/>
              <w:numPr>
                <w:ilvl w:val="0"/>
                <w:numId w:val="9"/>
              </w:numPr>
              <w:rPr>
                <w:szCs w:val="20"/>
              </w:rPr>
            </w:pPr>
            <w:r w:rsidRPr="008B3C6A">
              <w:rPr>
                <w:szCs w:val="20"/>
              </w:rPr>
              <w:t>Four foot 2-lamp 2</w:t>
            </w:r>
            <w:r w:rsidRPr="008B3C6A">
              <w:rPr>
                <w:szCs w:val="20"/>
                <w:vertAlign w:val="superscript"/>
              </w:rPr>
              <w:t>nd</w:t>
            </w:r>
            <w:r w:rsidRPr="008B3C6A">
              <w:rPr>
                <w:szCs w:val="20"/>
              </w:rPr>
              <w:t xml:space="preserve"> generation normal light output (NLO) F32T8 Linear Fluorescent fixture with </w:t>
            </w:r>
            <w:r w:rsidR="00167AAD">
              <w:rPr>
                <w:szCs w:val="20"/>
              </w:rPr>
              <w:t xml:space="preserve">bi-level occupancy sensor and photocell controls </w:t>
            </w:r>
            <w:r w:rsidRPr="008B3C6A">
              <w:rPr>
                <w:szCs w:val="20"/>
              </w:rPr>
              <w:t xml:space="preserve">in </w:t>
            </w:r>
            <w:r w:rsidR="00540EA9" w:rsidRPr="008B3C6A">
              <w:rPr>
                <w:szCs w:val="20"/>
              </w:rPr>
              <w:t>day</w:t>
            </w:r>
            <w:r w:rsidR="00051A38">
              <w:rPr>
                <w:szCs w:val="20"/>
              </w:rPr>
              <w:t xml:space="preserve"> </w:t>
            </w:r>
            <w:r w:rsidR="00540EA9" w:rsidRPr="008B3C6A">
              <w:rPr>
                <w:szCs w:val="20"/>
              </w:rPr>
              <w:t>lit</w:t>
            </w:r>
            <w:r w:rsidRPr="008B3C6A">
              <w:rPr>
                <w:szCs w:val="20"/>
              </w:rPr>
              <w:t xml:space="preserve"> zone</w:t>
            </w:r>
            <w:r w:rsidR="00167AAD">
              <w:rPr>
                <w:szCs w:val="20"/>
              </w:rPr>
              <w:t>s</w:t>
            </w:r>
          </w:p>
          <w:p w:rsidR="008B3C6A" w:rsidRPr="008B3C6A" w:rsidRDefault="008B3C6A" w:rsidP="00DD2BB9">
            <w:pPr>
              <w:pStyle w:val="ListParagraph"/>
              <w:numPr>
                <w:ilvl w:val="0"/>
                <w:numId w:val="9"/>
              </w:numPr>
              <w:rPr>
                <w:szCs w:val="20"/>
              </w:rPr>
            </w:pPr>
            <w:r w:rsidRPr="00356AF3">
              <w:rPr>
                <w:szCs w:val="20"/>
              </w:rPr>
              <w:t>Four foot 2-lamp 2</w:t>
            </w:r>
            <w:r w:rsidRPr="00356AF3">
              <w:rPr>
                <w:szCs w:val="20"/>
                <w:vertAlign w:val="superscript"/>
              </w:rPr>
              <w:t>nd</w:t>
            </w:r>
            <w:r w:rsidRPr="00356AF3">
              <w:rPr>
                <w:szCs w:val="20"/>
              </w:rPr>
              <w:t xml:space="preserve"> generation normal light output (NLO) F32T8 Linear Fluorescent fixture</w:t>
            </w:r>
            <w:r>
              <w:rPr>
                <w:szCs w:val="20"/>
              </w:rPr>
              <w:t xml:space="preserve"> with </w:t>
            </w:r>
            <w:r w:rsidR="00167AAD">
              <w:rPr>
                <w:szCs w:val="20"/>
              </w:rPr>
              <w:t xml:space="preserve">bi-level occupancy sensing control </w:t>
            </w:r>
            <w:r>
              <w:rPr>
                <w:szCs w:val="20"/>
              </w:rPr>
              <w:t>in non-</w:t>
            </w:r>
            <w:r w:rsidR="00540EA9">
              <w:rPr>
                <w:szCs w:val="20"/>
              </w:rPr>
              <w:t>day</w:t>
            </w:r>
            <w:r w:rsidR="00051A38">
              <w:rPr>
                <w:szCs w:val="20"/>
              </w:rPr>
              <w:t xml:space="preserve"> </w:t>
            </w:r>
            <w:r w:rsidR="00540EA9">
              <w:rPr>
                <w:szCs w:val="20"/>
              </w:rPr>
              <w:t>lit</w:t>
            </w:r>
            <w:r>
              <w:rPr>
                <w:szCs w:val="20"/>
              </w:rPr>
              <w:t xml:space="preserve"> zone</w:t>
            </w:r>
            <w:r w:rsidR="00167AAD">
              <w:rPr>
                <w:szCs w:val="20"/>
              </w:rPr>
              <w:t>s</w:t>
            </w:r>
          </w:p>
        </w:tc>
      </w:tr>
      <w:tr w:rsidR="00D85F09" w:rsidRPr="00800706" w:rsidTr="00920905">
        <w:trPr>
          <w:trHeight w:val="20"/>
        </w:trPr>
        <w:tc>
          <w:tcPr>
            <w:tcW w:w="1502" w:type="pct"/>
          </w:tcPr>
          <w:p w:rsidR="00D85F09" w:rsidRPr="00920905" w:rsidRDefault="005720F2" w:rsidP="00920905">
            <w:pPr>
              <w:pStyle w:val="Reminders"/>
              <w:tabs>
                <w:tab w:val="num" w:pos="360"/>
              </w:tabs>
              <w:spacing w:before="0" w:after="0"/>
              <w:rPr>
                <w:rFonts w:asciiTheme="minorHAnsi" w:hAnsiTheme="minorHAnsi" w:cstheme="minorHAnsi"/>
                <w:i w:val="0"/>
                <w:color w:val="auto"/>
                <w:szCs w:val="22"/>
              </w:rPr>
            </w:pPr>
            <w:r w:rsidRPr="00800706">
              <w:rPr>
                <w:rFonts w:asciiTheme="minorHAnsi" w:hAnsiTheme="minorHAnsi" w:cs="Arial"/>
                <w:i w:val="0"/>
                <w:color w:val="auto"/>
                <w:szCs w:val="20"/>
              </w:rPr>
              <w:t>Industry Standard Practice</w:t>
            </w:r>
          </w:p>
        </w:tc>
        <w:tc>
          <w:tcPr>
            <w:tcW w:w="3498" w:type="pct"/>
          </w:tcPr>
          <w:p w:rsidR="008B3C6A" w:rsidRPr="008B3C6A" w:rsidRDefault="005F678F" w:rsidP="00DD2BB9">
            <w:pPr>
              <w:pStyle w:val="ListParagraph"/>
              <w:numPr>
                <w:ilvl w:val="0"/>
                <w:numId w:val="10"/>
              </w:numPr>
              <w:rPr>
                <w:i/>
                <w:szCs w:val="20"/>
              </w:rPr>
            </w:pPr>
            <w:r w:rsidRPr="008B3C6A">
              <w:rPr>
                <w:szCs w:val="20"/>
              </w:rPr>
              <w:t xml:space="preserve">High-Intensity Discharge (HID) </w:t>
            </w:r>
            <w:r w:rsidR="008B3C6A">
              <w:rPr>
                <w:szCs w:val="20"/>
              </w:rPr>
              <w:t xml:space="preserve">with no bi-level </w:t>
            </w:r>
            <w:r w:rsidR="00167AAD">
              <w:rPr>
                <w:szCs w:val="20"/>
              </w:rPr>
              <w:t xml:space="preserve">occupancy sensing </w:t>
            </w:r>
            <w:r w:rsidR="008B3C6A">
              <w:rPr>
                <w:szCs w:val="20"/>
              </w:rPr>
              <w:t xml:space="preserve">or daylighting controls </w:t>
            </w:r>
            <w:r w:rsidRPr="008B3C6A">
              <w:rPr>
                <w:szCs w:val="20"/>
              </w:rPr>
              <w:t xml:space="preserve">and </w:t>
            </w:r>
          </w:p>
          <w:p w:rsidR="00D85F09" w:rsidRPr="008B3C6A" w:rsidRDefault="008B3C6A" w:rsidP="00DD2BB9">
            <w:pPr>
              <w:pStyle w:val="ListParagraph"/>
              <w:numPr>
                <w:ilvl w:val="0"/>
                <w:numId w:val="10"/>
              </w:numPr>
              <w:rPr>
                <w:i/>
                <w:szCs w:val="20"/>
              </w:rPr>
            </w:pPr>
            <w:r>
              <w:rPr>
                <w:szCs w:val="20"/>
              </w:rPr>
              <w:t>L</w:t>
            </w:r>
            <w:r w:rsidR="005F678F" w:rsidRPr="008B3C6A">
              <w:rPr>
                <w:szCs w:val="20"/>
              </w:rPr>
              <w:t>inear fluorescent technologies</w:t>
            </w:r>
            <w:r>
              <w:rPr>
                <w:szCs w:val="20"/>
              </w:rPr>
              <w:t xml:space="preserve"> with no bi-level </w:t>
            </w:r>
            <w:r w:rsidR="00167AAD">
              <w:rPr>
                <w:szCs w:val="20"/>
              </w:rPr>
              <w:t xml:space="preserve">occupancy sensing </w:t>
            </w:r>
            <w:r>
              <w:rPr>
                <w:szCs w:val="20"/>
              </w:rPr>
              <w:t>or daylighting controls</w:t>
            </w:r>
            <w:r w:rsidR="005F678F" w:rsidRPr="008B3C6A">
              <w:rPr>
                <w:szCs w:val="20"/>
              </w:rPr>
              <w:t xml:space="preserve"> are both widely available and commonly used. </w:t>
            </w:r>
          </w:p>
        </w:tc>
      </w:tr>
    </w:tbl>
    <w:p w:rsidR="00D85F09" w:rsidRPr="00800706" w:rsidRDefault="00D85F09" w:rsidP="00920905">
      <w:pPr>
        <w:pStyle w:val="NoSpacing"/>
      </w:pPr>
    </w:p>
    <w:p w:rsidR="00AC5309" w:rsidRPr="00167AAD" w:rsidRDefault="00167AAD" w:rsidP="00167AAD">
      <w:pPr>
        <w:pStyle w:val="Caption"/>
        <w:jc w:val="center"/>
        <w:rPr>
          <w:rFonts w:cstheme="minorHAnsi"/>
          <w:b w:val="0"/>
          <w:szCs w:val="22"/>
        </w:rPr>
      </w:pPr>
      <w:r>
        <w:rPr>
          <w:rFonts w:cstheme="minorHAnsi"/>
          <w:szCs w:val="22"/>
        </w:rPr>
        <w:t xml:space="preserve">Table 2. </w:t>
      </w:r>
      <w:r w:rsidR="00AC5309" w:rsidRPr="00167AAD">
        <w:rPr>
          <w:rFonts w:cstheme="minorHAnsi"/>
          <w:b w:val="0"/>
          <w:szCs w:val="22"/>
        </w:rPr>
        <w:t>Measure</w:t>
      </w:r>
      <w:r w:rsidR="005476F6" w:rsidRPr="00167AAD">
        <w:rPr>
          <w:rFonts w:cstheme="minorHAnsi"/>
          <w:b w:val="0"/>
          <w:szCs w:val="22"/>
        </w:rPr>
        <w:t>s and Codes</w:t>
      </w:r>
    </w:p>
    <w:tbl>
      <w:tblPr>
        <w:tblStyle w:val="TableGrid1"/>
        <w:tblW w:w="5000" w:type="pct"/>
        <w:tblLook w:val="04A0" w:firstRow="1" w:lastRow="0" w:firstColumn="1" w:lastColumn="0" w:noHBand="0" w:noVBand="1"/>
      </w:tblPr>
      <w:tblGrid>
        <w:gridCol w:w="1032"/>
        <w:gridCol w:w="1032"/>
        <w:gridCol w:w="1159"/>
        <w:gridCol w:w="1289"/>
        <w:gridCol w:w="5064"/>
      </w:tblGrid>
      <w:tr w:rsidR="003A3170" w:rsidRPr="00800706" w:rsidTr="00167AAD">
        <w:tc>
          <w:tcPr>
            <w:tcW w:w="2356" w:type="pct"/>
            <w:gridSpan w:val="4"/>
            <w:shd w:val="clear" w:color="auto" w:fill="D9D9D9" w:themeFill="background1" w:themeFillShade="D9"/>
          </w:tcPr>
          <w:p w:rsidR="003A3170" w:rsidRPr="00920905" w:rsidRDefault="003A3170" w:rsidP="00167AAD">
            <w:pPr>
              <w:jc w:val="center"/>
              <w:rPr>
                <w:rFonts w:cstheme="minorHAnsi"/>
                <w:b/>
                <w:szCs w:val="20"/>
              </w:rPr>
            </w:pPr>
            <w:r w:rsidRPr="00920905">
              <w:rPr>
                <w:rFonts w:cstheme="minorHAnsi"/>
                <w:b/>
                <w:szCs w:val="20"/>
              </w:rPr>
              <w:t>Measure Codes</w:t>
            </w:r>
          </w:p>
        </w:tc>
        <w:tc>
          <w:tcPr>
            <w:tcW w:w="2644" w:type="pct"/>
            <w:vMerge w:val="restart"/>
            <w:shd w:val="clear" w:color="auto" w:fill="D9D9D9" w:themeFill="background1" w:themeFillShade="D9"/>
            <w:vAlign w:val="center"/>
          </w:tcPr>
          <w:p w:rsidR="003A3170" w:rsidRPr="00920905" w:rsidRDefault="003A3170" w:rsidP="00167AAD">
            <w:pPr>
              <w:jc w:val="center"/>
              <w:rPr>
                <w:rFonts w:cstheme="minorHAnsi"/>
                <w:b/>
                <w:szCs w:val="20"/>
              </w:rPr>
            </w:pPr>
            <w:r w:rsidRPr="00920905">
              <w:rPr>
                <w:rFonts w:cstheme="minorHAnsi"/>
                <w:b/>
                <w:szCs w:val="20"/>
              </w:rPr>
              <w:t>Measure Name</w:t>
            </w:r>
          </w:p>
        </w:tc>
      </w:tr>
      <w:tr w:rsidR="003A3170" w:rsidRPr="00800706" w:rsidTr="00167AAD">
        <w:tc>
          <w:tcPr>
            <w:tcW w:w="539" w:type="pct"/>
            <w:shd w:val="clear" w:color="auto" w:fill="F2F2F2" w:themeFill="background1" w:themeFillShade="F2"/>
            <w:vAlign w:val="center"/>
          </w:tcPr>
          <w:p w:rsidR="003A3170" w:rsidRPr="00800706" w:rsidRDefault="003A3170" w:rsidP="00167AAD">
            <w:pPr>
              <w:jc w:val="center"/>
              <w:rPr>
                <w:rFonts w:cstheme="minorHAnsi"/>
                <w:szCs w:val="20"/>
              </w:rPr>
            </w:pPr>
            <w:r w:rsidRPr="00800706">
              <w:rPr>
                <w:rFonts w:cstheme="minorHAnsi"/>
                <w:szCs w:val="20"/>
              </w:rPr>
              <w:t>SCG</w:t>
            </w:r>
          </w:p>
        </w:tc>
        <w:tc>
          <w:tcPr>
            <w:tcW w:w="539" w:type="pct"/>
            <w:shd w:val="clear" w:color="auto" w:fill="F2F2F2" w:themeFill="background1" w:themeFillShade="F2"/>
            <w:vAlign w:val="center"/>
          </w:tcPr>
          <w:p w:rsidR="003A3170" w:rsidRPr="00800706" w:rsidRDefault="003A3170" w:rsidP="00167AAD">
            <w:pPr>
              <w:jc w:val="center"/>
              <w:rPr>
                <w:rFonts w:cstheme="minorHAnsi"/>
                <w:szCs w:val="20"/>
              </w:rPr>
            </w:pPr>
            <w:r w:rsidRPr="00800706">
              <w:rPr>
                <w:rFonts w:cstheme="minorHAnsi"/>
                <w:szCs w:val="20"/>
              </w:rPr>
              <w:t>SDG&amp;E</w:t>
            </w:r>
          </w:p>
        </w:tc>
        <w:tc>
          <w:tcPr>
            <w:tcW w:w="605" w:type="pct"/>
            <w:shd w:val="clear" w:color="auto" w:fill="F2F2F2" w:themeFill="background1" w:themeFillShade="F2"/>
            <w:vAlign w:val="center"/>
          </w:tcPr>
          <w:p w:rsidR="003A3170" w:rsidRPr="00800706" w:rsidRDefault="003A3170" w:rsidP="00167AAD">
            <w:pPr>
              <w:jc w:val="center"/>
              <w:rPr>
                <w:rFonts w:cstheme="minorHAnsi"/>
                <w:szCs w:val="20"/>
              </w:rPr>
            </w:pPr>
            <w:r w:rsidRPr="00800706">
              <w:rPr>
                <w:rFonts w:cstheme="minorHAnsi"/>
                <w:szCs w:val="20"/>
              </w:rPr>
              <w:t>SCE</w:t>
            </w:r>
          </w:p>
        </w:tc>
        <w:tc>
          <w:tcPr>
            <w:tcW w:w="673" w:type="pct"/>
            <w:shd w:val="clear" w:color="auto" w:fill="F2F2F2" w:themeFill="background1" w:themeFillShade="F2"/>
            <w:vAlign w:val="center"/>
          </w:tcPr>
          <w:p w:rsidR="003A3170" w:rsidRPr="00800706" w:rsidRDefault="003A3170" w:rsidP="00167AAD">
            <w:pPr>
              <w:jc w:val="center"/>
              <w:rPr>
                <w:rFonts w:cstheme="minorHAnsi"/>
                <w:szCs w:val="20"/>
              </w:rPr>
            </w:pPr>
            <w:r w:rsidRPr="00800706">
              <w:rPr>
                <w:rFonts w:cstheme="minorHAnsi"/>
                <w:szCs w:val="20"/>
              </w:rPr>
              <w:t>PG&amp;E</w:t>
            </w:r>
          </w:p>
        </w:tc>
        <w:tc>
          <w:tcPr>
            <w:tcW w:w="2644" w:type="pct"/>
            <w:vMerge/>
          </w:tcPr>
          <w:p w:rsidR="003A3170" w:rsidRPr="00800706" w:rsidRDefault="003A3170" w:rsidP="005729C8">
            <w:pPr>
              <w:rPr>
                <w:rFonts w:cstheme="minorHAnsi"/>
                <w:szCs w:val="20"/>
              </w:rPr>
            </w:pPr>
          </w:p>
        </w:tc>
      </w:tr>
      <w:tr w:rsidR="00572D2F" w:rsidRPr="00800706" w:rsidTr="00167AAD">
        <w:trPr>
          <w:trHeight w:val="243"/>
        </w:trPr>
        <w:tc>
          <w:tcPr>
            <w:tcW w:w="539" w:type="pct"/>
            <w:vAlign w:val="center"/>
          </w:tcPr>
          <w:p w:rsidR="00572D2F" w:rsidRPr="00167AAD" w:rsidRDefault="002475A1" w:rsidP="00167AAD">
            <w:pPr>
              <w:jc w:val="center"/>
              <w:rPr>
                <w:rFonts w:cstheme="minorHAnsi"/>
                <w:szCs w:val="20"/>
              </w:rPr>
            </w:pPr>
            <w:r w:rsidRPr="00167AAD">
              <w:rPr>
                <w:rFonts w:cstheme="minorHAnsi"/>
                <w:szCs w:val="20"/>
              </w:rPr>
              <w:t>N/A</w:t>
            </w:r>
          </w:p>
        </w:tc>
        <w:tc>
          <w:tcPr>
            <w:tcW w:w="539" w:type="pct"/>
            <w:vAlign w:val="center"/>
          </w:tcPr>
          <w:p w:rsidR="00572D2F" w:rsidRPr="00167AAD" w:rsidRDefault="002475A1" w:rsidP="00167AAD">
            <w:pPr>
              <w:jc w:val="center"/>
              <w:rPr>
                <w:rFonts w:cstheme="minorHAnsi"/>
                <w:szCs w:val="20"/>
              </w:rPr>
            </w:pPr>
            <w:r w:rsidRPr="00167AAD">
              <w:rPr>
                <w:rFonts w:cstheme="minorHAnsi"/>
                <w:szCs w:val="20"/>
              </w:rPr>
              <w:t>TBD</w:t>
            </w:r>
          </w:p>
        </w:tc>
        <w:tc>
          <w:tcPr>
            <w:tcW w:w="605" w:type="pct"/>
            <w:vAlign w:val="center"/>
          </w:tcPr>
          <w:p w:rsidR="00572D2F" w:rsidRPr="00167AAD" w:rsidRDefault="00202E78" w:rsidP="00167AAD">
            <w:pPr>
              <w:jc w:val="center"/>
              <w:rPr>
                <w:rFonts w:cstheme="minorHAnsi"/>
                <w:szCs w:val="20"/>
              </w:rPr>
            </w:pPr>
            <w:r w:rsidRPr="00167AAD">
              <w:rPr>
                <w:rFonts w:cstheme="minorHAnsi"/>
                <w:szCs w:val="20"/>
              </w:rPr>
              <w:t>LT-12500</w:t>
            </w:r>
          </w:p>
        </w:tc>
        <w:tc>
          <w:tcPr>
            <w:tcW w:w="673" w:type="pct"/>
            <w:vAlign w:val="center"/>
          </w:tcPr>
          <w:p w:rsidR="00572D2F" w:rsidRPr="00167AAD" w:rsidRDefault="002475A1" w:rsidP="00167AAD">
            <w:pPr>
              <w:jc w:val="center"/>
              <w:rPr>
                <w:rFonts w:cstheme="minorHAnsi"/>
                <w:szCs w:val="20"/>
              </w:rPr>
            </w:pPr>
            <w:r w:rsidRPr="00167AAD">
              <w:rPr>
                <w:rFonts w:cstheme="minorHAnsi"/>
                <w:szCs w:val="20"/>
              </w:rPr>
              <w:t>TBD</w:t>
            </w:r>
          </w:p>
        </w:tc>
        <w:tc>
          <w:tcPr>
            <w:tcW w:w="2644" w:type="pct"/>
          </w:tcPr>
          <w:p w:rsidR="00202E78" w:rsidRPr="00167AAD" w:rsidRDefault="00202E78" w:rsidP="00202E78">
            <w:pPr>
              <w:rPr>
                <w:szCs w:val="20"/>
              </w:rPr>
            </w:pPr>
            <w:r w:rsidRPr="00167AAD">
              <w:rPr>
                <w:szCs w:val="20"/>
              </w:rPr>
              <w:t xml:space="preserve">Four foot 2-lamp LED External Driver Lamp-Style Retrofit Kit (UL Type C) fixture with bi-level </w:t>
            </w:r>
            <w:r w:rsidR="00167AAD">
              <w:rPr>
                <w:szCs w:val="20"/>
              </w:rPr>
              <w:t xml:space="preserve">occupancy sensor and photocell controls </w:t>
            </w:r>
            <w:r w:rsidRPr="00167AAD">
              <w:rPr>
                <w:szCs w:val="20"/>
              </w:rPr>
              <w:t>in day lit zone</w:t>
            </w:r>
            <w:r w:rsidR="00167AAD">
              <w:rPr>
                <w:szCs w:val="20"/>
              </w:rPr>
              <w:t>s</w:t>
            </w:r>
          </w:p>
          <w:p w:rsidR="00572D2F" w:rsidRPr="00167AAD" w:rsidRDefault="00572D2F" w:rsidP="00607F9D"/>
        </w:tc>
      </w:tr>
      <w:tr w:rsidR="00202E78" w:rsidRPr="00800706" w:rsidTr="00167AAD">
        <w:trPr>
          <w:trHeight w:val="243"/>
        </w:trPr>
        <w:tc>
          <w:tcPr>
            <w:tcW w:w="539" w:type="pct"/>
            <w:vAlign w:val="center"/>
          </w:tcPr>
          <w:p w:rsidR="00202E78" w:rsidRPr="00167AAD" w:rsidRDefault="00202E78" w:rsidP="00167AAD">
            <w:pPr>
              <w:jc w:val="center"/>
              <w:rPr>
                <w:rFonts w:cstheme="minorHAnsi"/>
                <w:szCs w:val="20"/>
              </w:rPr>
            </w:pPr>
            <w:r w:rsidRPr="00167AAD">
              <w:rPr>
                <w:rFonts w:cstheme="minorHAnsi"/>
                <w:szCs w:val="20"/>
              </w:rPr>
              <w:t>N/A</w:t>
            </w:r>
          </w:p>
        </w:tc>
        <w:tc>
          <w:tcPr>
            <w:tcW w:w="539" w:type="pct"/>
            <w:vAlign w:val="center"/>
          </w:tcPr>
          <w:p w:rsidR="00202E78" w:rsidRPr="00167AAD" w:rsidRDefault="00202E78" w:rsidP="00167AAD">
            <w:pPr>
              <w:jc w:val="center"/>
              <w:rPr>
                <w:rFonts w:cstheme="minorHAnsi"/>
                <w:szCs w:val="20"/>
              </w:rPr>
            </w:pPr>
            <w:r w:rsidRPr="00167AAD">
              <w:rPr>
                <w:rFonts w:cstheme="minorHAnsi"/>
                <w:szCs w:val="20"/>
              </w:rPr>
              <w:t>TBD</w:t>
            </w:r>
          </w:p>
        </w:tc>
        <w:tc>
          <w:tcPr>
            <w:tcW w:w="605" w:type="pct"/>
            <w:vAlign w:val="center"/>
          </w:tcPr>
          <w:p w:rsidR="00202E78" w:rsidRPr="00167AAD" w:rsidRDefault="00202E78" w:rsidP="00167AAD">
            <w:pPr>
              <w:jc w:val="center"/>
              <w:rPr>
                <w:rFonts w:cstheme="minorHAnsi"/>
                <w:szCs w:val="20"/>
              </w:rPr>
            </w:pPr>
            <w:r w:rsidRPr="00167AAD">
              <w:rPr>
                <w:rFonts w:cstheme="minorHAnsi"/>
                <w:szCs w:val="20"/>
              </w:rPr>
              <w:t>LT-12501</w:t>
            </w:r>
          </w:p>
        </w:tc>
        <w:tc>
          <w:tcPr>
            <w:tcW w:w="673" w:type="pct"/>
            <w:vAlign w:val="center"/>
          </w:tcPr>
          <w:p w:rsidR="00202E78" w:rsidRPr="00167AAD" w:rsidRDefault="00202E78" w:rsidP="00167AAD">
            <w:pPr>
              <w:jc w:val="center"/>
              <w:rPr>
                <w:rFonts w:cstheme="minorHAnsi"/>
                <w:szCs w:val="20"/>
              </w:rPr>
            </w:pPr>
            <w:r w:rsidRPr="00167AAD">
              <w:rPr>
                <w:rFonts w:cstheme="minorHAnsi"/>
                <w:szCs w:val="20"/>
              </w:rPr>
              <w:t>TBD</w:t>
            </w:r>
          </w:p>
        </w:tc>
        <w:tc>
          <w:tcPr>
            <w:tcW w:w="2644" w:type="pct"/>
          </w:tcPr>
          <w:p w:rsidR="00202E78" w:rsidRPr="00167AAD" w:rsidRDefault="00202E78" w:rsidP="00607F9D">
            <w:r w:rsidRPr="00167AAD">
              <w:rPr>
                <w:szCs w:val="20"/>
              </w:rPr>
              <w:t xml:space="preserve">Four foot 2-lamp LED External Driver Lamp-Style Retrofit Kit (UL Type C) fixture with </w:t>
            </w:r>
            <w:r w:rsidR="00167AAD">
              <w:rPr>
                <w:szCs w:val="20"/>
              </w:rPr>
              <w:t xml:space="preserve">bi-level occupancy sensing control </w:t>
            </w:r>
            <w:r w:rsidRPr="00167AAD">
              <w:rPr>
                <w:szCs w:val="20"/>
              </w:rPr>
              <w:t>in non-day lit zone</w:t>
            </w:r>
            <w:r w:rsidR="00167AAD">
              <w:rPr>
                <w:szCs w:val="20"/>
              </w:rPr>
              <w:t>s</w:t>
            </w:r>
          </w:p>
        </w:tc>
      </w:tr>
    </w:tbl>
    <w:p w:rsidR="00760CDC" w:rsidRPr="00800706" w:rsidRDefault="00760CDC" w:rsidP="00697868">
      <w:pPr>
        <w:pStyle w:val="Reminders"/>
        <w:rPr>
          <w:rFonts w:asciiTheme="minorHAnsi" w:hAnsiTheme="minorHAnsi" w:cstheme="minorHAnsi"/>
          <w:i w:val="0"/>
          <w:szCs w:val="22"/>
        </w:rPr>
      </w:pPr>
    </w:p>
    <w:p w:rsidR="00167AAD" w:rsidRDefault="00167AAD">
      <w:pPr>
        <w:spacing w:after="200" w:line="276" w:lineRule="auto"/>
        <w:rPr>
          <w:rFonts w:eastAsiaTheme="minorHAnsi" w:cstheme="minorBidi"/>
          <w:b/>
          <w:szCs w:val="22"/>
        </w:rPr>
      </w:pPr>
      <w:r>
        <w:rPr>
          <w:b/>
        </w:rPr>
        <w:br w:type="page"/>
      </w:r>
    </w:p>
    <w:p w:rsidR="00E22006" w:rsidRPr="00607F9D" w:rsidRDefault="008E25B1" w:rsidP="00875A5E">
      <w:pPr>
        <w:pStyle w:val="NoSpacing"/>
      </w:pPr>
      <w:r w:rsidRPr="00607F9D">
        <w:rPr>
          <w:b/>
        </w:rPr>
        <w:lastRenderedPageBreak/>
        <w:t>Eligibility r</w:t>
      </w:r>
      <w:r w:rsidR="00697868" w:rsidRPr="00607F9D">
        <w:rPr>
          <w:b/>
        </w:rPr>
        <w:t>equirements</w:t>
      </w:r>
      <w:r w:rsidR="001D33EF" w:rsidRPr="00607F9D">
        <w:t xml:space="preserve">: </w:t>
      </w:r>
    </w:p>
    <w:p w:rsidR="00875A5E" w:rsidRDefault="00875A5E" w:rsidP="00875A5E">
      <w:pPr>
        <w:pStyle w:val="NoSpacing"/>
      </w:pPr>
      <w:r w:rsidRPr="00875A5E">
        <w:t xml:space="preserve">To qualify for incentives, </w:t>
      </w:r>
      <w:r w:rsidR="009367DF">
        <w:t xml:space="preserve">Interior </w:t>
      </w:r>
      <w:r>
        <w:t>LED</w:t>
      </w:r>
      <w:r w:rsidR="009367DF">
        <w:t xml:space="preserve"> Parking Garage</w:t>
      </w:r>
      <w:r>
        <w:t xml:space="preserve"> </w:t>
      </w:r>
      <w:r w:rsidR="009367DF">
        <w:t>Retrofit K</w:t>
      </w:r>
      <w:r>
        <w:t xml:space="preserve">its </w:t>
      </w:r>
      <w:r w:rsidRPr="00875A5E">
        <w:t xml:space="preserve">must </w:t>
      </w:r>
      <w:r>
        <w:t>be:</w:t>
      </w:r>
    </w:p>
    <w:p w:rsidR="00875A5E" w:rsidRDefault="00875A5E" w:rsidP="00DD2BB9">
      <w:pPr>
        <w:pStyle w:val="NoSpacing"/>
        <w:numPr>
          <w:ilvl w:val="0"/>
          <w:numId w:val="4"/>
        </w:numPr>
      </w:pPr>
      <w:r w:rsidRPr="00875A5E">
        <w:t>4-</w:t>
      </w:r>
      <w:r>
        <w:t xml:space="preserve">foot in length </w:t>
      </w:r>
    </w:p>
    <w:p w:rsidR="00875A5E" w:rsidRDefault="00875A5E" w:rsidP="00DD2BB9">
      <w:pPr>
        <w:pStyle w:val="NoSpacing"/>
        <w:numPr>
          <w:ilvl w:val="0"/>
          <w:numId w:val="4"/>
        </w:numPr>
      </w:pPr>
      <w:r>
        <w:t>designated as UL Type C (External Driver Lamp-Style Retrofit Kits)</w:t>
      </w:r>
    </w:p>
    <w:p w:rsidR="00E22006" w:rsidRPr="00607F9D" w:rsidRDefault="009367DF" w:rsidP="00DD2BB9">
      <w:pPr>
        <w:pStyle w:val="NoSpacing"/>
        <w:numPr>
          <w:ilvl w:val="0"/>
          <w:numId w:val="4"/>
        </w:numPr>
      </w:pPr>
      <w:r w:rsidRPr="00607F9D">
        <w:t>One for one replacement for a linear fluorescent f</w:t>
      </w:r>
      <w:r w:rsidR="00E22006" w:rsidRPr="00607F9D">
        <w:t xml:space="preserve">ixture with </w:t>
      </w:r>
      <w:r w:rsidR="008B3C6A">
        <w:t xml:space="preserve">two </w:t>
      </w:r>
      <w:r w:rsidR="00E22006" w:rsidRPr="00607F9D">
        <w:t xml:space="preserve">T8 lamps </w:t>
      </w:r>
    </w:p>
    <w:p w:rsidR="00C24E2E" w:rsidRPr="00607F9D" w:rsidRDefault="00C24E2E" w:rsidP="00DD2BB9">
      <w:pPr>
        <w:pStyle w:val="NoSpacing"/>
        <w:numPr>
          <w:ilvl w:val="0"/>
          <w:numId w:val="4"/>
        </w:numPr>
      </w:pPr>
      <w:r w:rsidRPr="00607F9D">
        <w:t>Dimming options must include 0-10 volt, digital, and phase cut</w:t>
      </w:r>
    </w:p>
    <w:p w:rsidR="00E22006" w:rsidRPr="00607F9D" w:rsidRDefault="00E22006" w:rsidP="00DD2BB9">
      <w:pPr>
        <w:pStyle w:val="NoSpacing"/>
        <w:numPr>
          <w:ilvl w:val="0"/>
          <w:numId w:val="4"/>
        </w:numPr>
      </w:pPr>
      <w:r w:rsidRPr="00607F9D">
        <w:t>Design Lights Consortium (DLC) ap</w:t>
      </w:r>
      <w:r w:rsidR="00C24E2E" w:rsidRPr="00607F9D">
        <w:t xml:space="preserve">proved Integrated Retrofit Kit </w:t>
      </w:r>
      <w:r w:rsidRPr="00607F9D">
        <w:t>for Parking Garage</w:t>
      </w:r>
      <w:r w:rsidR="00C24E2E" w:rsidRPr="00607F9D">
        <w:t>s</w:t>
      </w:r>
      <w:r w:rsidRPr="00607F9D">
        <w:t xml:space="preserve"> </w:t>
      </w:r>
    </w:p>
    <w:p w:rsidR="00E22006" w:rsidRPr="00607F9D" w:rsidRDefault="00E22006" w:rsidP="00DD2BB9">
      <w:pPr>
        <w:pStyle w:val="NoSpacing"/>
        <w:numPr>
          <w:ilvl w:val="0"/>
          <w:numId w:val="4"/>
        </w:numPr>
      </w:pPr>
      <w:r w:rsidRPr="00607F9D">
        <w:t>DLC-listed i</w:t>
      </w:r>
      <w:r w:rsidR="00493AFB">
        <w:t>nitial light output must be ≥ 23</w:t>
      </w:r>
      <w:r w:rsidRPr="00607F9D">
        <w:t>00 lm and ≤ 6500 lm</w:t>
      </w:r>
    </w:p>
    <w:p w:rsidR="00E22006" w:rsidRPr="00607F9D" w:rsidRDefault="00E22006" w:rsidP="00DD2BB9">
      <w:pPr>
        <w:pStyle w:val="NoSpacing"/>
        <w:numPr>
          <w:ilvl w:val="1"/>
          <w:numId w:val="4"/>
        </w:numPr>
      </w:pPr>
      <w:r w:rsidRPr="00607F9D">
        <w:t>5-year warranty minimum</w:t>
      </w:r>
    </w:p>
    <w:p w:rsidR="00C24E2E" w:rsidRPr="00607F9D" w:rsidRDefault="00C24E2E" w:rsidP="00DD2BB9">
      <w:pPr>
        <w:pStyle w:val="NoSpacing"/>
        <w:numPr>
          <w:ilvl w:val="1"/>
          <w:numId w:val="4"/>
        </w:numPr>
      </w:pPr>
      <w:r w:rsidRPr="00607F9D">
        <w:t xml:space="preserve">The </w:t>
      </w:r>
      <w:r w:rsidR="00510CD0" w:rsidRPr="00607F9D">
        <w:t>LED fixture</w:t>
      </w:r>
      <w:r w:rsidRPr="00607F9D">
        <w:t xml:space="preserve"> must be listed under the Primary Use Category “</w:t>
      </w:r>
      <w:r w:rsidR="00510CD0" w:rsidRPr="00607F9D">
        <w:t>2-lamp External driver Lamp-style retrofit kits (UL Type C)</w:t>
      </w:r>
      <w:r w:rsidRPr="00607F9D">
        <w:t xml:space="preserve">” on the DLC’s Qualified Products List (QPL) and meet additional criteria outlined below. The LED T8 Lamp specification sheet must also list all of the compatible ballast model numbers to ensure proper operation of the measure. </w:t>
      </w:r>
    </w:p>
    <w:p w:rsidR="00C24E2E" w:rsidRPr="00607F9D" w:rsidRDefault="00C24E2E" w:rsidP="00DD2BB9">
      <w:pPr>
        <w:pStyle w:val="NoSpacing"/>
        <w:numPr>
          <w:ilvl w:val="1"/>
          <w:numId w:val="4"/>
        </w:numPr>
      </w:pPr>
      <w:r w:rsidRPr="00607F9D">
        <w:t xml:space="preserve">The products on the QPL will be filtered and must meet the specs as listed below. </w:t>
      </w:r>
    </w:p>
    <w:p w:rsidR="00167AAD" w:rsidRDefault="00167AAD" w:rsidP="00167AAD">
      <w:pPr>
        <w:spacing w:line="276" w:lineRule="auto"/>
        <w:jc w:val="center"/>
        <w:rPr>
          <w:rFonts w:cstheme="minorHAnsi"/>
          <w:b/>
          <w:szCs w:val="22"/>
        </w:rPr>
      </w:pPr>
    </w:p>
    <w:p w:rsidR="00C24E2E" w:rsidRPr="00167AAD" w:rsidRDefault="00167AAD" w:rsidP="00167AAD">
      <w:pPr>
        <w:spacing w:line="276" w:lineRule="auto"/>
        <w:jc w:val="center"/>
        <w:rPr>
          <w:rFonts w:cstheme="minorHAnsi"/>
          <w:b/>
          <w:szCs w:val="22"/>
        </w:rPr>
      </w:pPr>
      <w:r w:rsidRPr="00167AAD">
        <w:rPr>
          <w:rFonts w:cstheme="minorHAnsi"/>
          <w:b/>
          <w:szCs w:val="22"/>
        </w:rPr>
        <w:t xml:space="preserve">Table 3. </w:t>
      </w:r>
      <w:r w:rsidR="00C24E2E" w:rsidRPr="00167AAD">
        <w:rPr>
          <w:rFonts w:cstheme="minorHAnsi"/>
          <w:szCs w:val="22"/>
        </w:rPr>
        <w:t>Program Requirement</w:t>
      </w:r>
      <w:r>
        <w:rPr>
          <w:rFonts w:cstheme="minorHAnsi"/>
          <w:szCs w:val="22"/>
        </w:rPr>
        <w:t>s</w:t>
      </w:r>
    </w:p>
    <w:tbl>
      <w:tblPr>
        <w:tblStyle w:val="TableGrid1"/>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1E0" w:firstRow="1" w:lastRow="1" w:firstColumn="1" w:lastColumn="1" w:noHBand="0" w:noVBand="0"/>
      </w:tblPr>
      <w:tblGrid>
        <w:gridCol w:w="2392"/>
        <w:gridCol w:w="1936"/>
        <w:gridCol w:w="1475"/>
        <w:gridCol w:w="3773"/>
      </w:tblGrid>
      <w:tr w:rsidR="00C24E2E" w:rsidTr="002C52CA">
        <w:trPr>
          <w:trHeight w:val="287"/>
        </w:trPr>
        <w:tc>
          <w:tcPr>
            <w:tcW w:w="1249" w:type="pct"/>
            <w:tcBorders>
              <w:top w:val="single" w:sz="12" w:space="0" w:color="auto"/>
              <w:left w:val="single" w:sz="12" w:space="0" w:color="auto"/>
              <w:bottom w:val="single" w:sz="6" w:space="0" w:color="auto"/>
              <w:right w:val="single" w:sz="12" w:space="0" w:color="auto"/>
            </w:tcBorders>
            <w:shd w:val="clear" w:color="auto" w:fill="D9D9D9" w:themeFill="background1" w:themeFillShade="D9"/>
            <w:hideMark/>
          </w:tcPr>
          <w:p w:rsidR="00C24E2E" w:rsidRDefault="00C24E2E" w:rsidP="008B3C6A">
            <w:pPr>
              <w:rPr>
                <w:rFonts w:cstheme="minorHAnsi"/>
                <w:b/>
                <w:szCs w:val="20"/>
              </w:rPr>
            </w:pPr>
            <w:r w:rsidRPr="00B35F16">
              <w:rPr>
                <w:rFonts w:cstheme="minorHAnsi"/>
                <w:b/>
                <w:szCs w:val="20"/>
              </w:rPr>
              <w:t>Performance Metric</w:t>
            </w:r>
          </w:p>
        </w:tc>
        <w:tc>
          <w:tcPr>
            <w:tcW w:w="1011" w:type="pct"/>
            <w:tcBorders>
              <w:top w:val="single" w:sz="12" w:space="0" w:color="auto"/>
              <w:left w:val="single" w:sz="12" w:space="0" w:color="auto"/>
              <w:bottom w:val="single" w:sz="6" w:space="0" w:color="auto"/>
            </w:tcBorders>
            <w:shd w:val="clear" w:color="auto" w:fill="D9D9D9" w:themeFill="background1" w:themeFillShade="D9"/>
            <w:hideMark/>
          </w:tcPr>
          <w:p w:rsidR="00C24E2E" w:rsidRDefault="00C24E2E" w:rsidP="008B3C6A">
            <w:pPr>
              <w:rPr>
                <w:rFonts w:cstheme="minorHAnsi"/>
                <w:b/>
                <w:szCs w:val="20"/>
              </w:rPr>
            </w:pPr>
            <w:r w:rsidRPr="00B35F16">
              <w:rPr>
                <w:rFonts w:cstheme="minorHAnsi"/>
                <w:b/>
                <w:szCs w:val="20"/>
              </w:rPr>
              <w:t>DLC Requirement</w:t>
            </w:r>
          </w:p>
        </w:tc>
        <w:tc>
          <w:tcPr>
            <w:tcW w:w="770" w:type="pct"/>
            <w:tcBorders>
              <w:top w:val="single" w:sz="12" w:space="0" w:color="auto"/>
              <w:bottom w:val="single" w:sz="6" w:space="0" w:color="auto"/>
              <w:right w:val="single" w:sz="12" w:space="0" w:color="auto"/>
            </w:tcBorders>
            <w:shd w:val="clear" w:color="auto" w:fill="D9D9D9" w:themeFill="background1" w:themeFillShade="D9"/>
          </w:tcPr>
          <w:p w:rsidR="00C24E2E" w:rsidRDefault="00C24E2E" w:rsidP="008B3C6A">
            <w:pPr>
              <w:rPr>
                <w:rFonts w:cstheme="minorHAnsi"/>
                <w:b/>
                <w:szCs w:val="20"/>
              </w:rPr>
            </w:pPr>
            <w:r w:rsidRPr="00B35F16">
              <w:rPr>
                <w:rFonts w:cstheme="minorHAnsi"/>
                <w:b/>
                <w:szCs w:val="20"/>
              </w:rPr>
              <w:t>DLC Tolerance</w:t>
            </w:r>
          </w:p>
        </w:tc>
        <w:tc>
          <w:tcPr>
            <w:tcW w:w="1971" w:type="pct"/>
            <w:tcBorders>
              <w:top w:val="single" w:sz="12" w:space="0" w:color="auto"/>
              <w:left w:val="single" w:sz="12" w:space="0" w:color="auto"/>
              <w:bottom w:val="single" w:sz="6" w:space="0" w:color="auto"/>
              <w:right w:val="single" w:sz="12" w:space="0" w:color="auto"/>
            </w:tcBorders>
            <w:shd w:val="clear" w:color="auto" w:fill="D9D9D9" w:themeFill="background1" w:themeFillShade="D9"/>
            <w:hideMark/>
          </w:tcPr>
          <w:p w:rsidR="00C24E2E" w:rsidRDefault="00C24E2E" w:rsidP="008B3C6A">
            <w:pPr>
              <w:rPr>
                <w:rFonts w:cstheme="minorHAnsi"/>
                <w:b/>
                <w:szCs w:val="20"/>
              </w:rPr>
            </w:pPr>
            <w:r>
              <w:rPr>
                <w:rFonts w:cstheme="minorHAnsi"/>
                <w:b/>
                <w:szCs w:val="20"/>
              </w:rPr>
              <w:t>Program Requirement (</w:t>
            </w:r>
            <w:r w:rsidRPr="009D730D">
              <w:rPr>
                <w:rFonts w:cstheme="minorHAnsi"/>
                <w:b/>
                <w:szCs w:val="20"/>
              </w:rPr>
              <w:t>no tolerance</w:t>
            </w:r>
            <w:r>
              <w:rPr>
                <w:rFonts w:cstheme="minorHAnsi"/>
                <w:b/>
                <w:szCs w:val="20"/>
              </w:rPr>
              <w:t>)</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theme="minorHAnsi"/>
                <w:szCs w:val="20"/>
              </w:rPr>
            </w:pPr>
            <w:r w:rsidRPr="00B35F16">
              <w:rPr>
                <w:rFonts w:cs="Arial"/>
                <w:szCs w:val="20"/>
              </w:rPr>
              <w:t>Luminaire Efficacy</w:t>
            </w:r>
          </w:p>
        </w:tc>
        <w:tc>
          <w:tcPr>
            <w:tcW w:w="1011" w:type="pct"/>
            <w:tcBorders>
              <w:top w:val="single" w:sz="6" w:space="0" w:color="auto"/>
              <w:left w:val="single" w:sz="12" w:space="0" w:color="auto"/>
              <w:bottom w:val="single" w:sz="6" w:space="0" w:color="auto"/>
            </w:tcBorders>
          </w:tcPr>
          <w:p w:rsidR="00C24E2E" w:rsidRPr="00B35F16" w:rsidRDefault="00C24E2E" w:rsidP="002C52CA">
            <w:pPr>
              <w:rPr>
                <w:rFonts w:eastAsiaTheme="minorHAnsi" w:cs="Arial"/>
                <w:color w:val="000000"/>
                <w:szCs w:val="20"/>
              </w:rPr>
            </w:pPr>
            <w:r>
              <w:rPr>
                <w:rFonts w:cs="Arial"/>
                <w:szCs w:val="20"/>
              </w:rPr>
              <w:t>≥100</w:t>
            </w:r>
            <w:r w:rsidRPr="00B35F16">
              <w:rPr>
                <w:rFonts w:cs="Arial"/>
                <w:szCs w:val="20"/>
              </w:rPr>
              <w:t xml:space="preserve"> LPW</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-3%</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theme="minorHAnsi"/>
                <w:color w:val="000000"/>
                <w:szCs w:val="20"/>
              </w:rPr>
            </w:pPr>
            <w:r>
              <w:rPr>
                <w:rFonts w:cs="Arial"/>
                <w:szCs w:val="20"/>
              </w:rPr>
              <w:t>≥100</w:t>
            </w:r>
            <w:r w:rsidRPr="00B35F16">
              <w:rPr>
                <w:rFonts w:cs="Arial"/>
                <w:szCs w:val="20"/>
              </w:rPr>
              <w:t xml:space="preserve"> LPW</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theme="minorHAnsi"/>
                <w:szCs w:val="20"/>
              </w:rPr>
            </w:pPr>
            <w:r w:rsidRPr="00B35F16">
              <w:rPr>
                <w:rFonts w:cs="Arial"/>
                <w:szCs w:val="20"/>
              </w:rPr>
              <w:t>CRI</w:t>
            </w:r>
          </w:p>
        </w:tc>
        <w:tc>
          <w:tcPr>
            <w:tcW w:w="1011" w:type="pct"/>
            <w:tcBorders>
              <w:top w:val="single" w:sz="6" w:space="0" w:color="auto"/>
              <w:left w:val="single" w:sz="12" w:space="0" w:color="auto"/>
              <w:bottom w:val="single" w:sz="6" w:space="0" w:color="auto"/>
            </w:tcBorders>
          </w:tcPr>
          <w:p w:rsidR="00C24E2E" w:rsidRPr="00B35F16" w:rsidRDefault="00C24E2E" w:rsidP="002C52CA">
            <w:pPr>
              <w:rPr>
                <w:rFonts w:eastAsiaTheme="minorHAnsi" w:cs="Arial"/>
                <w:color w:val="000000"/>
                <w:szCs w:val="20"/>
              </w:rPr>
            </w:pPr>
            <w:r w:rsidRPr="00B35F16">
              <w:rPr>
                <w:rFonts w:cs="Arial"/>
                <w:szCs w:val="20"/>
              </w:rPr>
              <w:t>≥80</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-2 points</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theme="minorHAnsi"/>
                <w:color w:val="000000"/>
                <w:szCs w:val="20"/>
              </w:rPr>
            </w:pPr>
            <w:r w:rsidRPr="00B35F16">
              <w:rPr>
                <w:rFonts w:cs="Arial"/>
                <w:szCs w:val="20"/>
              </w:rPr>
              <w:t>≥80</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theme="minorHAnsi"/>
                <w:szCs w:val="20"/>
              </w:rPr>
            </w:pPr>
            <w:r w:rsidRPr="00B35F16">
              <w:rPr>
                <w:rFonts w:cs="Arial"/>
                <w:szCs w:val="20"/>
              </w:rPr>
              <w:t>CCT</w:t>
            </w:r>
          </w:p>
        </w:tc>
        <w:tc>
          <w:tcPr>
            <w:tcW w:w="1011" w:type="pct"/>
            <w:tcBorders>
              <w:top w:val="single" w:sz="6" w:space="0" w:color="auto"/>
              <w:left w:val="single" w:sz="12" w:space="0" w:color="auto"/>
              <w:bottom w:val="single" w:sz="6" w:space="0" w:color="auto"/>
            </w:tcBorders>
          </w:tcPr>
          <w:p w:rsidR="00C24E2E" w:rsidRPr="00B35F16" w:rsidRDefault="004C145B" w:rsidP="002C52CA">
            <w:pPr>
              <w:rPr>
                <w:rFonts w:eastAsiaTheme="minorHAnsi" w:cs="Arial"/>
                <w:color w:val="000000"/>
                <w:szCs w:val="20"/>
              </w:rPr>
            </w:pPr>
            <w:r>
              <w:rPr>
                <w:rFonts w:cs="Arial"/>
                <w:szCs w:val="20"/>
              </w:rPr>
              <w:t>≤ 5</w:t>
            </w:r>
            <w:r w:rsidR="00C24E2E" w:rsidRPr="00B35F16">
              <w:rPr>
                <w:rFonts w:cs="Arial"/>
                <w:szCs w:val="20"/>
              </w:rPr>
              <w:t>,000K</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N/A</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4C145B" w:rsidP="002C52CA">
            <w:pPr>
              <w:rPr>
                <w:rFonts w:cstheme="minorHAnsi"/>
                <w:color w:val="000000"/>
                <w:szCs w:val="20"/>
              </w:rPr>
            </w:pPr>
            <w:r>
              <w:rPr>
                <w:rFonts w:cs="Arial"/>
                <w:szCs w:val="20"/>
              </w:rPr>
              <w:t>≤ 5</w:t>
            </w:r>
            <w:r w:rsidR="00C24E2E" w:rsidRPr="00B35F16">
              <w:rPr>
                <w:rFonts w:cs="Arial"/>
                <w:szCs w:val="20"/>
              </w:rPr>
              <w:t>,000K</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292092" w:rsidRDefault="00C24E2E" w:rsidP="002C52CA">
            <w:pPr>
              <w:rPr>
                <w:rFonts w:cstheme="minorHAnsi"/>
                <w:szCs w:val="20"/>
              </w:rPr>
            </w:pPr>
            <w:r w:rsidRPr="00B35F16">
              <w:rPr>
                <w:rFonts w:cs="Arial"/>
                <w:szCs w:val="20"/>
              </w:rPr>
              <w:t>Power Factor</w:t>
            </w:r>
          </w:p>
        </w:tc>
        <w:tc>
          <w:tcPr>
            <w:tcW w:w="1011" w:type="pct"/>
            <w:tcBorders>
              <w:top w:val="single" w:sz="6" w:space="0" w:color="auto"/>
              <w:left w:val="single" w:sz="12" w:space="0" w:color="auto"/>
              <w:bottom w:val="single" w:sz="6" w:space="0" w:color="auto"/>
            </w:tcBorders>
          </w:tcPr>
          <w:p w:rsidR="00C24E2E" w:rsidRPr="00B35F16" w:rsidRDefault="00C24E2E" w:rsidP="002C52CA">
            <w:pPr>
              <w:rPr>
                <w:rFonts w:cs="Arial"/>
                <w:color w:val="000000"/>
                <w:szCs w:val="22"/>
              </w:rPr>
            </w:pPr>
            <w:r w:rsidRPr="00B35F16">
              <w:rPr>
                <w:rFonts w:cs="Arial"/>
                <w:szCs w:val="20"/>
              </w:rPr>
              <w:t>≥0.9</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Style w:val="CommentReference"/>
                <w:rFonts w:cs="Arial"/>
                <w:sz w:val="20"/>
                <w:szCs w:val="20"/>
              </w:rPr>
              <w:t>-3%</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≥0.9</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292092" w:rsidRDefault="00C24E2E" w:rsidP="002C52CA">
            <w:pPr>
              <w:rPr>
                <w:rFonts w:cstheme="minorHAnsi"/>
                <w:szCs w:val="20"/>
              </w:rPr>
            </w:pPr>
            <w:r w:rsidRPr="00B35F16">
              <w:rPr>
                <w:rFonts w:cs="Arial"/>
                <w:szCs w:val="20"/>
              </w:rPr>
              <w:t>Total Harmonic Distortion</w:t>
            </w:r>
          </w:p>
        </w:tc>
        <w:tc>
          <w:tcPr>
            <w:tcW w:w="1011" w:type="pct"/>
            <w:tcBorders>
              <w:top w:val="single" w:sz="6" w:space="0" w:color="auto"/>
              <w:left w:val="single" w:sz="12" w:space="0" w:color="auto"/>
              <w:bottom w:val="single" w:sz="6" w:space="0" w:color="auto"/>
            </w:tcBorders>
          </w:tcPr>
          <w:p w:rsidR="00C24E2E" w:rsidRPr="00B35F16" w:rsidRDefault="00C24E2E" w:rsidP="002C52CA">
            <w:pPr>
              <w:rPr>
                <w:rFonts w:cs="Arial"/>
                <w:color w:val="000000"/>
                <w:szCs w:val="22"/>
              </w:rPr>
            </w:pPr>
            <w:r w:rsidRPr="00B35F16">
              <w:rPr>
                <w:rFonts w:cs="Arial"/>
                <w:szCs w:val="20"/>
              </w:rPr>
              <w:t>≤20%</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Style w:val="CommentReference"/>
                <w:rFonts w:cs="Arial"/>
                <w:sz w:val="20"/>
                <w:szCs w:val="20"/>
              </w:rPr>
              <w:t>+5%</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≤20%</w:t>
            </w:r>
          </w:p>
        </w:tc>
      </w:tr>
      <w:tr w:rsidR="00C24E2E" w:rsidTr="002C52CA">
        <w:tc>
          <w:tcPr>
            <w:tcW w:w="1249" w:type="pct"/>
            <w:tcBorders>
              <w:top w:val="single" w:sz="6" w:space="0" w:color="auto"/>
              <w:left w:val="single" w:sz="12" w:space="0" w:color="auto"/>
              <w:bottom w:val="single" w:sz="6" w:space="0" w:color="auto"/>
              <w:right w:val="single" w:sz="12" w:space="0" w:color="auto"/>
            </w:tcBorders>
          </w:tcPr>
          <w:p w:rsidR="00C24E2E" w:rsidRPr="00292092" w:rsidRDefault="00C24E2E" w:rsidP="002C52CA">
            <w:pPr>
              <w:rPr>
                <w:rFonts w:cstheme="minorHAnsi"/>
                <w:szCs w:val="20"/>
              </w:rPr>
            </w:pPr>
            <w:r w:rsidRPr="00B35F16">
              <w:rPr>
                <w:rFonts w:cs="Arial"/>
                <w:szCs w:val="20"/>
              </w:rPr>
              <w:t>Lumen Maintenance</w:t>
            </w:r>
          </w:p>
        </w:tc>
        <w:tc>
          <w:tcPr>
            <w:tcW w:w="1011" w:type="pct"/>
            <w:tcBorders>
              <w:top w:val="single" w:sz="6" w:space="0" w:color="auto"/>
              <w:left w:val="single" w:sz="12" w:space="0" w:color="auto"/>
              <w:bottom w:val="single" w:sz="6" w:space="0" w:color="auto"/>
            </w:tcBorders>
          </w:tcPr>
          <w:p w:rsidR="00C24E2E" w:rsidRPr="00B35F16" w:rsidRDefault="00C24E2E" w:rsidP="002C52CA">
            <w:pPr>
              <w:rPr>
                <w:rFonts w:cs="Arial"/>
                <w:color w:val="000000"/>
                <w:szCs w:val="22"/>
              </w:rPr>
            </w:pPr>
            <w:r w:rsidRPr="00B35F16">
              <w:rPr>
                <w:rFonts w:cs="Arial"/>
                <w:szCs w:val="20"/>
              </w:rPr>
              <w:t>L70&gt;50,000</w:t>
            </w:r>
          </w:p>
        </w:tc>
        <w:tc>
          <w:tcPr>
            <w:tcW w:w="770" w:type="pct"/>
            <w:tcBorders>
              <w:top w:val="single" w:sz="6" w:space="0" w:color="auto"/>
              <w:bottom w:val="single" w:sz="6" w:space="0" w:color="auto"/>
              <w:right w:val="single" w:sz="12" w:space="0" w:color="auto"/>
            </w:tcBorders>
          </w:tcPr>
          <w:p w:rsidR="00C24E2E" w:rsidRPr="00B35F16" w:rsidRDefault="00C24E2E" w:rsidP="002C52CA">
            <w:pPr>
              <w:rPr>
                <w:rFonts w:cs="Arial"/>
                <w:szCs w:val="22"/>
              </w:rPr>
            </w:pPr>
            <w:r w:rsidRPr="00B35F16">
              <w:rPr>
                <w:rStyle w:val="CommentReference"/>
                <w:rFonts w:cs="Arial"/>
                <w:sz w:val="20"/>
                <w:szCs w:val="20"/>
              </w:rPr>
              <w:t>N/A</w:t>
            </w:r>
          </w:p>
        </w:tc>
        <w:tc>
          <w:tcPr>
            <w:tcW w:w="1971" w:type="pct"/>
            <w:tcBorders>
              <w:top w:val="single" w:sz="6" w:space="0" w:color="auto"/>
              <w:left w:val="single" w:sz="12" w:space="0" w:color="auto"/>
              <w:bottom w:val="single" w:sz="6" w:space="0" w:color="auto"/>
              <w:right w:val="single" w:sz="12" w:space="0" w:color="auto"/>
            </w:tcBorders>
          </w:tcPr>
          <w:p w:rsidR="00C24E2E" w:rsidRPr="00B35F16" w:rsidRDefault="00C24E2E" w:rsidP="002C52CA">
            <w:pPr>
              <w:rPr>
                <w:rFonts w:cs="Arial"/>
                <w:szCs w:val="22"/>
              </w:rPr>
            </w:pPr>
            <w:r w:rsidRPr="00B35F16">
              <w:rPr>
                <w:rFonts w:cs="Arial"/>
                <w:szCs w:val="20"/>
              </w:rPr>
              <w:t>L70&gt;50,000</w:t>
            </w:r>
          </w:p>
        </w:tc>
      </w:tr>
      <w:tr w:rsidR="00C24E2E" w:rsidTr="002C52CA">
        <w:tc>
          <w:tcPr>
            <w:tcW w:w="1249" w:type="pct"/>
            <w:tcBorders>
              <w:top w:val="single" w:sz="6" w:space="0" w:color="auto"/>
              <w:left w:val="single" w:sz="12" w:space="0" w:color="auto"/>
              <w:bottom w:val="single" w:sz="12" w:space="0" w:color="auto"/>
              <w:right w:val="single" w:sz="12" w:space="0" w:color="auto"/>
            </w:tcBorders>
          </w:tcPr>
          <w:p w:rsidR="00C24E2E" w:rsidRPr="00292092" w:rsidRDefault="00C24E2E" w:rsidP="002C52CA">
            <w:pPr>
              <w:rPr>
                <w:rFonts w:cstheme="minorHAnsi"/>
                <w:szCs w:val="20"/>
              </w:rPr>
            </w:pPr>
            <w:r w:rsidRPr="00B35F16">
              <w:rPr>
                <w:rFonts w:cs="Arial"/>
                <w:szCs w:val="20"/>
              </w:rPr>
              <w:t>Minimum Warranty</w:t>
            </w:r>
          </w:p>
        </w:tc>
        <w:tc>
          <w:tcPr>
            <w:tcW w:w="1011" w:type="pct"/>
            <w:tcBorders>
              <w:top w:val="single" w:sz="6" w:space="0" w:color="auto"/>
              <w:left w:val="single" w:sz="12" w:space="0" w:color="auto"/>
              <w:bottom w:val="single" w:sz="12" w:space="0" w:color="auto"/>
            </w:tcBorders>
          </w:tcPr>
          <w:p w:rsidR="00C24E2E" w:rsidRPr="00B35F16" w:rsidRDefault="00C24E2E" w:rsidP="002C52CA">
            <w:pPr>
              <w:rPr>
                <w:rFonts w:cs="Arial"/>
                <w:color w:val="000000"/>
                <w:szCs w:val="22"/>
              </w:rPr>
            </w:pPr>
            <w:r w:rsidRPr="00B35F16">
              <w:rPr>
                <w:rFonts w:cs="Arial"/>
                <w:szCs w:val="20"/>
              </w:rPr>
              <w:t>5 years</w:t>
            </w:r>
          </w:p>
        </w:tc>
        <w:tc>
          <w:tcPr>
            <w:tcW w:w="770" w:type="pct"/>
            <w:tcBorders>
              <w:top w:val="single" w:sz="6" w:space="0" w:color="auto"/>
              <w:bottom w:val="single" w:sz="12" w:space="0" w:color="auto"/>
              <w:right w:val="single" w:sz="12" w:space="0" w:color="auto"/>
            </w:tcBorders>
          </w:tcPr>
          <w:p w:rsidR="00C24E2E" w:rsidRPr="00B35F16" w:rsidRDefault="00C24E2E" w:rsidP="002C52CA">
            <w:pPr>
              <w:rPr>
                <w:rFonts w:cs="Arial"/>
                <w:szCs w:val="22"/>
              </w:rPr>
            </w:pPr>
            <w:r w:rsidRPr="00B35F16">
              <w:rPr>
                <w:rStyle w:val="CommentReference"/>
                <w:rFonts w:cs="Arial"/>
                <w:sz w:val="20"/>
                <w:szCs w:val="20"/>
              </w:rPr>
              <w:t>N/A</w:t>
            </w:r>
          </w:p>
        </w:tc>
        <w:tc>
          <w:tcPr>
            <w:tcW w:w="1971" w:type="pct"/>
            <w:tcBorders>
              <w:top w:val="single" w:sz="6" w:space="0" w:color="auto"/>
              <w:left w:val="single" w:sz="12" w:space="0" w:color="auto"/>
              <w:bottom w:val="single" w:sz="12" w:space="0" w:color="auto"/>
              <w:right w:val="single" w:sz="12" w:space="0" w:color="auto"/>
            </w:tcBorders>
          </w:tcPr>
          <w:p w:rsidR="00C24E2E" w:rsidRPr="00B35F16" w:rsidRDefault="00C24E2E" w:rsidP="002C52CA">
            <w:pPr>
              <w:rPr>
                <w:rFonts w:cs="Arial"/>
                <w:szCs w:val="22"/>
              </w:rPr>
            </w:pPr>
            <w:r w:rsidRPr="00B35F16">
              <w:rPr>
                <w:rFonts w:cs="Arial"/>
                <w:szCs w:val="20"/>
              </w:rPr>
              <w:t>5 years</w:t>
            </w:r>
          </w:p>
        </w:tc>
      </w:tr>
    </w:tbl>
    <w:p w:rsidR="00717572" w:rsidRDefault="00717572" w:rsidP="00717572">
      <w:pPr>
        <w:pStyle w:val="NoSpacing"/>
        <w:tabs>
          <w:tab w:val="left" w:pos="1106"/>
        </w:tabs>
        <w:rPr>
          <w:b/>
        </w:rPr>
      </w:pPr>
    </w:p>
    <w:p w:rsidR="009367DF" w:rsidRPr="00F0633E" w:rsidRDefault="00697868" w:rsidP="00717572">
      <w:pPr>
        <w:pStyle w:val="NoSpacing"/>
        <w:tabs>
          <w:tab w:val="left" w:pos="1106"/>
        </w:tabs>
      </w:pPr>
      <w:r w:rsidRPr="00F0633E">
        <w:rPr>
          <w:b/>
        </w:rPr>
        <w:t>Implementation</w:t>
      </w:r>
      <w:r w:rsidR="009844A1" w:rsidRPr="00F0633E">
        <w:rPr>
          <w:b/>
        </w:rPr>
        <w:t xml:space="preserve"> and installation</w:t>
      </w:r>
      <w:r w:rsidRPr="00F0633E">
        <w:rPr>
          <w:b/>
        </w:rPr>
        <w:t xml:space="preserve"> </w:t>
      </w:r>
      <w:r w:rsidR="008E25B1" w:rsidRPr="00F0633E">
        <w:rPr>
          <w:b/>
        </w:rPr>
        <w:t>r</w:t>
      </w:r>
      <w:r w:rsidRPr="00F0633E">
        <w:rPr>
          <w:b/>
        </w:rPr>
        <w:t>equirements</w:t>
      </w:r>
      <w:r w:rsidR="001D33EF" w:rsidRPr="00F0633E">
        <w:t xml:space="preserve">: </w:t>
      </w:r>
    </w:p>
    <w:p w:rsidR="009367DF" w:rsidRDefault="009367DF" w:rsidP="00DD2BB9">
      <w:pPr>
        <w:pStyle w:val="NoSpacing"/>
        <w:numPr>
          <w:ilvl w:val="0"/>
          <w:numId w:val="4"/>
        </w:numPr>
      </w:pPr>
      <w:r w:rsidRPr="004F1054">
        <w:t xml:space="preserve">The measures in this work paper are eligible in all </w:t>
      </w:r>
      <w:r>
        <w:t xml:space="preserve">applicable Non-Residential </w:t>
      </w:r>
      <w:r w:rsidRPr="004F1054">
        <w:t xml:space="preserve">and Residential Multifamily </w:t>
      </w:r>
      <w:r>
        <w:t>(8-units or more) building types with totally enclosed or open parking garages in all climate z</w:t>
      </w:r>
      <w:r w:rsidRPr="004F1054">
        <w:t>ones</w:t>
      </w:r>
      <w:r>
        <w:t xml:space="preserve"> located within </w:t>
      </w:r>
      <w:r w:rsidR="00624D47">
        <w:t>t</w:t>
      </w:r>
      <w:r>
        <w:t>he following space types</w:t>
      </w:r>
      <w:r w:rsidR="00624D47">
        <w:t>:</w:t>
      </w:r>
      <w:r w:rsidRPr="00CC7166">
        <w:t xml:space="preserve"> </w:t>
      </w:r>
    </w:p>
    <w:p w:rsidR="009367DF" w:rsidRDefault="009367DF" w:rsidP="00DD2BB9">
      <w:pPr>
        <w:pStyle w:val="NoSpacing"/>
        <w:numPr>
          <w:ilvl w:val="1"/>
          <w:numId w:val="2"/>
        </w:numPr>
      </w:pPr>
      <w:r w:rsidRPr="00CC7166">
        <w:t>driving</w:t>
      </w:r>
      <w:r>
        <w:t xml:space="preserve"> areas;</w:t>
      </w:r>
    </w:p>
    <w:p w:rsidR="009367DF" w:rsidRDefault="009367DF" w:rsidP="00DD2BB9">
      <w:pPr>
        <w:pStyle w:val="NoSpacing"/>
        <w:numPr>
          <w:ilvl w:val="1"/>
          <w:numId w:val="2"/>
        </w:numPr>
      </w:pPr>
      <w:r w:rsidRPr="00CC7166">
        <w:t>entrance</w:t>
      </w:r>
      <w:r>
        <w:t>s</w:t>
      </w:r>
      <w:r w:rsidRPr="00CC7166">
        <w:t xml:space="preserve"> and exit</w:t>
      </w:r>
      <w:r>
        <w:t>s, or</w:t>
      </w:r>
      <w:r w:rsidRPr="00CC7166">
        <w:t xml:space="preserve"> </w:t>
      </w:r>
    </w:p>
    <w:p w:rsidR="009367DF" w:rsidRPr="00E22006" w:rsidRDefault="009367DF" w:rsidP="00DD2BB9">
      <w:pPr>
        <w:pStyle w:val="NoSpacing"/>
        <w:numPr>
          <w:ilvl w:val="1"/>
          <w:numId w:val="2"/>
        </w:numPr>
      </w:pPr>
      <w:r w:rsidRPr="00CC7166">
        <w:t xml:space="preserve">parking areas </w:t>
      </w:r>
      <w:r>
        <w:t>or parking stalls</w:t>
      </w:r>
      <w:r w:rsidR="00F0633E">
        <w:t>.</w:t>
      </w:r>
    </w:p>
    <w:p w:rsidR="00760CDC" w:rsidRPr="00F0633E" w:rsidRDefault="008E25B1" w:rsidP="009367DF">
      <w:pPr>
        <w:pStyle w:val="NoSpacing"/>
      </w:pPr>
      <w:r w:rsidRPr="00F0633E">
        <w:rPr>
          <w:b/>
        </w:rPr>
        <w:t>Other p</w:t>
      </w:r>
      <w:r w:rsidR="00760CDC" w:rsidRPr="00F0633E">
        <w:rPr>
          <w:b/>
        </w:rPr>
        <w:t xml:space="preserve">rogram </w:t>
      </w:r>
      <w:r w:rsidRPr="00F0633E">
        <w:rPr>
          <w:b/>
        </w:rPr>
        <w:t>restrictions and g</w:t>
      </w:r>
      <w:r w:rsidR="00760CDC" w:rsidRPr="00F0633E">
        <w:rPr>
          <w:b/>
        </w:rPr>
        <w:t>uidelines</w:t>
      </w:r>
    </w:p>
    <w:p w:rsidR="00717572" w:rsidRPr="00607F9D" w:rsidRDefault="00717572" w:rsidP="00DD2BB9">
      <w:pPr>
        <w:pStyle w:val="NoSpacing"/>
        <w:numPr>
          <w:ilvl w:val="0"/>
          <w:numId w:val="4"/>
        </w:numPr>
      </w:pPr>
      <w:r w:rsidRPr="00607F9D">
        <w:t>Linear LED replacement lamps and self-ballasted or screw-based lamps do not qualify</w:t>
      </w:r>
    </w:p>
    <w:p w:rsidR="00CC7166" w:rsidRDefault="00CC7166" w:rsidP="00DD2BB9">
      <w:pPr>
        <w:pStyle w:val="NoSpacing"/>
        <w:numPr>
          <w:ilvl w:val="0"/>
          <w:numId w:val="4"/>
        </w:numPr>
      </w:pPr>
      <w:r>
        <w:t>Parking garage space types excluded from this workpaper include:</w:t>
      </w:r>
    </w:p>
    <w:p w:rsidR="00CC7166" w:rsidRDefault="00CC7166" w:rsidP="00DD2BB9">
      <w:pPr>
        <w:pStyle w:val="NoSpacing"/>
        <w:numPr>
          <w:ilvl w:val="1"/>
          <w:numId w:val="2"/>
        </w:numPr>
      </w:pPr>
      <w:r>
        <w:t>Elevators and elevator lobbies</w:t>
      </w:r>
    </w:p>
    <w:p w:rsidR="00CC7166" w:rsidRDefault="00CC7166" w:rsidP="00DD2BB9">
      <w:pPr>
        <w:pStyle w:val="NoSpacing"/>
        <w:numPr>
          <w:ilvl w:val="1"/>
          <w:numId w:val="2"/>
        </w:numPr>
      </w:pPr>
      <w:r>
        <w:t>Stairs and stair vestibules</w:t>
      </w:r>
    </w:p>
    <w:p w:rsidR="00CC7166" w:rsidRDefault="00CC7166" w:rsidP="00DD2BB9">
      <w:pPr>
        <w:pStyle w:val="NoSpacing"/>
        <w:numPr>
          <w:ilvl w:val="1"/>
          <w:numId w:val="2"/>
        </w:numPr>
      </w:pPr>
      <w:r>
        <w:t>Mechanical rooms and mechanical shafts</w:t>
      </w:r>
    </w:p>
    <w:p w:rsidR="00CC7166" w:rsidRDefault="00CC7166" w:rsidP="00DD2BB9">
      <w:pPr>
        <w:pStyle w:val="NoSpacing"/>
        <w:numPr>
          <w:ilvl w:val="1"/>
          <w:numId w:val="2"/>
        </w:numPr>
      </w:pPr>
      <w:r>
        <w:t>Electrical rooms and electrical shafts</w:t>
      </w:r>
    </w:p>
    <w:p w:rsidR="00CC7166" w:rsidRDefault="00CC7166" w:rsidP="00DD2BB9">
      <w:pPr>
        <w:pStyle w:val="NoSpacing"/>
        <w:numPr>
          <w:ilvl w:val="1"/>
          <w:numId w:val="2"/>
        </w:numPr>
      </w:pPr>
      <w:r>
        <w:t>Storage rooms (usually for maintenance and cleaning equipment)</w:t>
      </w:r>
    </w:p>
    <w:p w:rsidR="00CC7166" w:rsidRDefault="00CC7166" w:rsidP="00DD2BB9">
      <w:pPr>
        <w:pStyle w:val="NoSpacing"/>
        <w:numPr>
          <w:ilvl w:val="1"/>
          <w:numId w:val="2"/>
        </w:numPr>
      </w:pPr>
      <w:r>
        <w:t>Fire pump room</w:t>
      </w:r>
    </w:p>
    <w:p w:rsidR="00CC7166" w:rsidRDefault="00CC7166" w:rsidP="00DD2BB9">
      <w:pPr>
        <w:pStyle w:val="NoSpacing"/>
        <w:numPr>
          <w:ilvl w:val="1"/>
          <w:numId w:val="2"/>
        </w:numPr>
      </w:pPr>
      <w:r>
        <w:t>Garbage and dumpster storage areas</w:t>
      </w:r>
    </w:p>
    <w:p w:rsidR="00CC7166" w:rsidRDefault="00CC7166" w:rsidP="00DD2BB9">
      <w:pPr>
        <w:pStyle w:val="NoSpacing"/>
        <w:numPr>
          <w:ilvl w:val="1"/>
          <w:numId w:val="2"/>
        </w:numPr>
      </w:pPr>
      <w:r>
        <w:t>Unusable and/or inaccessible areas</w:t>
      </w:r>
    </w:p>
    <w:p w:rsidR="00CC7166" w:rsidRDefault="00CC7166" w:rsidP="00DD2BB9">
      <w:pPr>
        <w:pStyle w:val="NoSpacing"/>
        <w:numPr>
          <w:ilvl w:val="1"/>
          <w:numId w:val="2"/>
        </w:numPr>
      </w:pPr>
      <w:r>
        <w:t>Top deck parking garage lighting typically requiring exterior pole lighting</w:t>
      </w:r>
    </w:p>
    <w:p w:rsidR="00CC7166" w:rsidRDefault="00CC7166" w:rsidP="00DD2BB9">
      <w:pPr>
        <w:pStyle w:val="NoSpacing"/>
        <w:numPr>
          <w:ilvl w:val="1"/>
          <w:numId w:val="2"/>
        </w:numPr>
      </w:pPr>
      <w:r>
        <w:t>Rentable space at the street level, as for retail or hospitality functions</w:t>
      </w:r>
    </w:p>
    <w:p w:rsidR="00E16609" w:rsidRPr="00500C4E" w:rsidRDefault="00697868" w:rsidP="00DD2BB9">
      <w:pPr>
        <w:pStyle w:val="Heading2"/>
        <w:numPr>
          <w:ilvl w:val="1"/>
          <w:numId w:val="3"/>
        </w:numPr>
        <w:spacing w:before="120" w:after="0"/>
        <w:ind w:left="374" w:hanging="374"/>
        <w:rPr>
          <w:rFonts w:asciiTheme="minorHAnsi" w:hAnsiTheme="minorHAnsi"/>
        </w:rPr>
      </w:pPr>
      <w:r w:rsidRPr="00500C4E">
        <w:rPr>
          <w:rFonts w:asciiTheme="minorHAnsi" w:hAnsiTheme="minorHAnsi"/>
        </w:rPr>
        <w:lastRenderedPageBreak/>
        <w:t>Technical</w:t>
      </w:r>
      <w:r w:rsidR="00E16609" w:rsidRPr="00500C4E">
        <w:rPr>
          <w:rFonts w:asciiTheme="minorHAnsi" w:hAnsiTheme="minorHAnsi"/>
        </w:rPr>
        <w:t xml:space="preserve"> Description</w:t>
      </w:r>
    </w:p>
    <w:p w:rsidR="00340F68" w:rsidRDefault="00340F68" w:rsidP="00C81928">
      <w:pPr>
        <w:pStyle w:val="Reminders"/>
        <w:tabs>
          <w:tab w:val="num" w:pos="360"/>
        </w:tabs>
        <w:rPr>
          <w:rFonts w:asciiTheme="minorHAnsi" w:hAnsiTheme="minorHAnsi" w:cstheme="minorHAnsi"/>
          <w:i w:val="0"/>
          <w:color w:val="auto"/>
          <w:szCs w:val="22"/>
        </w:rPr>
      </w:pPr>
      <w:r w:rsidRPr="00624D47">
        <w:rPr>
          <w:rFonts w:asciiTheme="minorHAnsi" w:hAnsiTheme="minorHAnsi" w:cstheme="minorHAnsi"/>
          <w:i w:val="0"/>
          <w:color w:val="auto"/>
          <w:szCs w:val="22"/>
        </w:rPr>
        <w:t xml:space="preserve">Linear LED retrofit kits are designed to replace existing fluorescent lamps and require some form of rewiring such as replacing the ballasts. Each </w:t>
      </w:r>
      <w:r w:rsidR="00624D47">
        <w:rPr>
          <w:rFonts w:asciiTheme="minorHAnsi" w:hAnsiTheme="minorHAnsi" w:cstheme="minorHAnsi"/>
          <w:i w:val="0"/>
          <w:color w:val="auto"/>
          <w:szCs w:val="22"/>
        </w:rPr>
        <w:t xml:space="preserve">Linear LED retrofit </w:t>
      </w:r>
      <w:r w:rsidRPr="00624D47">
        <w:rPr>
          <w:rFonts w:asciiTheme="minorHAnsi" w:hAnsiTheme="minorHAnsi" w:cstheme="minorHAnsi"/>
          <w:i w:val="0"/>
          <w:color w:val="auto"/>
          <w:szCs w:val="22"/>
        </w:rPr>
        <w:t xml:space="preserve">kit typically comes prepackaged with all the required components to complete the retrofit, making the installation easier. Linear LED </w:t>
      </w:r>
      <w:r w:rsidR="00624D47">
        <w:rPr>
          <w:rFonts w:asciiTheme="minorHAnsi" w:hAnsiTheme="minorHAnsi" w:cstheme="minorHAnsi"/>
          <w:i w:val="0"/>
          <w:color w:val="auto"/>
          <w:szCs w:val="22"/>
        </w:rPr>
        <w:t>r</w:t>
      </w:r>
      <w:r w:rsidRPr="00624D47">
        <w:rPr>
          <w:rFonts w:asciiTheme="minorHAnsi" w:hAnsiTheme="minorHAnsi" w:cstheme="minorHAnsi"/>
          <w:i w:val="0"/>
          <w:color w:val="auto"/>
          <w:szCs w:val="22"/>
        </w:rPr>
        <w:t>etrofit kits come in two forms: either as an LED retrofit kit, such as light bar and lamp-style replacement, or as an LED troffer retrofit kit with new doorframe and lens assemblies.</w:t>
      </w:r>
      <w:r>
        <w:rPr>
          <w:rFonts w:asciiTheme="minorHAnsi" w:hAnsiTheme="minorHAnsi" w:cstheme="minorHAnsi"/>
          <w:i w:val="0"/>
          <w:color w:val="auto"/>
          <w:szCs w:val="22"/>
        </w:rPr>
        <w:t xml:space="preserve"> </w:t>
      </w:r>
    </w:p>
    <w:p w:rsidR="00340F68" w:rsidRDefault="00340F68" w:rsidP="00C81928">
      <w:pPr>
        <w:pStyle w:val="Reminders"/>
        <w:tabs>
          <w:tab w:val="num" w:pos="360"/>
        </w:tabs>
        <w:rPr>
          <w:rFonts w:asciiTheme="minorHAnsi" w:hAnsiTheme="minorHAnsi" w:cstheme="minorHAnsi"/>
          <w:i w:val="0"/>
          <w:color w:val="auto"/>
          <w:szCs w:val="22"/>
        </w:rPr>
      </w:pPr>
    </w:p>
    <w:p w:rsidR="00C81928" w:rsidRPr="00C81928" w:rsidRDefault="00624D47" w:rsidP="00C81928">
      <w:pPr>
        <w:pStyle w:val="Reminders"/>
        <w:tabs>
          <w:tab w:val="num" w:pos="360"/>
        </w:tabs>
        <w:rPr>
          <w:rFonts w:asciiTheme="minorHAnsi" w:hAnsiTheme="minorHAnsi" w:cstheme="minorHAnsi"/>
          <w:i w:val="0"/>
          <w:color w:val="auto"/>
          <w:szCs w:val="22"/>
        </w:rPr>
      </w:pPr>
      <w:r>
        <w:rPr>
          <w:rFonts w:asciiTheme="minorHAnsi" w:hAnsiTheme="minorHAnsi" w:cstheme="minorHAnsi"/>
          <w:i w:val="0"/>
          <w:color w:val="auto"/>
          <w:szCs w:val="22"/>
        </w:rPr>
        <w:t>Within each Linear LED retrofit kit, t</w:t>
      </w:r>
      <w:r w:rsidR="00C81928" w:rsidRPr="00C81928">
        <w:rPr>
          <w:rFonts w:asciiTheme="minorHAnsi" w:hAnsiTheme="minorHAnsi" w:cstheme="minorHAnsi"/>
          <w:i w:val="0"/>
          <w:color w:val="auto"/>
          <w:szCs w:val="22"/>
        </w:rPr>
        <w:t>he TLED lamp is a type of tubular linear LED light source specifically designed to replace tubular fluorescent lamps in existing luminaires.</w:t>
      </w:r>
      <w:r w:rsidR="00C81928">
        <w:rPr>
          <w:rFonts w:asciiTheme="minorHAnsi" w:hAnsiTheme="minorHAnsi" w:cstheme="minorHAnsi"/>
          <w:i w:val="0"/>
          <w:color w:val="auto"/>
          <w:szCs w:val="22"/>
        </w:rPr>
        <w:t xml:space="preserve"> </w:t>
      </w:r>
      <w:r w:rsidR="00C81928" w:rsidRPr="00C81928">
        <w:rPr>
          <w:rFonts w:asciiTheme="minorHAnsi" w:hAnsiTheme="minorHAnsi" w:cstheme="minorHAnsi"/>
          <w:i w:val="0"/>
          <w:color w:val="auto"/>
          <w:szCs w:val="22"/>
        </w:rPr>
        <w:t>They are designed to fit into the existing fluorescent sockets, effectively converting the light fixture from fluorescent to LED.  There</w:t>
      </w:r>
      <w:r>
        <w:rPr>
          <w:rFonts w:asciiTheme="minorHAnsi" w:hAnsiTheme="minorHAnsi" w:cstheme="minorHAnsi"/>
          <w:i w:val="0"/>
          <w:color w:val="auto"/>
          <w:szCs w:val="22"/>
        </w:rPr>
        <w:t xml:space="preserve"> are four primary types of TLED</w:t>
      </w:r>
      <w:r w:rsidR="00C81928" w:rsidRPr="00C81928">
        <w:rPr>
          <w:rFonts w:asciiTheme="minorHAnsi" w:hAnsiTheme="minorHAnsi" w:cstheme="minorHAnsi"/>
          <w:i w:val="0"/>
          <w:color w:val="auto"/>
          <w:szCs w:val="22"/>
        </w:rPr>
        <w:t>s:</w:t>
      </w:r>
    </w:p>
    <w:p w:rsidR="00C81928" w:rsidRPr="00C81928" w:rsidRDefault="00C81928" w:rsidP="00C81928">
      <w:pPr>
        <w:pStyle w:val="Reminders"/>
        <w:tabs>
          <w:tab w:val="num" w:pos="360"/>
        </w:tabs>
        <w:rPr>
          <w:rFonts w:asciiTheme="minorHAnsi" w:hAnsiTheme="minorHAnsi" w:cstheme="minorHAnsi"/>
          <w:i w:val="0"/>
          <w:color w:val="auto"/>
          <w:szCs w:val="22"/>
        </w:rPr>
      </w:pPr>
    </w:p>
    <w:p w:rsidR="00C81928" w:rsidRDefault="00C81928" w:rsidP="00DD2BB9">
      <w:pPr>
        <w:pStyle w:val="Reminders"/>
        <w:numPr>
          <w:ilvl w:val="0"/>
          <w:numId w:val="15"/>
        </w:numPr>
        <w:rPr>
          <w:rFonts w:asciiTheme="minorHAnsi" w:hAnsiTheme="minorHAnsi" w:cstheme="minorHAnsi"/>
          <w:i w:val="0"/>
          <w:color w:val="auto"/>
          <w:szCs w:val="22"/>
        </w:rPr>
      </w:pPr>
      <w:r w:rsidRPr="00624D47">
        <w:rPr>
          <w:rFonts w:asciiTheme="minorHAnsi" w:hAnsiTheme="minorHAnsi" w:cstheme="minorHAnsi"/>
          <w:b/>
          <w:i w:val="0"/>
          <w:color w:val="auto"/>
          <w:szCs w:val="22"/>
        </w:rPr>
        <w:t>Type A:</w:t>
      </w:r>
      <w:r w:rsidRPr="00C81928">
        <w:rPr>
          <w:rFonts w:asciiTheme="minorHAnsi" w:hAnsiTheme="minorHAnsi" w:cstheme="minorHAnsi"/>
          <w:i w:val="0"/>
          <w:color w:val="auto"/>
          <w:szCs w:val="22"/>
        </w:rPr>
        <w:t xml:space="preserve">  A TLED designed to operate on </w:t>
      </w:r>
      <w:r w:rsidR="00624D47">
        <w:rPr>
          <w:rFonts w:asciiTheme="minorHAnsi" w:hAnsiTheme="minorHAnsi" w:cstheme="minorHAnsi"/>
          <w:i w:val="0"/>
          <w:color w:val="auto"/>
          <w:szCs w:val="22"/>
        </w:rPr>
        <w:t xml:space="preserve">the existing </w:t>
      </w:r>
      <w:r w:rsidRPr="00C81928">
        <w:rPr>
          <w:rFonts w:asciiTheme="minorHAnsi" w:hAnsiTheme="minorHAnsi" w:cstheme="minorHAnsi"/>
          <w:i w:val="0"/>
          <w:color w:val="auto"/>
          <w:szCs w:val="22"/>
        </w:rPr>
        <w:t>fluorescent ballast.  Although the fluorescent ballast is not necessary and actually wastes energy, the “plug and play” simplicity and avoidance of electrician cost is appealing.</w:t>
      </w:r>
    </w:p>
    <w:p w:rsidR="00C81928" w:rsidRDefault="00C81928" w:rsidP="00DD2BB9">
      <w:pPr>
        <w:pStyle w:val="Reminders"/>
        <w:numPr>
          <w:ilvl w:val="0"/>
          <w:numId w:val="15"/>
        </w:numPr>
        <w:rPr>
          <w:rFonts w:asciiTheme="minorHAnsi" w:hAnsiTheme="minorHAnsi" w:cstheme="minorHAnsi"/>
          <w:i w:val="0"/>
          <w:color w:val="auto"/>
          <w:szCs w:val="22"/>
        </w:rPr>
      </w:pPr>
      <w:r w:rsidRPr="00624D47">
        <w:rPr>
          <w:rFonts w:asciiTheme="minorHAnsi" w:hAnsiTheme="minorHAnsi" w:cstheme="minorHAnsi"/>
          <w:b/>
          <w:i w:val="0"/>
          <w:color w:val="auto"/>
          <w:szCs w:val="22"/>
        </w:rPr>
        <w:t>Type B:</w:t>
      </w:r>
      <w:r w:rsidRPr="00C81928">
        <w:rPr>
          <w:rFonts w:asciiTheme="minorHAnsi" w:hAnsiTheme="minorHAnsi" w:cstheme="minorHAnsi"/>
          <w:i w:val="0"/>
          <w:color w:val="auto"/>
          <w:szCs w:val="22"/>
        </w:rPr>
        <w:t xml:space="preserve"> A TLED that fits into the existing fluorescent sockets, but requires them to be rewired to bypass the ballast (preferably</w:t>
      </w:r>
      <w:r>
        <w:rPr>
          <w:rFonts w:asciiTheme="minorHAnsi" w:hAnsiTheme="minorHAnsi" w:cstheme="minorHAnsi"/>
          <w:i w:val="0"/>
          <w:color w:val="auto"/>
          <w:szCs w:val="22"/>
        </w:rPr>
        <w:t xml:space="preserve">, remove the ballast as well). </w:t>
      </w:r>
    </w:p>
    <w:p w:rsidR="00C81928" w:rsidRDefault="00C81928" w:rsidP="00DD2BB9">
      <w:pPr>
        <w:pStyle w:val="Reminders"/>
        <w:numPr>
          <w:ilvl w:val="0"/>
          <w:numId w:val="15"/>
        </w:numPr>
        <w:rPr>
          <w:rFonts w:asciiTheme="minorHAnsi" w:hAnsiTheme="minorHAnsi" w:cstheme="minorHAnsi"/>
          <w:i w:val="0"/>
          <w:color w:val="auto"/>
          <w:szCs w:val="22"/>
        </w:rPr>
      </w:pPr>
      <w:r w:rsidRPr="00624D47">
        <w:rPr>
          <w:rFonts w:asciiTheme="minorHAnsi" w:hAnsiTheme="minorHAnsi" w:cstheme="minorHAnsi"/>
          <w:b/>
          <w:i w:val="0"/>
          <w:color w:val="auto"/>
          <w:szCs w:val="22"/>
        </w:rPr>
        <w:t>Type C:</w:t>
      </w:r>
      <w:r w:rsidRPr="00C81928">
        <w:rPr>
          <w:rFonts w:asciiTheme="minorHAnsi" w:hAnsiTheme="minorHAnsi" w:cstheme="minorHAnsi"/>
          <w:i w:val="0"/>
          <w:color w:val="auto"/>
          <w:szCs w:val="22"/>
        </w:rPr>
        <w:t xml:space="preserve">  A TLED that fits into existing fluorescent sockets, but requires the existing fluorescent ballast to be replaced by a dedicated LED driver. </w:t>
      </w:r>
    </w:p>
    <w:p w:rsidR="00C81928" w:rsidRPr="00C81928" w:rsidRDefault="00C81928" w:rsidP="00DD2BB9">
      <w:pPr>
        <w:pStyle w:val="Reminders"/>
        <w:numPr>
          <w:ilvl w:val="0"/>
          <w:numId w:val="15"/>
        </w:numPr>
        <w:rPr>
          <w:rFonts w:asciiTheme="minorHAnsi" w:hAnsiTheme="minorHAnsi" w:cstheme="minorHAnsi"/>
          <w:i w:val="0"/>
          <w:color w:val="auto"/>
          <w:szCs w:val="22"/>
        </w:rPr>
      </w:pPr>
      <w:r w:rsidRPr="00624D47">
        <w:rPr>
          <w:rFonts w:asciiTheme="minorHAnsi" w:hAnsiTheme="minorHAnsi" w:cstheme="minorHAnsi"/>
          <w:b/>
          <w:i w:val="0"/>
          <w:color w:val="auto"/>
          <w:szCs w:val="22"/>
        </w:rPr>
        <w:t>Type A and B:</w:t>
      </w:r>
      <w:r w:rsidRPr="00C81928">
        <w:rPr>
          <w:rFonts w:asciiTheme="minorHAnsi" w:hAnsiTheme="minorHAnsi" w:cstheme="minorHAnsi"/>
          <w:i w:val="0"/>
          <w:color w:val="auto"/>
          <w:szCs w:val="22"/>
        </w:rPr>
        <w:t xml:space="preserve">  A TLED designed to be wired in either Type A (operates on electronic ballast) or Type B (direct AC power wire to socket).  </w:t>
      </w:r>
    </w:p>
    <w:p w:rsidR="00C81928" w:rsidRPr="00C81928" w:rsidRDefault="00C81928" w:rsidP="00C81928">
      <w:pPr>
        <w:pStyle w:val="Reminders"/>
        <w:tabs>
          <w:tab w:val="num" w:pos="360"/>
        </w:tabs>
        <w:rPr>
          <w:rFonts w:asciiTheme="minorHAnsi" w:hAnsiTheme="minorHAnsi" w:cstheme="minorHAnsi"/>
          <w:i w:val="0"/>
          <w:color w:val="auto"/>
          <w:szCs w:val="22"/>
        </w:rPr>
      </w:pPr>
    </w:p>
    <w:p w:rsidR="00510CD0" w:rsidRPr="00607F9D" w:rsidRDefault="00C81928" w:rsidP="00C81928">
      <w:pPr>
        <w:pStyle w:val="Reminders"/>
        <w:tabs>
          <w:tab w:val="num" w:pos="360"/>
        </w:tabs>
        <w:rPr>
          <w:rFonts w:asciiTheme="minorHAnsi" w:hAnsiTheme="minorHAnsi" w:cstheme="minorHAnsi"/>
          <w:i w:val="0"/>
          <w:color w:val="auto"/>
          <w:szCs w:val="22"/>
        </w:rPr>
      </w:pPr>
      <w:r>
        <w:rPr>
          <w:rFonts w:asciiTheme="minorHAnsi" w:hAnsiTheme="minorHAnsi" w:cstheme="minorHAnsi"/>
          <w:i w:val="0"/>
          <w:color w:val="auto"/>
          <w:szCs w:val="22"/>
        </w:rPr>
        <w:t>This workpaper</w:t>
      </w:r>
      <w:r w:rsidR="00DA74CA" w:rsidRPr="00607F9D">
        <w:rPr>
          <w:rFonts w:asciiTheme="minorHAnsi" w:hAnsiTheme="minorHAnsi" w:cstheme="minorHAnsi"/>
          <w:i w:val="0"/>
          <w:color w:val="auto"/>
          <w:szCs w:val="22"/>
        </w:rPr>
        <w:t xml:space="preserve"> measure </w:t>
      </w:r>
      <w:r>
        <w:rPr>
          <w:rFonts w:asciiTheme="minorHAnsi" w:hAnsiTheme="minorHAnsi" w:cstheme="minorHAnsi"/>
          <w:i w:val="0"/>
          <w:color w:val="auto"/>
          <w:szCs w:val="22"/>
        </w:rPr>
        <w:t>focuses on including</w:t>
      </w:r>
      <w:r w:rsidR="00DA74CA" w:rsidRPr="00607F9D">
        <w:rPr>
          <w:rFonts w:asciiTheme="minorHAnsi" w:hAnsiTheme="minorHAnsi" w:cstheme="minorHAnsi"/>
          <w:i w:val="0"/>
          <w:color w:val="auto"/>
          <w:szCs w:val="22"/>
        </w:rPr>
        <w:t xml:space="preserve"> </w:t>
      </w:r>
      <w:r w:rsidR="00510CD0" w:rsidRPr="00607F9D">
        <w:rPr>
          <w:rFonts w:asciiTheme="minorHAnsi" w:hAnsiTheme="minorHAnsi" w:cstheme="minorHAnsi"/>
          <w:i w:val="0"/>
          <w:color w:val="auto"/>
          <w:szCs w:val="22"/>
        </w:rPr>
        <w:t xml:space="preserve">a four foot 2-lamp External Driver Lamp-Style </w:t>
      </w:r>
      <w:r w:rsidR="00340F68">
        <w:rPr>
          <w:rFonts w:asciiTheme="minorHAnsi" w:hAnsiTheme="minorHAnsi" w:cstheme="minorHAnsi"/>
          <w:i w:val="0"/>
          <w:color w:val="auto"/>
          <w:szCs w:val="22"/>
        </w:rPr>
        <w:t xml:space="preserve">Linear LED </w:t>
      </w:r>
      <w:r w:rsidR="00510CD0" w:rsidRPr="00607F9D">
        <w:rPr>
          <w:rFonts w:asciiTheme="minorHAnsi" w:hAnsiTheme="minorHAnsi" w:cstheme="minorHAnsi"/>
          <w:i w:val="0"/>
          <w:color w:val="auto"/>
          <w:szCs w:val="22"/>
        </w:rPr>
        <w:t>Retrofit Kit (UL Type C) fixture. Products in this category employ lamp holders to connect to the fixture being retrofitted, do not operate off the existing fluorescent ballast, and require rewiring of the existing fixture to replace the ballast with an external driver. The lamp holders are then wired to receive only the low-voltage electricity that is supplied by that external driver.</w:t>
      </w:r>
      <w:r w:rsidR="00897F6A">
        <w:rPr>
          <w:rFonts w:asciiTheme="minorHAnsi" w:hAnsiTheme="minorHAnsi" w:cstheme="minorHAnsi"/>
          <w:i w:val="0"/>
          <w:color w:val="auto"/>
          <w:szCs w:val="22"/>
        </w:rPr>
        <w:t xml:space="preserve"> </w:t>
      </w:r>
    </w:p>
    <w:p w:rsidR="00697868" w:rsidRPr="00500C4E" w:rsidRDefault="00697868" w:rsidP="00717572">
      <w:pPr>
        <w:pStyle w:val="Heading2"/>
        <w:spacing w:before="120" w:after="0"/>
        <w:rPr>
          <w:rFonts w:asciiTheme="minorHAnsi" w:hAnsiTheme="minorHAnsi"/>
        </w:rPr>
      </w:pPr>
      <w:r w:rsidRPr="00500C4E">
        <w:rPr>
          <w:rFonts w:asciiTheme="minorHAnsi" w:hAnsiTheme="minorHAnsi"/>
        </w:rPr>
        <w:t xml:space="preserve">1.3 </w:t>
      </w:r>
      <w:r w:rsidR="00AE0A8D" w:rsidRPr="00500C4E">
        <w:rPr>
          <w:rFonts w:asciiTheme="minorHAnsi" w:hAnsiTheme="minorHAnsi"/>
        </w:rPr>
        <w:t>Installation</w:t>
      </w:r>
      <w:r w:rsidR="00B4065F" w:rsidRPr="00500C4E">
        <w:rPr>
          <w:rFonts w:asciiTheme="minorHAnsi" w:hAnsiTheme="minorHAnsi"/>
        </w:rPr>
        <w:t xml:space="preserve"> Types</w:t>
      </w:r>
      <w:r w:rsidR="00C55D03" w:rsidRPr="00500C4E">
        <w:rPr>
          <w:rFonts w:asciiTheme="minorHAnsi" w:hAnsiTheme="minorHAnsi"/>
        </w:rPr>
        <w:t xml:space="preserve"> and Delivery</w:t>
      </w:r>
      <w:r w:rsidRPr="00500C4E">
        <w:rPr>
          <w:rFonts w:asciiTheme="minorHAnsi" w:hAnsiTheme="minorHAnsi"/>
        </w:rPr>
        <w:t xml:space="preserve"> </w:t>
      </w:r>
      <w:r w:rsidR="00B4065F" w:rsidRPr="00500C4E">
        <w:rPr>
          <w:rFonts w:asciiTheme="minorHAnsi" w:hAnsiTheme="minorHAnsi"/>
        </w:rPr>
        <w:t>Mechanisms</w:t>
      </w:r>
    </w:p>
    <w:p w:rsidR="00510CD0" w:rsidRPr="00607F9D" w:rsidRDefault="00510CD0" w:rsidP="00510CD0">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The Installation Type for this workpaper measure is:</w:t>
      </w:r>
    </w:p>
    <w:p w:rsidR="00510CD0" w:rsidRPr="00607F9D" w:rsidRDefault="00510CD0" w:rsidP="00510CD0">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w:t>
      </w:r>
      <w:r w:rsidRPr="00607F9D">
        <w:rPr>
          <w:rFonts w:asciiTheme="minorHAnsi" w:hAnsiTheme="minorHAnsi" w:cstheme="minorHAnsi"/>
          <w:i w:val="0"/>
          <w:color w:val="auto"/>
          <w:szCs w:val="22"/>
        </w:rPr>
        <w:tab/>
        <w:t>Replace on Burnout (ROB)</w:t>
      </w:r>
    </w:p>
    <w:p w:rsidR="00510CD0" w:rsidRPr="00607F9D" w:rsidRDefault="00510CD0" w:rsidP="00510CD0">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The Delivery Methods for this workpaper measure are:</w:t>
      </w:r>
    </w:p>
    <w:p w:rsidR="00510CD0" w:rsidRPr="00607F9D" w:rsidRDefault="00510CD0" w:rsidP="00510CD0">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w:t>
      </w:r>
      <w:r w:rsidRPr="00607F9D">
        <w:rPr>
          <w:rFonts w:asciiTheme="minorHAnsi" w:hAnsiTheme="minorHAnsi" w:cstheme="minorHAnsi"/>
          <w:i w:val="0"/>
          <w:color w:val="auto"/>
          <w:szCs w:val="22"/>
        </w:rPr>
        <w:tab/>
        <w:t>Financial Support / Direct Install</w:t>
      </w:r>
    </w:p>
    <w:p w:rsidR="00510CD0" w:rsidRPr="00607F9D" w:rsidRDefault="00510CD0" w:rsidP="00510CD0">
      <w:pPr>
        <w:pStyle w:val="Reminders"/>
        <w:tabs>
          <w:tab w:val="num" w:pos="360"/>
        </w:tabs>
        <w:rPr>
          <w:rFonts w:asciiTheme="minorHAnsi" w:hAnsiTheme="minorHAnsi" w:cstheme="minorHAnsi"/>
          <w:i w:val="0"/>
          <w:color w:val="auto"/>
          <w:szCs w:val="22"/>
        </w:rPr>
      </w:pPr>
      <w:r w:rsidRPr="00607F9D">
        <w:rPr>
          <w:rFonts w:asciiTheme="minorHAnsi" w:hAnsiTheme="minorHAnsi" w:cstheme="minorHAnsi"/>
          <w:i w:val="0"/>
          <w:color w:val="auto"/>
          <w:szCs w:val="22"/>
        </w:rPr>
        <w:t>•</w:t>
      </w:r>
      <w:r w:rsidRPr="00607F9D">
        <w:rPr>
          <w:rFonts w:asciiTheme="minorHAnsi" w:hAnsiTheme="minorHAnsi" w:cstheme="minorHAnsi"/>
          <w:i w:val="0"/>
          <w:color w:val="auto"/>
          <w:szCs w:val="22"/>
        </w:rPr>
        <w:tab/>
        <w:t>Financial Support / Down-Stream Incentive – Deemed</w:t>
      </w:r>
    </w:p>
    <w:p w:rsidR="00624D47" w:rsidRDefault="00624D47" w:rsidP="00920905">
      <w:pPr>
        <w:pStyle w:val="NoSpacing"/>
        <w:rPr>
          <w:b/>
        </w:rPr>
      </w:pPr>
    </w:p>
    <w:p w:rsidR="001B2301" w:rsidRPr="00624D47" w:rsidRDefault="00624D47" w:rsidP="00624D47">
      <w:pPr>
        <w:pStyle w:val="NoSpacing"/>
        <w:jc w:val="center"/>
        <w:rPr>
          <w:rFonts w:cstheme="minorHAnsi"/>
          <w:i/>
        </w:rPr>
      </w:pPr>
      <w:r>
        <w:rPr>
          <w:b/>
        </w:rPr>
        <w:t xml:space="preserve">Table 4. </w:t>
      </w:r>
      <w:r w:rsidR="00C05AAF" w:rsidRPr="00624D47">
        <w:t>Installation Type</w:t>
      </w:r>
      <w:r w:rsidR="002469DD" w:rsidRPr="00624D47">
        <w:t xml:space="preserve"> </w:t>
      </w:r>
      <w:r w:rsidR="006F1B21" w:rsidRPr="00624D47">
        <w:t>D</w:t>
      </w:r>
      <w:r w:rsidR="002469DD" w:rsidRPr="00624D47">
        <w:t>escription</w:t>
      </w:r>
      <w:r w:rsidR="006F1B21" w:rsidRPr="00624D47">
        <w:t>s</w:t>
      </w:r>
    </w:p>
    <w:tbl>
      <w:tblPr>
        <w:tblStyle w:val="TableGrid1"/>
        <w:tblW w:w="5000" w:type="pct"/>
        <w:tblLayout w:type="fixed"/>
        <w:tblLook w:val="04A0" w:firstRow="1" w:lastRow="0" w:firstColumn="1" w:lastColumn="0" w:noHBand="0" w:noVBand="1"/>
      </w:tblPr>
      <w:tblGrid>
        <w:gridCol w:w="3406"/>
        <w:gridCol w:w="2120"/>
        <w:gridCol w:w="2122"/>
        <w:gridCol w:w="921"/>
        <w:gridCol w:w="1007"/>
      </w:tblGrid>
      <w:tr w:rsidR="006F1B21" w:rsidRPr="00500C4E" w:rsidTr="00920905">
        <w:trPr>
          <w:trHeight w:val="20"/>
        </w:trPr>
        <w:tc>
          <w:tcPr>
            <w:tcW w:w="1778" w:type="pct"/>
            <w:vMerge w:val="restart"/>
            <w:shd w:val="clear" w:color="auto" w:fill="D9D9D9" w:themeFill="background1" w:themeFillShade="D9"/>
          </w:tcPr>
          <w:p w:rsidR="006F1B21" w:rsidRPr="00920905" w:rsidRDefault="006F1B21" w:rsidP="001B2301">
            <w:pPr>
              <w:rPr>
                <w:b/>
                <w:sz w:val="18"/>
                <w:szCs w:val="18"/>
              </w:rPr>
            </w:pPr>
            <w:r w:rsidRPr="00920905">
              <w:rPr>
                <w:b/>
                <w:sz w:val="18"/>
                <w:szCs w:val="18"/>
              </w:rPr>
              <w:t>Installation Type</w:t>
            </w:r>
          </w:p>
        </w:tc>
        <w:tc>
          <w:tcPr>
            <w:tcW w:w="2215" w:type="pct"/>
            <w:gridSpan w:val="2"/>
            <w:shd w:val="clear" w:color="auto" w:fill="D9D9D9" w:themeFill="background1" w:themeFillShade="D9"/>
          </w:tcPr>
          <w:p w:rsidR="006F1B21" w:rsidRPr="00920905" w:rsidRDefault="006F1B21" w:rsidP="001B2301">
            <w:pPr>
              <w:rPr>
                <w:b/>
                <w:sz w:val="18"/>
                <w:szCs w:val="18"/>
              </w:rPr>
            </w:pPr>
            <w:r w:rsidRPr="00920905">
              <w:rPr>
                <w:b/>
                <w:sz w:val="18"/>
                <w:szCs w:val="18"/>
              </w:rPr>
              <w:t>Savings</w:t>
            </w:r>
          </w:p>
        </w:tc>
        <w:tc>
          <w:tcPr>
            <w:tcW w:w="1007" w:type="pct"/>
            <w:gridSpan w:val="2"/>
            <w:shd w:val="clear" w:color="auto" w:fill="D9D9D9" w:themeFill="background1" w:themeFillShade="D9"/>
          </w:tcPr>
          <w:p w:rsidR="006F1B21" w:rsidRPr="00920905" w:rsidRDefault="006F1B21" w:rsidP="001B2301">
            <w:pPr>
              <w:rPr>
                <w:b/>
                <w:sz w:val="18"/>
                <w:szCs w:val="18"/>
              </w:rPr>
            </w:pPr>
            <w:r w:rsidRPr="00920905">
              <w:rPr>
                <w:b/>
                <w:sz w:val="18"/>
                <w:szCs w:val="18"/>
              </w:rPr>
              <w:t>Life</w:t>
            </w:r>
          </w:p>
        </w:tc>
      </w:tr>
      <w:tr w:rsidR="006F1B21" w:rsidRPr="00500C4E" w:rsidTr="006F1B21">
        <w:trPr>
          <w:trHeight w:val="20"/>
        </w:trPr>
        <w:tc>
          <w:tcPr>
            <w:tcW w:w="1778" w:type="pct"/>
            <w:vMerge/>
            <w:shd w:val="clear" w:color="auto" w:fill="D9D9D9" w:themeFill="background1" w:themeFillShade="D9"/>
          </w:tcPr>
          <w:p w:rsidR="006F1B21" w:rsidRPr="00500C4E" w:rsidRDefault="006F1B21" w:rsidP="001B2301">
            <w:pPr>
              <w:rPr>
                <w:sz w:val="18"/>
                <w:szCs w:val="18"/>
              </w:rPr>
            </w:pPr>
          </w:p>
        </w:tc>
        <w:tc>
          <w:tcPr>
            <w:tcW w:w="1107" w:type="pct"/>
            <w:shd w:val="clear" w:color="auto" w:fill="F2F2F2" w:themeFill="background1" w:themeFillShade="F2"/>
          </w:tcPr>
          <w:p w:rsidR="006F1B21" w:rsidRPr="00920905" w:rsidRDefault="006F1B21" w:rsidP="001B2301">
            <w:pPr>
              <w:rPr>
                <w:sz w:val="18"/>
                <w:szCs w:val="18"/>
              </w:rPr>
            </w:pPr>
            <w:r w:rsidRPr="00920905">
              <w:rPr>
                <w:sz w:val="18"/>
                <w:szCs w:val="18"/>
              </w:rPr>
              <w:t>1</w:t>
            </w:r>
            <w:r w:rsidRPr="00920905">
              <w:rPr>
                <w:sz w:val="18"/>
                <w:szCs w:val="18"/>
                <w:vertAlign w:val="superscript"/>
              </w:rPr>
              <w:t>st</w:t>
            </w:r>
            <w:r w:rsidRPr="00920905">
              <w:rPr>
                <w:sz w:val="18"/>
                <w:szCs w:val="18"/>
              </w:rPr>
              <w:t xml:space="preserve"> Baseline (BL)</w:t>
            </w:r>
          </w:p>
        </w:tc>
        <w:tc>
          <w:tcPr>
            <w:tcW w:w="1108" w:type="pct"/>
            <w:shd w:val="clear" w:color="auto" w:fill="F2F2F2" w:themeFill="background1" w:themeFillShade="F2"/>
          </w:tcPr>
          <w:p w:rsidR="006F1B21" w:rsidRPr="00920905" w:rsidRDefault="006F1B21" w:rsidP="001B2301">
            <w:pPr>
              <w:rPr>
                <w:sz w:val="18"/>
                <w:szCs w:val="18"/>
              </w:rPr>
            </w:pPr>
            <w:r w:rsidRPr="00920905">
              <w:rPr>
                <w:sz w:val="18"/>
                <w:szCs w:val="18"/>
              </w:rPr>
              <w:t>2</w:t>
            </w:r>
            <w:r w:rsidRPr="00920905">
              <w:rPr>
                <w:sz w:val="18"/>
                <w:szCs w:val="18"/>
                <w:vertAlign w:val="superscript"/>
              </w:rPr>
              <w:t>nd</w:t>
            </w:r>
            <w:r w:rsidRPr="00920905">
              <w:rPr>
                <w:sz w:val="18"/>
                <w:szCs w:val="18"/>
              </w:rPr>
              <w:t xml:space="preserve"> BL</w:t>
            </w:r>
          </w:p>
        </w:tc>
        <w:tc>
          <w:tcPr>
            <w:tcW w:w="481" w:type="pct"/>
            <w:shd w:val="clear" w:color="auto" w:fill="F2F2F2" w:themeFill="background1" w:themeFillShade="F2"/>
          </w:tcPr>
          <w:p w:rsidR="006F1B21" w:rsidRPr="00920905" w:rsidRDefault="006F1B21" w:rsidP="001B2301">
            <w:pPr>
              <w:rPr>
                <w:sz w:val="18"/>
                <w:szCs w:val="18"/>
              </w:rPr>
            </w:pPr>
            <w:r w:rsidRPr="00920905">
              <w:rPr>
                <w:sz w:val="18"/>
                <w:szCs w:val="18"/>
              </w:rPr>
              <w:t>1</w:t>
            </w:r>
            <w:r w:rsidRPr="00920905">
              <w:rPr>
                <w:sz w:val="18"/>
                <w:szCs w:val="18"/>
                <w:vertAlign w:val="superscript"/>
              </w:rPr>
              <w:t>st</w:t>
            </w:r>
            <w:r w:rsidRPr="00920905">
              <w:rPr>
                <w:sz w:val="18"/>
                <w:szCs w:val="18"/>
              </w:rPr>
              <w:t xml:space="preserve"> BL</w:t>
            </w:r>
          </w:p>
        </w:tc>
        <w:tc>
          <w:tcPr>
            <w:tcW w:w="526" w:type="pct"/>
            <w:shd w:val="clear" w:color="auto" w:fill="F2F2F2" w:themeFill="background1" w:themeFillShade="F2"/>
          </w:tcPr>
          <w:p w:rsidR="006F1B21" w:rsidRPr="00920905" w:rsidRDefault="006F1B21" w:rsidP="001B2301">
            <w:pPr>
              <w:rPr>
                <w:sz w:val="18"/>
                <w:szCs w:val="18"/>
              </w:rPr>
            </w:pPr>
            <w:r w:rsidRPr="00920905">
              <w:rPr>
                <w:sz w:val="18"/>
                <w:szCs w:val="18"/>
              </w:rPr>
              <w:t>2</w:t>
            </w:r>
            <w:r w:rsidRPr="00920905">
              <w:rPr>
                <w:sz w:val="18"/>
                <w:szCs w:val="18"/>
                <w:vertAlign w:val="superscript"/>
              </w:rPr>
              <w:t>nd</w:t>
            </w:r>
            <w:r w:rsidRPr="00920905">
              <w:rPr>
                <w:sz w:val="18"/>
                <w:szCs w:val="18"/>
              </w:rPr>
              <w:t xml:space="preserve"> BL</w:t>
            </w:r>
          </w:p>
        </w:tc>
      </w:tr>
      <w:tr w:rsidR="006F1B21" w:rsidRPr="00500C4E" w:rsidTr="006F1B21">
        <w:trPr>
          <w:trHeight w:val="20"/>
        </w:trPr>
        <w:tc>
          <w:tcPr>
            <w:tcW w:w="1778" w:type="pct"/>
          </w:tcPr>
          <w:p w:rsidR="006F1B21" w:rsidRPr="00500C4E" w:rsidRDefault="006F1B21">
            <w:pPr>
              <w:rPr>
                <w:sz w:val="18"/>
                <w:szCs w:val="18"/>
              </w:rPr>
            </w:pPr>
            <w:r w:rsidRPr="00500C4E">
              <w:rPr>
                <w:sz w:val="18"/>
                <w:szCs w:val="18"/>
              </w:rPr>
              <w:t>Replace on Burnout (ROB)</w:t>
            </w:r>
          </w:p>
        </w:tc>
        <w:tc>
          <w:tcPr>
            <w:tcW w:w="1107" w:type="pct"/>
          </w:tcPr>
          <w:p w:rsidR="006F1B21" w:rsidRPr="00500C4E" w:rsidRDefault="006F1B21" w:rsidP="00E5625D">
            <w:pPr>
              <w:rPr>
                <w:sz w:val="18"/>
                <w:szCs w:val="18"/>
              </w:rPr>
            </w:pPr>
            <w:r w:rsidRPr="00500C4E">
              <w:rPr>
                <w:sz w:val="18"/>
                <w:szCs w:val="18"/>
              </w:rPr>
              <w:t>Above Code or Standard</w:t>
            </w:r>
          </w:p>
        </w:tc>
        <w:tc>
          <w:tcPr>
            <w:tcW w:w="1108" w:type="pct"/>
          </w:tcPr>
          <w:p w:rsidR="006F1B21" w:rsidRPr="00500C4E" w:rsidRDefault="006F1B21" w:rsidP="00E5625D">
            <w:pPr>
              <w:rPr>
                <w:sz w:val="18"/>
                <w:szCs w:val="18"/>
              </w:rPr>
            </w:pPr>
            <w:r w:rsidRPr="00500C4E">
              <w:rPr>
                <w:sz w:val="18"/>
                <w:szCs w:val="18"/>
              </w:rPr>
              <w:t>N/A</w:t>
            </w:r>
          </w:p>
        </w:tc>
        <w:tc>
          <w:tcPr>
            <w:tcW w:w="481" w:type="pct"/>
          </w:tcPr>
          <w:p w:rsidR="006F1B21" w:rsidRPr="00500C4E" w:rsidRDefault="006F1B21" w:rsidP="00E5625D">
            <w:pPr>
              <w:rPr>
                <w:sz w:val="18"/>
                <w:szCs w:val="18"/>
              </w:rPr>
            </w:pPr>
            <w:r w:rsidRPr="00500C4E">
              <w:rPr>
                <w:sz w:val="18"/>
                <w:szCs w:val="18"/>
              </w:rPr>
              <w:t>EUL</w:t>
            </w:r>
          </w:p>
        </w:tc>
        <w:tc>
          <w:tcPr>
            <w:tcW w:w="526" w:type="pct"/>
          </w:tcPr>
          <w:p w:rsidR="006F1B21" w:rsidRPr="00500C4E" w:rsidRDefault="006F1B21" w:rsidP="00E5625D">
            <w:pPr>
              <w:rPr>
                <w:sz w:val="18"/>
                <w:szCs w:val="18"/>
              </w:rPr>
            </w:pPr>
            <w:r w:rsidRPr="00500C4E">
              <w:rPr>
                <w:sz w:val="18"/>
                <w:szCs w:val="18"/>
              </w:rPr>
              <w:t>N/A</w:t>
            </w:r>
          </w:p>
        </w:tc>
      </w:tr>
    </w:tbl>
    <w:p w:rsidR="001B2301" w:rsidRDefault="001B2301" w:rsidP="00697868">
      <w:pPr>
        <w:pStyle w:val="Reminders"/>
        <w:tabs>
          <w:tab w:val="num" w:pos="360"/>
        </w:tabs>
        <w:rPr>
          <w:rFonts w:asciiTheme="minorHAnsi" w:hAnsiTheme="minorHAnsi" w:cstheme="minorHAnsi"/>
          <w:i w:val="0"/>
          <w:szCs w:val="22"/>
        </w:rPr>
      </w:pPr>
    </w:p>
    <w:p w:rsidR="00C05AAF" w:rsidRDefault="00C05AAF" w:rsidP="00920905">
      <w:pPr>
        <w:pStyle w:val="NoSpacing"/>
      </w:pPr>
      <w:r w:rsidRPr="0087004B">
        <w:t>A delivery mechanism</w:t>
      </w:r>
      <w:r w:rsidR="00350BF1">
        <w:t xml:space="preserve"> </w:t>
      </w:r>
      <w:r w:rsidR="00350BF1" w:rsidRPr="0087004B">
        <w:t>is a delivery method paired with an incentive method.</w:t>
      </w:r>
      <w:r w:rsidR="00350BF1">
        <w:t xml:space="preserve"> Delivery mechanisms are</w:t>
      </w:r>
      <w:r w:rsidRPr="0087004B">
        <w:t xml:space="preserve"> </w:t>
      </w:r>
      <w:r w:rsidR="00350BF1">
        <w:t>used</w:t>
      </w:r>
      <w:r w:rsidR="00DB44E9">
        <w:t xml:space="preserve"> by</w:t>
      </w:r>
      <w:r w:rsidR="00AA16C0" w:rsidRPr="005D6ADB">
        <w:t xml:space="preserve"> program</w:t>
      </w:r>
      <w:r w:rsidR="00DB44E9">
        <w:t>s</w:t>
      </w:r>
      <w:r w:rsidR="00AA16C0" w:rsidRPr="005D6ADB">
        <w:t xml:space="preserve"> to obtain program participation and energy savings.</w:t>
      </w:r>
    </w:p>
    <w:p w:rsidR="00624D47" w:rsidRDefault="00624D47" w:rsidP="00920905">
      <w:pPr>
        <w:pStyle w:val="NoSpacing"/>
      </w:pPr>
    </w:p>
    <w:p w:rsidR="00C05AAF" w:rsidRDefault="00C05AAF" w:rsidP="00920905">
      <w:pPr>
        <w:pStyle w:val="NoSpacing"/>
      </w:pPr>
    </w:p>
    <w:p w:rsidR="00C05AAF" w:rsidRPr="00B02941" w:rsidRDefault="00B02941" w:rsidP="00B02941">
      <w:pPr>
        <w:pStyle w:val="NoSpacing"/>
        <w:jc w:val="center"/>
      </w:pPr>
      <w:r>
        <w:rPr>
          <w:b/>
        </w:rPr>
        <w:lastRenderedPageBreak/>
        <w:t xml:space="preserve">Table 5. </w:t>
      </w:r>
      <w:r w:rsidR="00AA16C0" w:rsidRPr="00B02941">
        <w:t>Delivery Method Descriptions</w:t>
      </w:r>
    </w:p>
    <w:tbl>
      <w:tblPr>
        <w:tblStyle w:val="TableGrid1"/>
        <w:tblW w:w="5000" w:type="pct"/>
        <w:tblLayout w:type="fixed"/>
        <w:tblLook w:val="04A0" w:firstRow="1" w:lastRow="0" w:firstColumn="1" w:lastColumn="0" w:noHBand="0" w:noVBand="1"/>
      </w:tblPr>
      <w:tblGrid>
        <w:gridCol w:w="2484"/>
        <w:gridCol w:w="7092"/>
      </w:tblGrid>
      <w:tr w:rsidR="00C05AAF" w:rsidRPr="00A3164A" w:rsidTr="00920905">
        <w:tc>
          <w:tcPr>
            <w:tcW w:w="1297" w:type="pct"/>
            <w:shd w:val="clear" w:color="auto" w:fill="D9D9D9" w:themeFill="background1" w:themeFillShade="D9"/>
          </w:tcPr>
          <w:p w:rsidR="00C05AAF" w:rsidRPr="00920905" w:rsidRDefault="00C05AAF">
            <w:pPr>
              <w:rPr>
                <w:b/>
                <w:sz w:val="18"/>
                <w:szCs w:val="18"/>
              </w:rPr>
            </w:pPr>
            <w:r w:rsidRPr="00920905">
              <w:rPr>
                <w:b/>
                <w:sz w:val="18"/>
                <w:szCs w:val="18"/>
              </w:rPr>
              <w:t>Delivery Method</w:t>
            </w:r>
          </w:p>
        </w:tc>
        <w:tc>
          <w:tcPr>
            <w:tcW w:w="3703" w:type="pct"/>
            <w:shd w:val="clear" w:color="auto" w:fill="D9D9D9" w:themeFill="background1" w:themeFillShade="D9"/>
          </w:tcPr>
          <w:p w:rsidR="00C05AAF" w:rsidRPr="00920905" w:rsidRDefault="00C05AAF" w:rsidP="008F6298">
            <w:pPr>
              <w:rPr>
                <w:b/>
                <w:sz w:val="18"/>
                <w:szCs w:val="18"/>
              </w:rPr>
            </w:pPr>
            <w:r w:rsidRPr="00920905">
              <w:rPr>
                <w:b/>
                <w:sz w:val="18"/>
                <w:szCs w:val="18"/>
              </w:rPr>
              <w:t>Description</w:t>
            </w:r>
          </w:p>
        </w:tc>
      </w:tr>
      <w:tr w:rsidR="00C05AAF" w:rsidRPr="00A3164A" w:rsidTr="00920905">
        <w:tc>
          <w:tcPr>
            <w:tcW w:w="1297" w:type="pct"/>
          </w:tcPr>
          <w:p w:rsidR="00C05AAF" w:rsidRPr="00920905" w:rsidRDefault="00C05AAF" w:rsidP="00920905">
            <w:pPr>
              <w:pStyle w:val="NoSpacing"/>
              <w:rPr>
                <w:sz w:val="18"/>
                <w:szCs w:val="18"/>
              </w:rPr>
            </w:pPr>
            <w:r w:rsidRPr="00920905">
              <w:rPr>
                <w:rFonts w:eastAsiaTheme="minorHAnsi" w:cs="BookAntiqua"/>
                <w:sz w:val="18"/>
                <w:szCs w:val="18"/>
              </w:rPr>
              <w:t>Financial Support</w:t>
            </w:r>
          </w:p>
        </w:tc>
        <w:tc>
          <w:tcPr>
            <w:tcW w:w="3703" w:type="pct"/>
          </w:tcPr>
          <w:p w:rsidR="00C05AAF" w:rsidRPr="00920905" w:rsidRDefault="00C05AAF" w:rsidP="00920905">
            <w:pPr>
              <w:pStyle w:val="NoSpacing"/>
              <w:rPr>
                <w:sz w:val="18"/>
                <w:szCs w:val="18"/>
              </w:rPr>
            </w:pPr>
            <w:r w:rsidRPr="00920905">
              <w:rPr>
                <w:rFonts w:eastAsiaTheme="minorHAnsi" w:cs="BookAntiqua"/>
                <w:sz w:val="18"/>
                <w:szCs w:val="18"/>
              </w:rPr>
              <w:t>The program motivates customers, through financial incentives such as rebates or low interest loans, to implement energy efficient measures or</w:t>
            </w:r>
            <w:r w:rsidR="00AA4CDC" w:rsidRPr="00920905">
              <w:rPr>
                <w:rFonts w:eastAsiaTheme="minorHAnsi" w:cs="BookAntiqua"/>
                <w:sz w:val="18"/>
                <w:szCs w:val="18"/>
              </w:rPr>
              <w:t xml:space="preserve"> projects.</w:t>
            </w:r>
          </w:p>
        </w:tc>
      </w:tr>
    </w:tbl>
    <w:p w:rsidR="001B2301" w:rsidRPr="00500C4E" w:rsidRDefault="001B2301" w:rsidP="00920905"/>
    <w:p w:rsidR="00AA16C0" w:rsidRPr="00B02941" w:rsidRDefault="00B02941" w:rsidP="00B02941">
      <w:pPr>
        <w:pStyle w:val="NoSpacing"/>
        <w:jc w:val="center"/>
      </w:pPr>
      <w:r>
        <w:rPr>
          <w:b/>
        </w:rPr>
        <w:t xml:space="preserve">Table 6. </w:t>
      </w:r>
      <w:r w:rsidR="00AA16C0" w:rsidRPr="00B02941">
        <w:t>Incentive Method Descriptions</w:t>
      </w:r>
    </w:p>
    <w:tbl>
      <w:tblPr>
        <w:tblStyle w:val="TableGrid1"/>
        <w:tblW w:w="5000" w:type="pct"/>
        <w:tblLook w:val="04A0" w:firstRow="1" w:lastRow="0" w:firstColumn="1" w:lastColumn="0" w:noHBand="0" w:noVBand="1"/>
      </w:tblPr>
      <w:tblGrid>
        <w:gridCol w:w="2484"/>
        <w:gridCol w:w="7092"/>
      </w:tblGrid>
      <w:tr w:rsidR="001B2301" w:rsidRPr="00A3164A" w:rsidTr="00920905">
        <w:tc>
          <w:tcPr>
            <w:tcW w:w="1297" w:type="pct"/>
            <w:shd w:val="clear" w:color="auto" w:fill="D9D9D9" w:themeFill="background1" w:themeFillShade="D9"/>
          </w:tcPr>
          <w:p w:rsidR="001B2301" w:rsidRPr="00920905" w:rsidRDefault="001B2301" w:rsidP="001B2301">
            <w:pPr>
              <w:rPr>
                <w:b/>
                <w:sz w:val="18"/>
                <w:szCs w:val="18"/>
              </w:rPr>
            </w:pPr>
            <w:r w:rsidRPr="00920905">
              <w:rPr>
                <w:b/>
                <w:sz w:val="18"/>
                <w:szCs w:val="18"/>
              </w:rPr>
              <w:t>Incentive Method</w:t>
            </w:r>
          </w:p>
        </w:tc>
        <w:tc>
          <w:tcPr>
            <w:tcW w:w="3703" w:type="pct"/>
            <w:shd w:val="clear" w:color="auto" w:fill="D9D9D9" w:themeFill="background1" w:themeFillShade="D9"/>
          </w:tcPr>
          <w:p w:rsidR="001B2301" w:rsidRPr="00920905" w:rsidRDefault="001B2301" w:rsidP="001B2301">
            <w:pPr>
              <w:rPr>
                <w:b/>
                <w:sz w:val="18"/>
                <w:szCs w:val="18"/>
              </w:rPr>
            </w:pPr>
            <w:r w:rsidRPr="00920905">
              <w:rPr>
                <w:b/>
                <w:sz w:val="18"/>
                <w:szCs w:val="18"/>
              </w:rPr>
              <w:t>Description</w:t>
            </w:r>
          </w:p>
        </w:tc>
      </w:tr>
      <w:tr w:rsidR="001455D1" w:rsidRPr="00A3164A" w:rsidTr="00920905">
        <w:tc>
          <w:tcPr>
            <w:tcW w:w="1297" w:type="pct"/>
          </w:tcPr>
          <w:p w:rsidR="001455D1" w:rsidRPr="00920905" w:rsidRDefault="001455D1" w:rsidP="00461B2D">
            <w:pPr>
              <w:autoSpaceDE w:val="0"/>
              <w:autoSpaceDN w:val="0"/>
              <w:adjustRightInd w:val="0"/>
              <w:spacing w:line="240" w:lineRule="atLeast"/>
              <w:rPr>
                <w:sz w:val="18"/>
                <w:szCs w:val="18"/>
              </w:rPr>
            </w:pPr>
            <w:r w:rsidRPr="00920905">
              <w:rPr>
                <w:rFonts w:cs="Helv"/>
                <w:sz w:val="18"/>
                <w:szCs w:val="18"/>
              </w:rPr>
              <w:t>Down-Stream Incentive</w:t>
            </w:r>
          </w:p>
        </w:tc>
        <w:tc>
          <w:tcPr>
            <w:tcW w:w="3703" w:type="pct"/>
          </w:tcPr>
          <w:p w:rsidR="001455D1" w:rsidRPr="00920905" w:rsidRDefault="001455D1" w:rsidP="00461B2D">
            <w:pPr>
              <w:autoSpaceDE w:val="0"/>
              <w:autoSpaceDN w:val="0"/>
              <w:adjustRightInd w:val="0"/>
              <w:spacing w:line="240" w:lineRule="atLeast"/>
              <w:rPr>
                <w:sz w:val="18"/>
                <w:szCs w:val="18"/>
              </w:rPr>
            </w:pPr>
            <w:r w:rsidRPr="00920905">
              <w:rPr>
                <w:rFonts w:cs="Helv"/>
                <w:sz w:val="18"/>
                <w:szCs w:val="18"/>
              </w:rPr>
              <w:t>The customer installs qualifying energy efficient equipment and submits an incentive application to the utility program. Upon application approval, the utility program pays an incentive to the customer. Such an incentive may be deemed or customized.</w:t>
            </w:r>
          </w:p>
        </w:tc>
      </w:tr>
      <w:tr w:rsidR="001B2301" w:rsidRPr="00A3164A" w:rsidTr="00920905">
        <w:tc>
          <w:tcPr>
            <w:tcW w:w="1297" w:type="pct"/>
          </w:tcPr>
          <w:p w:rsidR="001B2301" w:rsidRPr="00920905" w:rsidRDefault="00AA4CDC" w:rsidP="00920905">
            <w:pPr>
              <w:autoSpaceDE w:val="0"/>
              <w:autoSpaceDN w:val="0"/>
              <w:adjustRightInd w:val="0"/>
              <w:spacing w:line="240" w:lineRule="atLeast"/>
              <w:rPr>
                <w:sz w:val="18"/>
                <w:szCs w:val="18"/>
              </w:rPr>
            </w:pPr>
            <w:r w:rsidRPr="00920905">
              <w:rPr>
                <w:rFonts w:cs="Helv"/>
                <w:sz w:val="18"/>
                <w:szCs w:val="18"/>
              </w:rPr>
              <w:t>Direct Install</w:t>
            </w:r>
          </w:p>
        </w:tc>
        <w:tc>
          <w:tcPr>
            <w:tcW w:w="3703" w:type="pct"/>
          </w:tcPr>
          <w:p w:rsidR="001B2301" w:rsidRPr="00920905" w:rsidRDefault="00AA4CDC" w:rsidP="00920905">
            <w:pPr>
              <w:autoSpaceDE w:val="0"/>
              <w:autoSpaceDN w:val="0"/>
              <w:adjustRightInd w:val="0"/>
              <w:rPr>
                <w:sz w:val="18"/>
                <w:szCs w:val="18"/>
              </w:rPr>
            </w:pPr>
            <w:r w:rsidRPr="00920905">
              <w:rPr>
                <w:rFonts w:cs="Helv"/>
                <w:sz w:val="18"/>
                <w:szCs w:val="18"/>
              </w:rPr>
              <w:t xml:space="preserve">The program </w:t>
            </w:r>
            <w:r w:rsidRPr="00920905">
              <w:rPr>
                <w:sz w:val="18"/>
                <w:szCs w:val="18"/>
              </w:rPr>
              <w:t>implements energy efficiency measures for qualifying customers, at no cost to the customer.</w:t>
            </w:r>
          </w:p>
        </w:tc>
      </w:tr>
    </w:tbl>
    <w:p w:rsidR="00E02853" w:rsidRDefault="00E02853"/>
    <w:p w:rsidR="001455D1" w:rsidRPr="00F0633E" w:rsidRDefault="001455D1" w:rsidP="001455D1">
      <w:pPr>
        <w:pStyle w:val="ListParagraph"/>
        <w:numPr>
          <w:ilvl w:val="0"/>
          <w:numId w:val="4"/>
        </w:numPr>
      </w:pPr>
      <w:r w:rsidRPr="00F0633E">
        <w:rPr>
          <w:b/>
        </w:rPr>
        <w:t xml:space="preserve">Commercial Downstream Deemed Program </w:t>
      </w:r>
      <w:r w:rsidRPr="00F0633E">
        <w:t>require</w:t>
      </w:r>
      <w:r>
        <w:t>s</w:t>
      </w:r>
      <w:r w:rsidRPr="00F0633E">
        <w:t xml:space="preserve"> applicants to submit manufacturer’s specification sheets detailing </w:t>
      </w:r>
      <w:r>
        <w:t>Linear LED retrofit kit fixture type</w:t>
      </w:r>
      <w:r w:rsidRPr="00F0633E">
        <w:t xml:space="preserve"> and circling the </w:t>
      </w:r>
      <w:r>
        <w:t>applicable fixture type based on day lit spaces versus non-day lit spaces</w:t>
      </w:r>
      <w:r w:rsidRPr="00F0633E">
        <w:t xml:space="preserve">. </w:t>
      </w:r>
      <w:r>
        <w:t>Linear LED retrofit kit fixtures</w:t>
      </w:r>
      <w:r w:rsidRPr="00F0633E">
        <w:t xml:space="preserve"> without this information available will not be eligible for the program. </w:t>
      </w:r>
      <w:r>
        <w:t>Linear LED retrofit kit fixtures</w:t>
      </w:r>
      <w:r w:rsidRPr="00F0633E">
        <w:t xml:space="preserve"> will be checked during inspections aligne</w:t>
      </w:r>
      <w:r>
        <w:t>d with current program inspection policies</w:t>
      </w:r>
      <w:r w:rsidRPr="00F0633E">
        <w:t>.</w:t>
      </w:r>
    </w:p>
    <w:p w:rsidR="001455D1" w:rsidRPr="001455D1" w:rsidRDefault="001455D1" w:rsidP="001455D1">
      <w:pPr>
        <w:pStyle w:val="ListParagraph"/>
      </w:pPr>
    </w:p>
    <w:p w:rsidR="00E02853" w:rsidRPr="001455D1" w:rsidRDefault="00E02853" w:rsidP="00DD2BB9">
      <w:pPr>
        <w:pStyle w:val="ListParagraph"/>
        <w:numPr>
          <w:ilvl w:val="0"/>
          <w:numId w:val="4"/>
        </w:numPr>
      </w:pPr>
      <w:r w:rsidRPr="001455D1">
        <w:rPr>
          <w:b/>
        </w:rPr>
        <w:t>Commercial Direct Install Program</w:t>
      </w:r>
      <w:r w:rsidRPr="001455D1">
        <w:t xml:space="preserve"> contractors have extensive knowledge of the lighting products they use for the </w:t>
      </w:r>
      <w:r w:rsidR="005D3850" w:rsidRPr="001455D1">
        <w:t>direct install (</w:t>
      </w:r>
      <w:r w:rsidRPr="001455D1">
        <w:t>DI</w:t>
      </w:r>
      <w:r w:rsidR="005D3850" w:rsidRPr="001455D1">
        <w:t>)</w:t>
      </w:r>
      <w:r w:rsidRPr="001455D1">
        <w:t xml:space="preserve"> Program.  </w:t>
      </w:r>
      <w:r w:rsidR="005D3850" w:rsidRPr="001455D1">
        <w:t>DI</w:t>
      </w:r>
      <w:r w:rsidRPr="001455D1">
        <w:t xml:space="preserve"> contractors </w:t>
      </w:r>
      <w:r w:rsidR="005D3850" w:rsidRPr="001455D1">
        <w:t>can</w:t>
      </w:r>
      <w:r w:rsidRPr="001455D1">
        <w:t xml:space="preserve"> confirm </w:t>
      </w:r>
      <w:r w:rsidR="001455D1">
        <w:t xml:space="preserve">Linear </w:t>
      </w:r>
      <w:r w:rsidRPr="001455D1">
        <w:t xml:space="preserve">LED </w:t>
      </w:r>
      <w:r w:rsidR="001455D1">
        <w:t xml:space="preserve">retrofit kit </w:t>
      </w:r>
      <w:r w:rsidR="005D3850" w:rsidRPr="001455D1">
        <w:t>fixtures</w:t>
      </w:r>
      <w:r w:rsidRPr="001455D1">
        <w:t xml:space="preserve"> installed are compatible pe</w:t>
      </w:r>
      <w:r w:rsidR="005D3850" w:rsidRPr="001455D1">
        <w:t>r manufacturer’s specifications. </w:t>
      </w:r>
      <w:r w:rsidRPr="001455D1">
        <w:t>Documentation can be provided regarding the lamp/ballast compatibility for the various components used and encountered in their Direct Install. The sampling rate for pre-inspection is 6% and post-inspection between 10-20%.</w:t>
      </w:r>
    </w:p>
    <w:p w:rsidR="00E02853" w:rsidRDefault="00E02853" w:rsidP="00E02853">
      <w:pPr>
        <w:pStyle w:val="Reminders"/>
        <w:ind w:left="720"/>
        <w:rPr>
          <w:rFonts w:asciiTheme="minorHAnsi" w:hAnsiTheme="minorHAnsi" w:cstheme="minorHAnsi"/>
          <w:i w:val="0"/>
          <w:color w:val="auto"/>
          <w:szCs w:val="22"/>
        </w:rPr>
      </w:pPr>
    </w:p>
    <w:p w:rsidR="00F0633E" w:rsidRPr="001455D1" w:rsidRDefault="00E02853" w:rsidP="00DD2BB9">
      <w:pPr>
        <w:pStyle w:val="ListParagraph"/>
        <w:numPr>
          <w:ilvl w:val="1"/>
          <w:numId w:val="4"/>
        </w:numPr>
        <w:rPr>
          <w:b/>
        </w:rPr>
      </w:pPr>
      <w:r w:rsidRPr="001455D1">
        <w:rPr>
          <w:b/>
        </w:rPr>
        <w:t xml:space="preserve">The Multifamily Energy Efficiency Rebate (MFEER) Program </w:t>
      </w:r>
      <w:r w:rsidRPr="001455D1">
        <w:t xml:space="preserve">offers rebates on a wide variety of energy-saving products and services to motivate the multifamily property owners/managers to install energy efficient products in both common and dwelling areas of multifamily complexes. The MFEER program addresses the ongoing concern with “split incentives” where the residents are not the owners of the property, so they lack </w:t>
      </w:r>
      <w:r w:rsidR="005D3850" w:rsidRPr="001455D1">
        <w:t>the motivation</w:t>
      </w:r>
      <w:r w:rsidRPr="001455D1">
        <w:t xml:space="preserve"> to improve their energy usage</w:t>
      </w:r>
      <w:r w:rsidR="005D3850" w:rsidRPr="001455D1">
        <w:t xml:space="preserve"> patterns</w:t>
      </w:r>
      <w:r w:rsidRPr="001455D1">
        <w:t>. Similarly, the property owners do not live on-site and pay higher utility expense</w:t>
      </w:r>
      <w:r w:rsidR="005D3850" w:rsidRPr="001455D1">
        <w:t>s due to inefficient appliances;</w:t>
      </w:r>
      <w:r w:rsidRPr="001455D1">
        <w:t xml:space="preserve"> thus</w:t>
      </w:r>
      <w:r w:rsidR="005D3850" w:rsidRPr="001455D1">
        <w:t>,</w:t>
      </w:r>
      <w:r w:rsidRPr="001455D1">
        <w:t xml:space="preserve"> lack any </w:t>
      </w:r>
      <w:r w:rsidR="005D3850" w:rsidRPr="001455D1">
        <w:t>motivation</w:t>
      </w:r>
      <w:r w:rsidRPr="001455D1">
        <w:t xml:space="preserve"> to </w:t>
      </w:r>
      <w:r w:rsidR="005D3850" w:rsidRPr="001455D1">
        <w:t xml:space="preserve">make improvement </w:t>
      </w:r>
      <w:r w:rsidRPr="001455D1">
        <w:t>upgrade</w:t>
      </w:r>
      <w:r w:rsidR="005D3850" w:rsidRPr="001455D1">
        <w:t>s</w:t>
      </w:r>
      <w:r w:rsidRPr="001455D1">
        <w:t xml:space="preserve">. The MFEER </w:t>
      </w:r>
      <w:r w:rsidR="005D3850" w:rsidRPr="001455D1">
        <w:t xml:space="preserve">program </w:t>
      </w:r>
      <w:r w:rsidRPr="001455D1">
        <w:t>is designed to drive this customer segment toward participation by offering property owners a variety of energy efficiency measures and services.</w:t>
      </w:r>
    </w:p>
    <w:p w:rsidR="00F0633E" w:rsidRPr="00A474EF" w:rsidRDefault="00F0633E" w:rsidP="00F0633E">
      <w:pPr>
        <w:pStyle w:val="ListParagraph"/>
        <w:ind w:left="1440"/>
        <w:rPr>
          <w:b/>
          <w:color w:val="FF0000"/>
        </w:rPr>
      </w:pPr>
    </w:p>
    <w:p w:rsidR="00F0633E" w:rsidRPr="001455D1" w:rsidRDefault="00E02853" w:rsidP="00DD2BB9">
      <w:pPr>
        <w:pStyle w:val="ListParagraph"/>
        <w:numPr>
          <w:ilvl w:val="1"/>
          <w:numId w:val="4"/>
        </w:numPr>
        <w:rPr>
          <w:b/>
        </w:rPr>
      </w:pPr>
      <w:r w:rsidRPr="001455D1">
        <w:t xml:space="preserve">The MFEER program also offers select energy-efficient products and services at “no-cost” to customers implemented via </w:t>
      </w:r>
      <w:r w:rsidR="005D3850" w:rsidRPr="001455D1">
        <w:t>DI</w:t>
      </w:r>
      <w:r w:rsidRPr="001455D1">
        <w:t xml:space="preserve">.  </w:t>
      </w:r>
      <w:r w:rsidR="005D3850" w:rsidRPr="001455D1">
        <w:t>DI</w:t>
      </w:r>
      <w:r w:rsidRPr="001455D1">
        <w:t xml:space="preserve"> measures are implemented by authorized-program contractors who perform program outreach and provide project management which includes energy audits, customer enrollment, product procurement, installation and quality assurance. </w:t>
      </w:r>
    </w:p>
    <w:p w:rsidR="00F0633E" w:rsidRPr="00A474EF" w:rsidRDefault="00F0633E" w:rsidP="00F0633E">
      <w:pPr>
        <w:pStyle w:val="ListParagraph"/>
        <w:rPr>
          <w:color w:val="FF0000"/>
        </w:rPr>
      </w:pPr>
    </w:p>
    <w:p w:rsidR="001455D1" w:rsidRPr="001455D1" w:rsidRDefault="00E02853" w:rsidP="001455D1">
      <w:pPr>
        <w:pStyle w:val="ListParagraph"/>
        <w:numPr>
          <w:ilvl w:val="1"/>
          <w:numId w:val="4"/>
        </w:numPr>
        <w:rPr>
          <w:b/>
        </w:rPr>
      </w:pPr>
      <w:r w:rsidRPr="001455D1">
        <w:t>The MFEER program quality control ensures product eligibility by verifying qualified products lists and product specifications of the energy efficient product installed.  Pre-inspection</w:t>
      </w:r>
      <w:r w:rsidR="005D3850" w:rsidRPr="001455D1">
        <w:t>s are not</w:t>
      </w:r>
      <w:r w:rsidRPr="001455D1">
        <w:t xml:space="preserve"> performed, but data is collected. All projects that receive over $20,000 in incentives require a 100% post-inspection while all others will require 10% </w:t>
      </w:r>
      <w:r w:rsidRPr="001455D1">
        <w:lastRenderedPageBreak/>
        <w:t xml:space="preserve">post-inspection. </w:t>
      </w:r>
      <w:r w:rsidR="005D3850" w:rsidRPr="001455D1">
        <w:t xml:space="preserve">The MFEER program </w:t>
      </w:r>
      <w:r w:rsidRPr="001455D1">
        <w:t xml:space="preserve">requires a detailed Product Location Form (PLF) for each project submitted for rebate or incentive. The PLF is an Excel spreadsheet with a tab for measures installed. Consistent with program policies and procedures, field inspections are also conducted to verify installations and accuracy of the information provided in submitted incentive applications. </w:t>
      </w:r>
    </w:p>
    <w:p w:rsidR="001455D1" w:rsidRPr="001455D1" w:rsidRDefault="001455D1" w:rsidP="001455D1">
      <w:pPr>
        <w:pStyle w:val="ListParagraph"/>
        <w:rPr>
          <w:color w:val="FF0000"/>
        </w:rPr>
      </w:pPr>
    </w:p>
    <w:p w:rsidR="00E02853" w:rsidRPr="001455D1" w:rsidRDefault="00E02853" w:rsidP="001455D1">
      <w:pPr>
        <w:pStyle w:val="ListParagraph"/>
        <w:numPr>
          <w:ilvl w:val="1"/>
          <w:numId w:val="4"/>
        </w:numPr>
        <w:rPr>
          <w:b/>
        </w:rPr>
      </w:pPr>
      <w:r w:rsidRPr="001455D1">
        <w:t xml:space="preserve">To ensure proper operation of the measure technology, customers will be required to submit the product specification sheet </w:t>
      </w:r>
      <w:r w:rsidR="0093771C" w:rsidRPr="001455D1">
        <w:t xml:space="preserve">to ensure that eligible </w:t>
      </w:r>
      <w:r w:rsidR="001455D1">
        <w:t xml:space="preserve">Linear </w:t>
      </w:r>
      <w:r w:rsidR="0093771C" w:rsidRPr="001455D1">
        <w:t xml:space="preserve">LED </w:t>
      </w:r>
      <w:r w:rsidR="001455D1">
        <w:t xml:space="preserve">retrofit kit </w:t>
      </w:r>
      <w:r w:rsidR="0093771C" w:rsidRPr="001455D1">
        <w:t>fixtures are</w:t>
      </w:r>
      <w:r w:rsidRPr="001455D1">
        <w:t xml:space="preserve"> installed at their location.</w:t>
      </w:r>
    </w:p>
    <w:p w:rsidR="00E16609" w:rsidRPr="00500C4E" w:rsidRDefault="00824F1C" w:rsidP="00824F1C">
      <w:pPr>
        <w:pStyle w:val="Heading2"/>
        <w:rPr>
          <w:rFonts w:asciiTheme="minorHAnsi" w:hAnsiTheme="minorHAnsi" w:cstheme="minorHAnsi"/>
        </w:rPr>
      </w:pPr>
      <w:bookmarkStart w:id="14" w:name="_Toc214003084"/>
      <w:r w:rsidRPr="00500C4E">
        <w:rPr>
          <w:rFonts w:asciiTheme="minorHAnsi" w:hAnsiTheme="minorHAnsi" w:cstheme="minorHAnsi"/>
        </w:rPr>
        <w:t>1.</w:t>
      </w:r>
      <w:r w:rsidR="00697868" w:rsidRPr="00500C4E">
        <w:rPr>
          <w:rFonts w:asciiTheme="minorHAnsi" w:hAnsiTheme="minorHAnsi" w:cstheme="minorHAnsi"/>
        </w:rPr>
        <w:t>4</w:t>
      </w:r>
      <w:r w:rsidR="00B33FE2" w:rsidRPr="00500C4E">
        <w:rPr>
          <w:rFonts w:asciiTheme="minorHAnsi" w:hAnsiTheme="minorHAnsi" w:cstheme="minorHAnsi"/>
        </w:rPr>
        <w:t xml:space="preserve"> </w:t>
      </w:r>
      <w:r w:rsidR="00697868" w:rsidRPr="00500C4E">
        <w:rPr>
          <w:rFonts w:asciiTheme="minorHAnsi" w:hAnsiTheme="minorHAnsi" w:cstheme="minorHAnsi"/>
        </w:rPr>
        <w:t xml:space="preserve">Measure </w:t>
      </w:r>
      <w:bookmarkEnd w:id="14"/>
      <w:r w:rsidR="00F810DD">
        <w:rPr>
          <w:rFonts w:asciiTheme="minorHAnsi" w:hAnsiTheme="minorHAnsi" w:cstheme="minorHAnsi"/>
        </w:rPr>
        <w:t>Parameters</w:t>
      </w:r>
    </w:p>
    <w:p w:rsidR="00F06CCF" w:rsidRDefault="00F06CCF" w:rsidP="00F06CCF">
      <w:pPr>
        <w:pStyle w:val="Heading3"/>
        <w:rPr>
          <w:rFonts w:asciiTheme="minorHAnsi" w:hAnsiTheme="minorHAnsi"/>
        </w:rPr>
      </w:pPr>
      <w:r w:rsidRPr="00500C4E">
        <w:rPr>
          <w:rFonts w:asciiTheme="minorHAnsi" w:hAnsiTheme="minorHAnsi"/>
        </w:rPr>
        <w:t xml:space="preserve">1.4.1 DEER </w:t>
      </w:r>
      <w:r w:rsidR="00D86A9D">
        <w:rPr>
          <w:rFonts w:asciiTheme="minorHAnsi" w:hAnsiTheme="minorHAnsi"/>
        </w:rPr>
        <w:t>Data</w:t>
      </w:r>
    </w:p>
    <w:p w:rsidR="00C65B0C" w:rsidRDefault="00C65B0C" w:rsidP="00C65B0C">
      <w:pPr>
        <w:pStyle w:val="Reminders"/>
        <w:rPr>
          <w:rFonts w:asciiTheme="minorHAnsi" w:hAnsiTheme="minorHAnsi" w:cstheme="minorHAnsi"/>
          <w:i w:val="0"/>
          <w:color w:val="auto"/>
          <w:szCs w:val="22"/>
        </w:rPr>
      </w:pPr>
      <w:r w:rsidRPr="00C65B0C">
        <w:rPr>
          <w:rFonts w:asciiTheme="minorHAnsi" w:hAnsiTheme="minorHAnsi" w:cstheme="minorHAnsi"/>
          <w:i w:val="0"/>
          <w:color w:val="auto"/>
          <w:szCs w:val="22"/>
        </w:rPr>
        <w:t>The existing DEER measures for LED luminaires are not applicable. Within DEER, there are forty DEER measures for Commercial Indoor General Lighting with Tech Types equal to LED_fixt.</w:t>
      </w:r>
      <w:r w:rsidR="00AE7716">
        <w:rPr>
          <w:rFonts w:asciiTheme="minorHAnsi" w:hAnsiTheme="minorHAnsi" w:cstheme="minorHAnsi"/>
          <w:i w:val="0"/>
          <w:color w:val="auto"/>
          <w:szCs w:val="22"/>
        </w:rPr>
        <w:t xml:space="preserve"> </w:t>
      </w:r>
      <w:r w:rsidRPr="00C65B0C">
        <w:rPr>
          <w:rFonts w:asciiTheme="minorHAnsi" w:hAnsiTheme="minorHAnsi" w:cstheme="minorHAnsi"/>
          <w:i w:val="0"/>
          <w:color w:val="auto"/>
          <w:szCs w:val="22"/>
        </w:rPr>
        <w:t xml:space="preserve">Thirteen of those forty references HID base case fixtures, which are not applicable here for this </w:t>
      </w:r>
      <w:r>
        <w:rPr>
          <w:rFonts w:asciiTheme="minorHAnsi" w:hAnsiTheme="minorHAnsi" w:cstheme="minorHAnsi"/>
          <w:i w:val="0"/>
          <w:color w:val="auto"/>
          <w:szCs w:val="22"/>
        </w:rPr>
        <w:t>workpaper</w:t>
      </w:r>
      <w:r w:rsidRPr="00C65B0C">
        <w:rPr>
          <w:rFonts w:asciiTheme="minorHAnsi" w:hAnsiTheme="minorHAnsi" w:cstheme="minorHAnsi"/>
          <w:i w:val="0"/>
          <w:color w:val="auto"/>
          <w:szCs w:val="22"/>
        </w:rPr>
        <w:t xml:space="preserve">. </w:t>
      </w:r>
    </w:p>
    <w:p w:rsidR="00C65B0C" w:rsidRDefault="00C65B0C" w:rsidP="00C65B0C">
      <w:pPr>
        <w:pStyle w:val="Reminders"/>
        <w:rPr>
          <w:rFonts w:asciiTheme="minorHAnsi" w:hAnsiTheme="minorHAnsi" w:cstheme="minorHAnsi"/>
          <w:i w:val="0"/>
          <w:color w:val="auto"/>
          <w:szCs w:val="22"/>
        </w:rPr>
      </w:pPr>
    </w:p>
    <w:p w:rsidR="00C65B0C" w:rsidRPr="00C65B0C" w:rsidRDefault="00C65B0C" w:rsidP="00C65B0C">
      <w:pPr>
        <w:pStyle w:val="Reminders"/>
        <w:rPr>
          <w:rFonts w:asciiTheme="minorHAnsi" w:hAnsiTheme="minorHAnsi" w:cstheme="minorHAnsi"/>
          <w:i w:val="0"/>
          <w:color w:val="auto"/>
          <w:szCs w:val="22"/>
        </w:rPr>
      </w:pPr>
      <w:r w:rsidRPr="00C65B0C">
        <w:rPr>
          <w:rFonts w:asciiTheme="minorHAnsi" w:hAnsiTheme="minorHAnsi" w:cstheme="minorHAnsi"/>
          <w:i w:val="0"/>
          <w:color w:val="auto"/>
          <w:szCs w:val="22"/>
        </w:rPr>
        <w:t>Of the twenty-seven remaining DEER measures, all have measure wattages less than 26 Watts or more than</w:t>
      </w:r>
      <w:r>
        <w:rPr>
          <w:rFonts w:asciiTheme="minorHAnsi" w:hAnsiTheme="minorHAnsi" w:cstheme="minorHAnsi"/>
          <w:i w:val="0"/>
          <w:color w:val="auto"/>
          <w:szCs w:val="22"/>
        </w:rPr>
        <w:t xml:space="preserve"> 130 Watts. </w:t>
      </w:r>
      <w:r w:rsidRPr="00C65B0C">
        <w:rPr>
          <w:rFonts w:asciiTheme="minorHAnsi" w:hAnsiTheme="minorHAnsi" w:cstheme="minorHAnsi"/>
          <w:i w:val="0"/>
          <w:color w:val="auto"/>
          <w:szCs w:val="22"/>
        </w:rPr>
        <w:t xml:space="preserve">The larger wattage measures generally came from workpapers for high-bay fixtures, and the lower wattage measures generally have medium screw-base lamps as their base case. None of the DEER measures are applicable to this specific LED fixture application replacing linear fluorescent T8 fixtures in the 1’x4’, 2’x4’ fixture sizes </w:t>
      </w:r>
      <w:r w:rsidR="001455D1">
        <w:rPr>
          <w:rFonts w:asciiTheme="minorHAnsi" w:hAnsiTheme="minorHAnsi" w:cstheme="minorHAnsi"/>
          <w:i w:val="0"/>
          <w:color w:val="auto"/>
          <w:szCs w:val="22"/>
        </w:rPr>
        <w:t>in</w:t>
      </w:r>
      <w:r w:rsidRPr="00C65B0C">
        <w:rPr>
          <w:rFonts w:asciiTheme="minorHAnsi" w:hAnsiTheme="minorHAnsi" w:cstheme="minorHAnsi"/>
          <w:i w:val="0"/>
          <w:color w:val="auto"/>
          <w:szCs w:val="22"/>
        </w:rPr>
        <w:t xml:space="preserve"> parking garages.</w:t>
      </w:r>
    </w:p>
    <w:p w:rsidR="00C65B0C" w:rsidRPr="00C65B0C" w:rsidRDefault="00C65B0C" w:rsidP="00C65B0C">
      <w:pPr>
        <w:pStyle w:val="Reminders"/>
        <w:rPr>
          <w:rFonts w:asciiTheme="minorHAnsi" w:hAnsiTheme="minorHAnsi" w:cstheme="minorHAnsi"/>
          <w:i w:val="0"/>
          <w:color w:val="auto"/>
          <w:szCs w:val="22"/>
        </w:rPr>
      </w:pPr>
    </w:p>
    <w:p w:rsidR="00C65B0C" w:rsidRPr="00C65B0C" w:rsidRDefault="00C65B0C" w:rsidP="00C65B0C">
      <w:pPr>
        <w:pStyle w:val="Reminders"/>
        <w:rPr>
          <w:rFonts w:asciiTheme="minorHAnsi" w:hAnsiTheme="minorHAnsi" w:cstheme="minorHAnsi"/>
          <w:i w:val="0"/>
          <w:color w:val="auto"/>
          <w:szCs w:val="22"/>
        </w:rPr>
      </w:pPr>
      <w:r w:rsidRPr="00C65B0C">
        <w:rPr>
          <w:rFonts w:asciiTheme="minorHAnsi" w:hAnsiTheme="minorHAnsi" w:cstheme="minorHAnsi"/>
          <w:i w:val="0"/>
          <w:color w:val="auto"/>
          <w:szCs w:val="22"/>
        </w:rPr>
        <w:t>Additionally, DEER does not include parking garages as a building type. The DEER operating hours for other DEER building types do not take into account code requirements and occupancy for parking garages. The DEER operating hours are not applicable because the hours are focused on lighting for interior commercial spaces, which are typically lower in hours compared to parking garages.</w:t>
      </w:r>
    </w:p>
    <w:p w:rsidR="00C65B0C" w:rsidRPr="00C65B0C" w:rsidRDefault="00C65B0C" w:rsidP="00C65B0C"/>
    <w:p w:rsidR="00E326BA" w:rsidRPr="002D1A24" w:rsidRDefault="002D1A24" w:rsidP="00920905">
      <w:pPr>
        <w:pStyle w:val="Caption"/>
        <w:keepNext/>
        <w:jc w:val="center"/>
        <w:rPr>
          <w:rFonts w:cs="Arial"/>
          <w:b w:val="0"/>
          <w:szCs w:val="22"/>
        </w:rPr>
      </w:pPr>
      <w:bookmarkStart w:id="15" w:name="_Toc385592671"/>
      <w:bookmarkStart w:id="16" w:name="_Toc214003087"/>
      <w:r>
        <w:rPr>
          <w:rFonts w:cs="Arial"/>
          <w:szCs w:val="22"/>
        </w:rPr>
        <w:t xml:space="preserve">Table 7. </w:t>
      </w:r>
      <w:r w:rsidR="00E326BA" w:rsidRPr="002D1A24">
        <w:rPr>
          <w:rFonts w:cs="Arial"/>
          <w:b w:val="0"/>
          <w:szCs w:val="22"/>
        </w:rPr>
        <w:t>DEER Difference Summary</w:t>
      </w:r>
      <w:bookmarkEnd w:id="15"/>
    </w:p>
    <w:tbl>
      <w:tblPr>
        <w:tblStyle w:val="TableGrid1"/>
        <w:tblW w:w="5000" w:type="pct"/>
        <w:tblCellMar>
          <w:left w:w="115" w:type="dxa"/>
          <w:right w:w="115" w:type="dxa"/>
        </w:tblCellMar>
        <w:tblLook w:val="04A0" w:firstRow="1" w:lastRow="0" w:firstColumn="1" w:lastColumn="0" w:noHBand="0" w:noVBand="1"/>
      </w:tblPr>
      <w:tblGrid>
        <w:gridCol w:w="2969"/>
        <w:gridCol w:w="6621"/>
      </w:tblGrid>
      <w:tr w:rsidR="00726AD5" w:rsidRPr="00500C4E" w:rsidTr="00920905">
        <w:trPr>
          <w:trHeight w:val="20"/>
        </w:trPr>
        <w:tc>
          <w:tcPr>
            <w:tcW w:w="1548" w:type="pct"/>
            <w:shd w:val="clear" w:color="auto" w:fill="D9D9D9" w:themeFill="background1" w:themeFillShade="D9"/>
          </w:tcPr>
          <w:p w:rsidR="00E326BA" w:rsidRPr="00920905" w:rsidRDefault="00E326BA" w:rsidP="00920905">
            <w:pPr>
              <w:tabs>
                <w:tab w:val="right" w:pos="2957"/>
              </w:tabs>
              <w:rPr>
                <w:rFonts w:cs="Arial"/>
                <w:b/>
                <w:szCs w:val="20"/>
              </w:rPr>
            </w:pPr>
            <w:r w:rsidRPr="00920905">
              <w:rPr>
                <w:rFonts w:cs="Arial"/>
                <w:b/>
                <w:szCs w:val="20"/>
              </w:rPr>
              <w:t>DEER</w:t>
            </w:r>
            <w:r w:rsidR="002B502E" w:rsidRPr="00500C4E">
              <w:rPr>
                <w:rFonts w:cs="Arial"/>
                <w:b/>
                <w:szCs w:val="20"/>
              </w:rPr>
              <w:t xml:space="preserve"> </w:t>
            </w:r>
            <w:r w:rsidR="00D86A9D">
              <w:rPr>
                <w:rFonts w:cs="Arial"/>
                <w:b/>
                <w:szCs w:val="20"/>
              </w:rPr>
              <w:t>Item</w:t>
            </w:r>
          </w:p>
        </w:tc>
        <w:tc>
          <w:tcPr>
            <w:tcW w:w="3452" w:type="pct"/>
            <w:shd w:val="clear" w:color="auto" w:fill="D9D9D9" w:themeFill="background1" w:themeFillShade="D9"/>
          </w:tcPr>
          <w:p w:rsidR="00E326BA" w:rsidRPr="00920905" w:rsidRDefault="00E326BA" w:rsidP="00920905">
            <w:pPr>
              <w:rPr>
                <w:rFonts w:cs="Arial"/>
                <w:b/>
                <w:szCs w:val="20"/>
              </w:rPr>
            </w:pPr>
            <w:r w:rsidRPr="00920905">
              <w:rPr>
                <w:rFonts w:cs="Arial"/>
                <w:b/>
                <w:szCs w:val="20"/>
              </w:rPr>
              <w:t xml:space="preserve">Used </w:t>
            </w:r>
            <w:r w:rsidR="0001002B">
              <w:rPr>
                <w:rFonts w:cs="Arial"/>
                <w:b/>
                <w:szCs w:val="20"/>
              </w:rPr>
              <w:t>for</w:t>
            </w:r>
            <w:r w:rsidRPr="00920905">
              <w:rPr>
                <w:rFonts w:cs="Arial"/>
                <w:b/>
                <w:szCs w:val="20"/>
              </w:rPr>
              <w:t xml:space="preserve"> Workpaper?</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Modified DEER methodology</w:t>
            </w:r>
          </w:p>
        </w:tc>
        <w:tc>
          <w:tcPr>
            <w:tcW w:w="3452" w:type="pct"/>
          </w:tcPr>
          <w:p w:rsidR="00E326BA" w:rsidRPr="00F0633E" w:rsidRDefault="00E326BA" w:rsidP="00920905">
            <w:pPr>
              <w:rPr>
                <w:rFonts w:cs="Arial"/>
                <w:b/>
                <w:szCs w:val="20"/>
              </w:rPr>
            </w:pPr>
            <w:r w:rsidRPr="00F0633E">
              <w:rPr>
                <w:rFonts w:cs="Arial"/>
                <w:szCs w:val="20"/>
              </w:rPr>
              <w:t>No</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Scaled DEER measure</w:t>
            </w:r>
          </w:p>
        </w:tc>
        <w:tc>
          <w:tcPr>
            <w:tcW w:w="3452" w:type="pct"/>
          </w:tcPr>
          <w:p w:rsidR="00E326BA" w:rsidRPr="00F0633E" w:rsidRDefault="00E326BA" w:rsidP="00920905">
            <w:pPr>
              <w:rPr>
                <w:rFonts w:cs="Arial"/>
                <w:szCs w:val="20"/>
              </w:rPr>
            </w:pPr>
            <w:r w:rsidRPr="00F0633E">
              <w:rPr>
                <w:rFonts w:cs="Arial"/>
                <w:szCs w:val="20"/>
              </w:rPr>
              <w:t>No</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 xml:space="preserve">DEER </w:t>
            </w:r>
            <w:r w:rsidR="009D10A4" w:rsidRPr="00500C4E">
              <w:rPr>
                <w:rFonts w:cs="Arial"/>
                <w:szCs w:val="20"/>
              </w:rPr>
              <w:t>B</w:t>
            </w:r>
            <w:r w:rsidRPr="00920905">
              <w:rPr>
                <w:rFonts w:cs="Arial"/>
                <w:szCs w:val="20"/>
              </w:rPr>
              <w:t xml:space="preserve">ase </w:t>
            </w:r>
            <w:r w:rsidR="009D10A4" w:rsidRPr="00500C4E">
              <w:rPr>
                <w:rFonts w:cs="Arial"/>
                <w:szCs w:val="20"/>
              </w:rPr>
              <w:t>C</w:t>
            </w:r>
            <w:r w:rsidRPr="00920905">
              <w:rPr>
                <w:rFonts w:cs="Arial"/>
                <w:szCs w:val="20"/>
              </w:rPr>
              <w:t>ase</w:t>
            </w:r>
          </w:p>
        </w:tc>
        <w:tc>
          <w:tcPr>
            <w:tcW w:w="3452" w:type="pct"/>
          </w:tcPr>
          <w:p w:rsidR="00E326BA" w:rsidRPr="00F0633E" w:rsidRDefault="00E326BA" w:rsidP="00920905">
            <w:pPr>
              <w:rPr>
                <w:rFonts w:cs="Arial"/>
                <w:szCs w:val="20"/>
              </w:rPr>
            </w:pPr>
            <w:r w:rsidRPr="00F0633E">
              <w:rPr>
                <w:rFonts w:cs="Arial"/>
                <w:szCs w:val="20"/>
              </w:rPr>
              <w:t>No</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 xml:space="preserve">DEER </w:t>
            </w:r>
            <w:r w:rsidR="009D10A4" w:rsidRPr="00500C4E">
              <w:rPr>
                <w:rFonts w:cs="Arial"/>
                <w:szCs w:val="20"/>
              </w:rPr>
              <w:t>M</w:t>
            </w:r>
            <w:r w:rsidRPr="00920905">
              <w:rPr>
                <w:rFonts w:cs="Arial"/>
                <w:szCs w:val="20"/>
              </w:rPr>
              <w:t xml:space="preserve">easure </w:t>
            </w:r>
            <w:r w:rsidR="009D10A4" w:rsidRPr="00500C4E">
              <w:rPr>
                <w:rFonts w:cs="Arial"/>
                <w:szCs w:val="20"/>
              </w:rPr>
              <w:t>C</w:t>
            </w:r>
            <w:r w:rsidRPr="00920905">
              <w:rPr>
                <w:rFonts w:cs="Arial"/>
                <w:szCs w:val="20"/>
              </w:rPr>
              <w:t>ase</w:t>
            </w:r>
          </w:p>
        </w:tc>
        <w:tc>
          <w:tcPr>
            <w:tcW w:w="3452" w:type="pct"/>
          </w:tcPr>
          <w:p w:rsidR="00E326BA" w:rsidRPr="00F0633E" w:rsidRDefault="00E326BA" w:rsidP="00920905">
            <w:pPr>
              <w:rPr>
                <w:rFonts w:cs="Arial"/>
                <w:szCs w:val="20"/>
              </w:rPr>
            </w:pPr>
            <w:r w:rsidRPr="00F0633E">
              <w:rPr>
                <w:rFonts w:cs="Arial"/>
                <w:szCs w:val="20"/>
              </w:rPr>
              <w:t>No</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 xml:space="preserve">DEER </w:t>
            </w:r>
            <w:r w:rsidR="009D10A4" w:rsidRPr="00500C4E">
              <w:rPr>
                <w:rFonts w:cs="Arial"/>
                <w:szCs w:val="20"/>
              </w:rPr>
              <w:t>B</w:t>
            </w:r>
            <w:r w:rsidRPr="00920905">
              <w:rPr>
                <w:rFonts w:cs="Arial"/>
                <w:szCs w:val="20"/>
              </w:rPr>
              <w:t xml:space="preserve">uilding </w:t>
            </w:r>
            <w:r w:rsidR="009D10A4" w:rsidRPr="00500C4E">
              <w:rPr>
                <w:rFonts w:cs="Arial"/>
                <w:szCs w:val="20"/>
              </w:rPr>
              <w:t>T</w:t>
            </w:r>
            <w:r w:rsidRPr="00920905">
              <w:rPr>
                <w:rFonts w:cs="Arial"/>
                <w:szCs w:val="20"/>
              </w:rPr>
              <w:t>ypes</w:t>
            </w:r>
          </w:p>
        </w:tc>
        <w:tc>
          <w:tcPr>
            <w:tcW w:w="3452" w:type="pct"/>
          </w:tcPr>
          <w:p w:rsidR="00E326BA" w:rsidRPr="00F0633E" w:rsidRDefault="00E326BA" w:rsidP="00920905">
            <w:pPr>
              <w:rPr>
                <w:rFonts w:cs="Arial"/>
                <w:szCs w:val="20"/>
              </w:rPr>
            </w:pPr>
            <w:r w:rsidRPr="00F0633E">
              <w:rPr>
                <w:rFonts w:cs="Arial"/>
                <w:szCs w:val="20"/>
              </w:rPr>
              <w:t>No</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 xml:space="preserve">DEER </w:t>
            </w:r>
            <w:r w:rsidR="009D10A4" w:rsidRPr="00500C4E">
              <w:rPr>
                <w:rFonts w:cs="Arial"/>
                <w:szCs w:val="20"/>
              </w:rPr>
              <w:t>O</w:t>
            </w:r>
            <w:r w:rsidRPr="00920905">
              <w:rPr>
                <w:rFonts w:cs="Arial"/>
                <w:szCs w:val="20"/>
              </w:rPr>
              <w:t xml:space="preserve">perating </w:t>
            </w:r>
            <w:r w:rsidR="009D10A4" w:rsidRPr="00500C4E">
              <w:rPr>
                <w:rFonts w:cs="Arial"/>
                <w:szCs w:val="20"/>
              </w:rPr>
              <w:t>H</w:t>
            </w:r>
            <w:r w:rsidRPr="00920905">
              <w:rPr>
                <w:rFonts w:cs="Arial"/>
                <w:szCs w:val="20"/>
              </w:rPr>
              <w:t>ours</w:t>
            </w:r>
          </w:p>
        </w:tc>
        <w:tc>
          <w:tcPr>
            <w:tcW w:w="3452" w:type="pct"/>
          </w:tcPr>
          <w:p w:rsidR="00E326BA" w:rsidRPr="00F0633E" w:rsidRDefault="00254671" w:rsidP="00920905">
            <w:pPr>
              <w:rPr>
                <w:rFonts w:cs="Arial"/>
                <w:szCs w:val="20"/>
              </w:rPr>
            </w:pPr>
            <w:r w:rsidRPr="00F0633E">
              <w:rPr>
                <w:rFonts w:cs="Arial"/>
                <w:szCs w:val="20"/>
              </w:rPr>
              <w:t>No</w:t>
            </w:r>
          </w:p>
        </w:tc>
      </w:tr>
      <w:tr w:rsidR="00726AD5" w:rsidRPr="00500C4E" w:rsidTr="00920905">
        <w:trPr>
          <w:trHeight w:val="20"/>
        </w:trPr>
        <w:tc>
          <w:tcPr>
            <w:tcW w:w="1548" w:type="pct"/>
          </w:tcPr>
          <w:p w:rsidR="00505CEC" w:rsidRPr="00920905" w:rsidRDefault="00505CEC" w:rsidP="00920905">
            <w:pPr>
              <w:rPr>
                <w:rFonts w:cs="Arial"/>
                <w:szCs w:val="20"/>
              </w:rPr>
            </w:pPr>
            <w:r w:rsidRPr="00920905">
              <w:rPr>
                <w:rFonts w:cs="Arial"/>
                <w:szCs w:val="20"/>
              </w:rPr>
              <w:t xml:space="preserve">DEER </w:t>
            </w:r>
            <w:r w:rsidR="009D10A4" w:rsidRPr="00500C4E">
              <w:rPr>
                <w:rFonts w:cs="Arial"/>
                <w:szCs w:val="20"/>
              </w:rPr>
              <w:t>eQUEST P</w:t>
            </w:r>
            <w:r w:rsidRPr="00920905">
              <w:rPr>
                <w:rFonts w:cs="Arial"/>
                <w:szCs w:val="20"/>
              </w:rPr>
              <w:t>rototype</w:t>
            </w:r>
            <w:r w:rsidR="009D10A4" w:rsidRPr="00500C4E">
              <w:rPr>
                <w:rFonts w:cs="Arial"/>
                <w:szCs w:val="20"/>
              </w:rPr>
              <w:t>s</w:t>
            </w:r>
          </w:p>
        </w:tc>
        <w:tc>
          <w:tcPr>
            <w:tcW w:w="3452" w:type="pct"/>
          </w:tcPr>
          <w:p w:rsidR="00505CEC" w:rsidRPr="00F0633E" w:rsidDel="00505CEC" w:rsidRDefault="00505CEC" w:rsidP="00920905">
            <w:pPr>
              <w:rPr>
                <w:rFonts w:cs="Arial"/>
                <w:szCs w:val="20"/>
              </w:rPr>
            </w:pPr>
            <w:r w:rsidRPr="00F0633E">
              <w:rPr>
                <w:rFonts w:cs="Arial"/>
                <w:szCs w:val="20"/>
              </w:rPr>
              <w:t>No</w:t>
            </w:r>
          </w:p>
        </w:tc>
      </w:tr>
      <w:tr w:rsidR="00D86A9D" w:rsidRPr="00500C4E" w:rsidTr="00920905">
        <w:trPr>
          <w:trHeight w:val="20"/>
        </w:trPr>
        <w:tc>
          <w:tcPr>
            <w:tcW w:w="1548" w:type="pct"/>
          </w:tcPr>
          <w:p w:rsidR="00D86A9D" w:rsidRPr="00500C4E" w:rsidRDefault="00D86A9D" w:rsidP="00175D14">
            <w:pPr>
              <w:rPr>
                <w:rFonts w:cs="Arial"/>
                <w:szCs w:val="20"/>
              </w:rPr>
            </w:pPr>
            <w:r w:rsidRPr="00500C4E">
              <w:rPr>
                <w:rFonts w:cs="Arial"/>
                <w:szCs w:val="20"/>
              </w:rPr>
              <w:t>DEER Version</w:t>
            </w:r>
          </w:p>
        </w:tc>
        <w:tc>
          <w:tcPr>
            <w:tcW w:w="3452" w:type="pct"/>
          </w:tcPr>
          <w:p w:rsidR="00D86A9D" w:rsidRPr="00F0633E" w:rsidRDefault="00F0633E" w:rsidP="00175D14">
            <w:pPr>
              <w:rPr>
                <w:rFonts w:cs="Arial"/>
                <w:szCs w:val="20"/>
              </w:rPr>
            </w:pPr>
            <w:r w:rsidRPr="00F0633E">
              <w:rPr>
                <w:rFonts w:cstheme="minorHAnsi"/>
                <w:szCs w:val="20"/>
              </w:rPr>
              <w:t>Non-DEER</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Reason for Deviation from DEER</w:t>
            </w:r>
          </w:p>
        </w:tc>
        <w:tc>
          <w:tcPr>
            <w:tcW w:w="3452" w:type="pct"/>
          </w:tcPr>
          <w:p w:rsidR="00E326BA" w:rsidRPr="00F0633E" w:rsidRDefault="00F0633E" w:rsidP="00920905">
            <w:pPr>
              <w:rPr>
                <w:rFonts w:cs="Arial"/>
                <w:szCs w:val="20"/>
              </w:rPr>
            </w:pPr>
            <w:r w:rsidRPr="00F0633E">
              <w:rPr>
                <w:rFonts w:cs="Arial"/>
                <w:szCs w:val="20"/>
              </w:rPr>
              <w:t>DEER does not contain this type of measure.</w:t>
            </w:r>
          </w:p>
        </w:tc>
      </w:tr>
      <w:tr w:rsidR="00726AD5" w:rsidRPr="00500C4E" w:rsidTr="00920905">
        <w:trPr>
          <w:trHeight w:val="20"/>
        </w:trPr>
        <w:tc>
          <w:tcPr>
            <w:tcW w:w="1548" w:type="pct"/>
          </w:tcPr>
          <w:p w:rsidR="00E326BA" w:rsidRPr="00920905" w:rsidRDefault="00E326BA" w:rsidP="00920905">
            <w:pPr>
              <w:rPr>
                <w:rFonts w:cs="Arial"/>
                <w:szCs w:val="20"/>
              </w:rPr>
            </w:pPr>
            <w:r w:rsidRPr="00920905">
              <w:rPr>
                <w:rFonts w:cs="Arial"/>
                <w:szCs w:val="20"/>
              </w:rPr>
              <w:t xml:space="preserve">DEER </w:t>
            </w:r>
            <w:r w:rsidR="009D10A4" w:rsidRPr="00500C4E">
              <w:rPr>
                <w:rFonts w:cs="Arial"/>
                <w:szCs w:val="20"/>
              </w:rPr>
              <w:t xml:space="preserve">Measure </w:t>
            </w:r>
            <w:r w:rsidRPr="00920905">
              <w:rPr>
                <w:rFonts w:cs="Arial"/>
                <w:szCs w:val="20"/>
              </w:rPr>
              <w:t>ID</w:t>
            </w:r>
            <w:r w:rsidR="009D10A4" w:rsidRPr="00500C4E">
              <w:rPr>
                <w:rFonts w:cs="Arial"/>
                <w:szCs w:val="20"/>
              </w:rPr>
              <w:t>s</w:t>
            </w:r>
            <w:r w:rsidR="007A5F52" w:rsidRPr="00500C4E">
              <w:rPr>
                <w:rFonts w:cs="Arial"/>
                <w:szCs w:val="20"/>
              </w:rPr>
              <w:t xml:space="preserve"> Used</w:t>
            </w:r>
          </w:p>
        </w:tc>
        <w:tc>
          <w:tcPr>
            <w:tcW w:w="3452" w:type="pct"/>
          </w:tcPr>
          <w:p w:rsidR="00E326BA" w:rsidRPr="00F0633E" w:rsidRDefault="00F0633E" w:rsidP="00920905">
            <w:pPr>
              <w:rPr>
                <w:rFonts w:cs="Arial"/>
                <w:szCs w:val="20"/>
              </w:rPr>
            </w:pPr>
            <w:r w:rsidRPr="00F0633E">
              <w:rPr>
                <w:rFonts w:cs="Arial"/>
                <w:szCs w:val="20"/>
              </w:rPr>
              <w:t>N/A</w:t>
            </w:r>
          </w:p>
        </w:tc>
      </w:tr>
    </w:tbl>
    <w:p w:rsidR="00305BEC" w:rsidRDefault="00305BEC" w:rsidP="00472250">
      <w:pPr>
        <w:pStyle w:val="Reminders"/>
        <w:rPr>
          <w:rFonts w:asciiTheme="minorHAnsi" w:hAnsiTheme="minorHAnsi" w:cstheme="minorHAnsi"/>
          <w:b/>
          <w:i w:val="0"/>
          <w:color w:val="auto"/>
          <w:szCs w:val="22"/>
        </w:rPr>
      </w:pPr>
    </w:p>
    <w:p w:rsidR="00472250" w:rsidRPr="00500C4E" w:rsidRDefault="00472250" w:rsidP="00472250">
      <w:pPr>
        <w:pStyle w:val="Reminders"/>
        <w:rPr>
          <w:rFonts w:asciiTheme="minorHAnsi" w:hAnsiTheme="minorHAnsi" w:cstheme="minorHAnsi"/>
          <w:b/>
          <w:i w:val="0"/>
          <w:color w:val="auto"/>
          <w:szCs w:val="22"/>
        </w:rPr>
      </w:pPr>
      <w:r w:rsidRPr="00500C4E">
        <w:rPr>
          <w:rFonts w:asciiTheme="minorHAnsi" w:hAnsiTheme="minorHAnsi" w:cstheme="minorHAnsi"/>
          <w:b/>
          <w:i w:val="0"/>
          <w:color w:val="auto"/>
          <w:szCs w:val="22"/>
        </w:rPr>
        <w:t>Net-to-Gross Ratio</w:t>
      </w:r>
    </w:p>
    <w:p w:rsidR="000968C6" w:rsidRDefault="000968C6" w:rsidP="00920905">
      <w:pPr>
        <w:pStyle w:val="NoSpacing"/>
      </w:pPr>
      <w:r w:rsidRPr="004D069A">
        <w:t>The NTG</w:t>
      </w:r>
      <w:r w:rsidR="00064CB3" w:rsidRPr="004D069A">
        <w:t xml:space="preserve"> </w:t>
      </w:r>
      <w:r w:rsidRPr="004D069A">
        <w:t>value</w:t>
      </w:r>
      <w:r w:rsidR="00BC6524" w:rsidRPr="004D069A">
        <w:t>s were obtained using</w:t>
      </w:r>
      <w:r w:rsidRPr="004D069A">
        <w:t xml:space="preserve"> </w:t>
      </w:r>
      <w:r w:rsidR="00F12733" w:rsidRPr="004D069A">
        <w:t xml:space="preserve">the </w:t>
      </w:r>
      <w:r w:rsidR="00BC6524" w:rsidRPr="004D069A">
        <w:t>DEER READI tool</w:t>
      </w:r>
      <w:r w:rsidRPr="004D069A">
        <w:t>. The r</w:t>
      </w:r>
      <w:r w:rsidR="00061A8E" w:rsidRPr="004D069A">
        <w:t>elevant NTG values for the</w:t>
      </w:r>
      <w:r w:rsidRPr="004D069A">
        <w:t xml:space="preserve"> measure</w:t>
      </w:r>
      <w:r w:rsidR="00061A8E" w:rsidRPr="004D069A">
        <w:t>s in this work paper</w:t>
      </w:r>
      <w:r w:rsidRPr="004D069A">
        <w:t xml:space="preserve"> </w:t>
      </w:r>
      <w:r w:rsidR="00061A8E" w:rsidRPr="004D069A">
        <w:t>are</w:t>
      </w:r>
      <w:r w:rsidRPr="004D069A">
        <w:t xml:space="preserve"> </w:t>
      </w:r>
      <w:r w:rsidR="006C0B03">
        <w:t xml:space="preserve">listed </w:t>
      </w:r>
      <w:r w:rsidR="008B1357" w:rsidRPr="004D069A">
        <w:t>in</w:t>
      </w:r>
      <w:r w:rsidR="00061A8E" w:rsidRPr="004D069A">
        <w:t xml:space="preserve"> </w:t>
      </w:r>
      <w:r w:rsidR="006C0B03">
        <w:t>T</w:t>
      </w:r>
      <w:r w:rsidR="00061A8E" w:rsidRPr="004D069A">
        <w:t xml:space="preserve">able </w:t>
      </w:r>
      <w:r w:rsidR="006C0B03">
        <w:t>8</w:t>
      </w:r>
      <w:r w:rsidRPr="004D069A">
        <w:t>.</w:t>
      </w:r>
    </w:p>
    <w:p w:rsidR="002D1A24" w:rsidRPr="002D1A24" w:rsidRDefault="002D1A24" w:rsidP="002D1A24">
      <w:pPr>
        <w:pStyle w:val="Caption"/>
        <w:keepNext/>
        <w:jc w:val="center"/>
        <w:rPr>
          <w:rFonts w:cs="Arial"/>
          <w:b w:val="0"/>
          <w:szCs w:val="22"/>
        </w:rPr>
      </w:pPr>
      <w:r>
        <w:rPr>
          <w:rFonts w:cs="Arial"/>
          <w:szCs w:val="22"/>
        </w:rPr>
        <w:lastRenderedPageBreak/>
        <w:t xml:space="preserve">Table 8. </w:t>
      </w:r>
      <w:r>
        <w:rPr>
          <w:rFonts w:cs="Arial"/>
          <w:b w:val="0"/>
          <w:szCs w:val="22"/>
        </w:rPr>
        <w:t>Net-to-Gross Table</w:t>
      </w:r>
    </w:p>
    <w:tbl>
      <w:tblPr>
        <w:tblStyle w:val="TableGrid1"/>
        <w:tblW w:w="5000" w:type="pct"/>
        <w:tblLayout w:type="fixed"/>
        <w:tblLook w:val="01E0" w:firstRow="1" w:lastRow="1" w:firstColumn="1" w:lastColumn="1" w:noHBand="0" w:noVBand="0"/>
      </w:tblPr>
      <w:tblGrid>
        <w:gridCol w:w="1368"/>
        <w:gridCol w:w="3788"/>
        <w:gridCol w:w="831"/>
        <w:gridCol w:w="1013"/>
        <w:gridCol w:w="1752"/>
        <w:gridCol w:w="824"/>
      </w:tblGrid>
      <w:tr w:rsidR="005F69D5" w:rsidRPr="00500C4E" w:rsidTr="00305BEC">
        <w:tc>
          <w:tcPr>
            <w:tcW w:w="714" w:type="pct"/>
            <w:shd w:val="clear" w:color="auto" w:fill="D9D9D9" w:themeFill="background1" w:themeFillShade="D9"/>
          </w:tcPr>
          <w:p w:rsidR="000968C6" w:rsidRPr="00920905" w:rsidRDefault="005729C8" w:rsidP="005729C8">
            <w:pPr>
              <w:rPr>
                <w:rFonts w:cstheme="minorHAnsi"/>
                <w:b/>
                <w:szCs w:val="20"/>
              </w:rPr>
            </w:pPr>
            <w:r w:rsidRPr="00920905">
              <w:rPr>
                <w:rFonts w:cstheme="minorHAnsi"/>
                <w:b/>
                <w:szCs w:val="20"/>
              </w:rPr>
              <w:t>NTG</w:t>
            </w:r>
            <w:r w:rsidR="005F69D5">
              <w:rPr>
                <w:rFonts w:cstheme="minorHAnsi"/>
                <w:b/>
                <w:szCs w:val="20"/>
              </w:rPr>
              <w:t>R</w:t>
            </w:r>
            <w:r w:rsidR="00E06A37">
              <w:rPr>
                <w:rFonts w:cstheme="minorHAnsi"/>
                <w:b/>
                <w:szCs w:val="20"/>
              </w:rPr>
              <w:t xml:space="preserve"> ID</w:t>
            </w:r>
          </w:p>
        </w:tc>
        <w:tc>
          <w:tcPr>
            <w:tcW w:w="1978" w:type="pct"/>
            <w:shd w:val="clear" w:color="auto" w:fill="D9D9D9" w:themeFill="background1" w:themeFillShade="D9"/>
          </w:tcPr>
          <w:p w:rsidR="000968C6" w:rsidRPr="00920905" w:rsidRDefault="005F69D5">
            <w:pPr>
              <w:rPr>
                <w:rFonts w:cstheme="minorHAnsi"/>
                <w:b/>
                <w:szCs w:val="20"/>
              </w:rPr>
            </w:pPr>
            <w:r>
              <w:rPr>
                <w:rFonts w:cstheme="minorHAnsi"/>
                <w:b/>
                <w:szCs w:val="20"/>
              </w:rPr>
              <w:t>Description</w:t>
            </w:r>
          </w:p>
        </w:tc>
        <w:tc>
          <w:tcPr>
            <w:tcW w:w="434" w:type="pct"/>
            <w:shd w:val="clear" w:color="auto" w:fill="D9D9D9" w:themeFill="background1" w:themeFillShade="D9"/>
          </w:tcPr>
          <w:p w:rsidR="000968C6" w:rsidRPr="00920905" w:rsidRDefault="000968C6" w:rsidP="005729C8">
            <w:pPr>
              <w:rPr>
                <w:rFonts w:cstheme="minorHAnsi"/>
                <w:b/>
                <w:szCs w:val="20"/>
              </w:rPr>
            </w:pPr>
            <w:r w:rsidRPr="00920905">
              <w:rPr>
                <w:rFonts w:cstheme="minorHAnsi"/>
                <w:b/>
                <w:szCs w:val="20"/>
              </w:rPr>
              <w:t>Sector</w:t>
            </w:r>
          </w:p>
        </w:tc>
        <w:tc>
          <w:tcPr>
            <w:tcW w:w="529" w:type="pct"/>
            <w:shd w:val="clear" w:color="auto" w:fill="D9D9D9" w:themeFill="background1" w:themeFillShade="D9"/>
          </w:tcPr>
          <w:p w:rsidR="000968C6" w:rsidRPr="00920905" w:rsidRDefault="00FB2590" w:rsidP="005729C8">
            <w:pPr>
              <w:rPr>
                <w:rFonts w:cstheme="minorHAnsi"/>
                <w:b/>
                <w:szCs w:val="20"/>
              </w:rPr>
            </w:pPr>
            <w:r w:rsidRPr="00920905">
              <w:rPr>
                <w:rFonts w:cstheme="minorHAnsi"/>
                <w:b/>
                <w:szCs w:val="20"/>
              </w:rPr>
              <w:t>BldgType</w:t>
            </w:r>
          </w:p>
        </w:tc>
        <w:tc>
          <w:tcPr>
            <w:tcW w:w="915" w:type="pct"/>
            <w:shd w:val="clear" w:color="auto" w:fill="D9D9D9" w:themeFill="background1" w:themeFillShade="D9"/>
          </w:tcPr>
          <w:p w:rsidR="000968C6" w:rsidRPr="00920905" w:rsidRDefault="00E06A37">
            <w:pPr>
              <w:rPr>
                <w:rFonts w:cstheme="minorHAnsi"/>
                <w:b/>
                <w:szCs w:val="20"/>
              </w:rPr>
            </w:pPr>
            <w:r>
              <w:rPr>
                <w:rFonts w:cstheme="minorHAnsi"/>
                <w:b/>
                <w:szCs w:val="20"/>
              </w:rPr>
              <w:t>M</w:t>
            </w:r>
            <w:r w:rsidR="005F69D5">
              <w:rPr>
                <w:rFonts w:cstheme="minorHAnsi"/>
                <w:b/>
                <w:szCs w:val="20"/>
              </w:rPr>
              <w:t xml:space="preserve">easure </w:t>
            </w:r>
            <w:r>
              <w:rPr>
                <w:rFonts w:cstheme="minorHAnsi"/>
                <w:b/>
                <w:szCs w:val="20"/>
              </w:rPr>
              <w:t>Delivery</w:t>
            </w:r>
          </w:p>
        </w:tc>
        <w:tc>
          <w:tcPr>
            <w:tcW w:w="430" w:type="pct"/>
            <w:shd w:val="clear" w:color="auto" w:fill="D9D9D9" w:themeFill="background1" w:themeFillShade="D9"/>
          </w:tcPr>
          <w:p w:rsidR="000968C6" w:rsidRPr="00920905" w:rsidRDefault="00FB2590" w:rsidP="005729C8">
            <w:pPr>
              <w:rPr>
                <w:rFonts w:cstheme="minorHAnsi"/>
                <w:b/>
                <w:szCs w:val="20"/>
              </w:rPr>
            </w:pPr>
            <w:r w:rsidRPr="00920905">
              <w:rPr>
                <w:rFonts w:cstheme="minorHAnsi"/>
                <w:b/>
                <w:szCs w:val="20"/>
              </w:rPr>
              <w:t>NTG</w:t>
            </w:r>
            <w:r w:rsidR="00E06A37">
              <w:rPr>
                <w:rFonts w:cstheme="minorHAnsi"/>
                <w:b/>
                <w:szCs w:val="20"/>
              </w:rPr>
              <w:t>R</w:t>
            </w:r>
          </w:p>
        </w:tc>
      </w:tr>
      <w:tr w:rsidR="00F0633E" w:rsidRPr="00F0633E" w:rsidTr="002A1329">
        <w:tc>
          <w:tcPr>
            <w:tcW w:w="714" w:type="pct"/>
            <w:vAlign w:val="center"/>
          </w:tcPr>
          <w:p w:rsidR="00907697" w:rsidRPr="00F0633E" w:rsidRDefault="00F0633E" w:rsidP="002A1329">
            <w:pPr>
              <w:jc w:val="center"/>
              <w:rPr>
                <w:szCs w:val="20"/>
              </w:rPr>
            </w:pPr>
            <w:r w:rsidRPr="00F0633E">
              <w:rPr>
                <w:szCs w:val="20"/>
              </w:rPr>
              <w:t>All-Default&lt;=2yrs</w:t>
            </w:r>
          </w:p>
        </w:tc>
        <w:tc>
          <w:tcPr>
            <w:tcW w:w="1978" w:type="pct"/>
            <w:vAlign w:val="center"/>
          </w:tcPr>
          <w:p w:rsidR="00907697" w:rsidRPr="00F0633E" w:rsidRDefault="00F0633E" w:rsidP="002A1329">
            <w:pPr>
              <w:rPr>
                <w:szCs w:val="20"/>
              </w:rPr>
            </w:pPr>
            <w:r w:rsidRPr="00F0633E">
              <w:rPr>
                <w:szCs w:val="20"/>
              </w:rPr>
              <w:t>All other EEM with no evaluated NTGR; new technology in program for 2 or fewer years</w:t>
            </w:r>
          </w:p>
        </w:tc>
        <w:tc>
          <w:tcPr>
            <w:tcW w:w="434" w:type="pct"/>
            <w:vAlign w:val="center"/>
          </w:tcPr>
          <w:p w:rsidR="00907697" w:rsidRPr="00F0633E" w:rsidRDefault="00F0633E" w:rsidP="002A1329">
            <w:pPr>
              <w:jc w:val="center"/>
              <w:rPr>
                <w:szCs w:val="20"/>
              </w:rPr>
            </w:pPr>
            <w:r w:rsidRPr="00F0633E">
              <w:rPr>
                <w:szCs w:val="20"/>
              </w:rPr>
              <w:t>Any</w:t>
            </w:r>
          </w:p>
        </w:tc>
        <w:tc>
          <w:tcPr>
            <w:tcW w:w="529" w:type="pct"/>
            <w:vAlign w:val="center"/>
          </w:tcPr>
          <w:p w:rsidR="00907697" w:rsidRPr="00F0633E" w:rsidRDefault="00F0633E" w:rsidP="002A1329">
            <w:pPr>
              <w:jc w:val="center"/>
              <w:rPr>
                <w:szCs w:val="20"/>
              </w:rPr>
            </w:pPr>
            <w:r w:rsidRPr="00F0633E">
              <w:rPr>
                <w:szCs w:val="20"/>
              </w:rPr>
              <w:t>Any</w:t>
            </w:r>
          </w:p>
        </w:tc>
        <w:tc>
          <w:tcPr>
            <w:tcW w:w="915" w:type="pct"/>
            <w:vAlign w:val="center"/>
          </w:tcPr>
          <w:p w:rsidR="00907697" w:rsidRPr="00F0633E" w:rsidRDefault="00F0633E" w:rsidP="002A1329">
            <w:pPr>
              <w:jc w:val="center"/>
              <w:rPr>
                <w:szCs w:val="20"/>
              </w:rPr>
            </w:pPr>
            <w:r w:rsidRPr="00F0633E">
              <w:rPr>
                <w:szCs w:val="20"/>
              </w:rPr>
              <w:t>Any</w:t>
            </w:r>
          </w:p>
        </w:tc>
        <w:tc>
          <w:tcPr>
            <w:tcW w:w="430" w:type="pct"/>
            <w:vAlign w:val="center"/>
          </w:tcPr>
          <w:p w:rsidR="00907697" w:rsidRPr="00F0633E" w:rsidRDefault="00F0633E" w:rsidP="002A1329">
            <w:pPr>
              <w:jc w:val="center"/>
              <w:rPr>
                <w:szCs w:val="20"/>
              </w:rPr>
            </w:pPr>
            <w:r w:rsidRPr="00F0633E">
              <w:rPr>
                <w:szCs w:val="20"/>
              </w:rPr>
              <w:t>0.70</w:t>
            </w:r>
          </w:p>
        </w:tc>
      </w:tr>
      <w:tr w:rsidR="00A474EF" w:rsidRPr="00A474EF" w:rsidTr="002A1329">
        <w:tc>
          <w:tcPr>
            <w:tcW w:w="714" w:type="pct"/>
            <w:vAlign w:val="center"/>
          </w:tcPr>
          <w:p w:rsidR="002A1329" w:rsidRPr="006C0B03" w:rsidRDefault="00804B87" w:rsidP="002A1329">
            <w:pPr>
              <w:jc w:val="center"/>
              <w:rPr>
                <w:szCs w:val="20"/>
              </w:rPr>
            </w:pPr>
            <w:r w:rsidRPr="006C0B03">
              <w:rPr>
                <w:szCs w:val="20"/>
              </w:rPr>
              <w:t>Res-Default-HTR-di</w:t>
            </w:r>
          </w:p>
        </w:tc>
        <w:tc>
          <w:tcPr>
            <w:tcW w:w="1978" w:type="pct"/>
            <w:vAlign w:val="center"/>
          </w:tcPr>
          <w:p w:rsidR="002A1329" w:rsidRPr="006C0B03" w:rsidRDefault="00804B87" w:rsidP="002A1329">
            <w:pPr>
              <w:rPr>
                <w:szCs w:val="20"/>
              </w:rPr>
            </w:pPr>
            <w:r w:rsidRPr="006C0B03">
              <w:rPr>
                <w:szCs w:val="20"/>
              </w:rPr>
              <w:t>All other EEM with no evaluated NTGR; direct install hard-to-reach only.</w:t>
            </w:r>
          </w:p>
        </w:tc>
        <w:tc>
          <w:tcPr>
            <w:tcW w:w="434" w:type="pct"/>
            <w:vAlign w:val="center"/>
          </w:tcPr>
          <w:p w:rsidR="002A1329" w:rsidRPr="006C0B03" w:rsidRDefault="00804B87" w:rsidP="002A1329">
            <w:pPr>
              <w:jc w:val="center"/>
              <w:rPr>
                <w:szCs w:val="20"/>
              </w:rPr>
            </w:pPr>
            <w:r w:rsidRPr="006C0B03">
              <w:rPr>
                <w:szCs w:val="20"/>
              </w:rPr>
              <w:t>Res</w:t>
            </w:r>
          </w:p>
        </w:tc>
        <w:tc>
          <w:tcPr>
            <w:tcW w:w="529" w:type="pct"/>
            <w:vAlign w:val="center"/>
          </w:tcPr>
          <w:p w:rsidR="002A1329" w:rsidRPr="006C0B03" w:rsidRDefault="00804B87" w:rsidP="002A1329">
            <w:pPr>
              <w:jc w:val="center"/>
              <w:rPr>
                <w:szCs w:val="20"/>
              </w:rPr>
            </w:pPr>
            <w:r w:rsidRPr="006C0B03">
              <w:rPr>
                <w:szCs w:val="20"/>
              </w:rPr>
              <w:t>Any</w:t>
            </w:r>
          </w:p>
        </w:tc>
        <w:tc>
          <w:tcPr>
            <w:tcW w:w="915" w:type="pct"/>
            <w:vAlign w:val="center"/>
          </w:tcPr>
          <w:p w:rsidR="002A1329" w:rsidRPr="006C0B03" w:rsidRDefault="00804B87" w:rsidP="002A1329">
            <w:pPr>
              <w:jc w:val="center"/>
              <w:rPr>
                <w:szCs w:val="20"/>
              </w:rPr>
            </w:pPr>
            <w:r w:rsidRPr="006C0B03">
              <w:rPr>
                <w:szCs w:val="20"/>
              </w:rPr>
              <w:t>DirInstall</w:t>
            </w:r>
          </w:p>
        </w:tc>
        <w:tc>
          <w:tcPr>
            <w:tcW w:w="430" w:type="pct"/>
            <w:vAlign w:val="center"/>
          </w:tcPr>
          <w:p w:rsidR="002A1329" w:rsidRPr="006C0B03" w:rsidRDefault="00804B87" w:rsidP="002A1329">
            <w:pPr>
              <w:jc w:val="center"/>
              <w:rPr>
                <w:szCs w:val="20"/>
              </w:rPr>
            </w:pPr>
            <w:r w:rsidRPr="006C0B03">
              <w:rPr>
                <w:szCs w:val="20"/>
              </w:rPr>
              <w:t>0.85</w:t>
            </w:r>
          </w:p>
        </w:tc>
      </w:tr>
      <w:tr w:rsidR="00A474EF" w:rsidRPr="00A474EF" w:rsidTr="002A1329">
        <w:tc>
          <w:tcPr>
            <w:tcW w:w="714" w:type="pct"/>
            <w:vAlign w:val="center"/>
          </w:tcPr>
          <w:p w:rsidR="00804B87" w:rsidRPr="006C0B03" w:rsidRDefault="00804B87" w:rsidP="002A1329">
            <w:pPr>
              <w:jc w:val="center"/>
              <w:rPr>
                <w:szCs w:val="20"/>
              </w:rPr>
            </w:pPr>
            <w:r w:rsidRPr="006C0B03">
              <w:rPr>
                <w:szCs w:val="20"/>
              </w:rPr>
              <w:t>Com-Default-HTR-di</w:t>
            </w:r>
          </w:p>
        </w:tc>
        <w:tc>
          <w:tcPr>
            <w:tcW w:w="1978" w:type="pct"/>
            <w:vAlign w:val="center"/>
          </w:tcPr>
          <w:p w:rsidR="00804B87" w:rsidRPr="006C0B03" w:rsidRDefault="00804B87" w:rsidP="002A1329">
            <w:pPr>
              <w:rPr>
                <w:szCs w:val="20"/>
              </w:rPr>
            </w:pPr>
            <w:r w:rsidRPr="006C0B03">
              <w:rPr>
                <w:szCs w:val="20"/>
              </w:rPr>
              <w:t>All other EEM with no evaluated NTGR; direct install to hard-to-reach only.</w:t>
            </w:r>
          </w:p>
        </w:tc>
        <w:tc>
          <w:tcPr>
            <w:tcW w:w="434" w:type="pct"/>
            <w:vAlign w:val="center"/>
          </w:tcPr>
          <w:p w:rsidR="00804B87" w:rsidRPr="006C0B03" w:rsidRDefault="00804B87" w:rsidP="002A1329">
            <w:pPr>
              <w:jc w:val="center"/>
              <w:rPr>
                <w:szCs w:val="20"/>
              </w:rPr>
            </w:pPr>
            <w:r w:rsidRPr="006C0B03">
              <w:rPr>
                <w:szCs w:val="20"/>
              </w:rPr>
              <w:t>Com</w:t>
            </w:r>
          </w:p>
        </w:tc>
        <w:tc>
          <w:tcPr>
            <w:tcW w:w="529" w:type="pct"/>
            <w:vAlign w:val="center"/>
          </w:tcPr>
          <w:p w:rsidR="00804B87" w:rsidRPr="006C0B03" w:rsidRDefault="00804B87" w:rsidP="002A1329">
            <w:pPr>
              <w:jc w:val="center"/>
              <w:rPr>
                <w:szCs w:val="20"/>
              </w:rPr>
            </w:pPr>
            <w:r w:rsidRPr="006C0B03">
              <w:rPr>
                <w:szCs w:val="20"/>
              </w:rPr>
              <w:t>Any</w:t>
            </w:r>
          </w:p>
        </w:tc>
        <w:tc>
          <w:tcPr>
            <w:tcW w:w="915" w:type="pct"/>
            <w:vAlign w:val="center"/>
          </w:tcPr>
          <w:p w:rsidR="00804B87" w:rsidRPr="006C0B03" w:rsidRDefault="00804B87" w:rsidP="002A1329">
            <w:pPr>
              <w:jc w:val="center"/>
              <w:rPr>
                <w:szCs w:val="20"/>
              </w:rPr>
            </w:pPr>
            <w:r w:rsidRPr="006C0B03">
              <w:rPr>
                <w:szCs w:val="20"/>
              </w:rPr>
              <w:t>DirInstall</w:t>
            </w:r>
          </w:p>
        </w:tc>
        <w:tc>
          <w:tcPr>
            <w:tcW w:w="430" w:type="pct"/>
            <w:vAlign w:val="center"/>
          </w:tcPr>
          <w:p w:rsidR="00804B87" w:rsidRPr="006C0B03" w:rsidRDefault="00804B87" w:rsidP="002A1329">
            <w:pPr>
              <w:jc w:val="center"/>
              <w:rPr>
                <w:szCs w:val="20"/>
              </w:rPr>
            </w:pPr>
            <w:r w:rsidRPr="006C0B03">
              <w:rPr>
                <w:szCs w:val="20"/>
              </w:rPr>
              <w:t>0.85</w:t>
            </w:r>
          </w:p>
        </w:tc>
      </w:tr>
    </w:tbl>
    <w:p w:rsidR="000968C6" w:rsidRPr="006C0B03" w:rsidRDefault="00FB2590" w:rsidP="000968C6">
      <w:pPr>
        <w:pStyle w:val="Reminders"/>
        <w:rPr>
          <w:rFonts w:asciiTheme="minorHAnsi" w:hAnsiTheme="minorHAnsi" w:cstheme="minorHAnsi"/>
          <w:i w:val="0"/>
          <w:color w:val="auto"/>
          <w:sz w:val="20"/>
          <w:szCs w:val="20"/>
        </w:rPr>
      </w:pPr>
      <w:r w:rsidRPr="006C0B03">
        <w:rPr>
          <w:rFonts w:asciiTheme="minorHAnsi" w:hAnsiTheme="minorHAnsi" w:cstheme="minorHAnsi"/>
          <w:i w:val="0"/>
          <w:color w:val="auto"/>
          <w:sz w:val="20"/>
          <w:szCs w:val="20"/>
        </w:rPr>
        <w:t>Note: Direct install measures that are not hard-to-reach will use the default NTG value.</w:t>
      </w:r>
    </w:p>
    <w:p w:rsidR="006C0B03" w:rsidRDefault="006C0B03" w:rsidP="00FB2882">
      <w:pPr>
        <w:rPr>
          <w:b/>
          <w:color w:val="FF0000"/>
          <w:highlight w:val="yellow"/>
          <w:u w:val="single"/>
        </w:rPr>
      </w:pPr>
    </w:p>
    <w:p w:rsidR="00FB2882" w:rsidRPr="006C0B03" w:rsidRDefault="00FB2882" w:rsidP="00FB2882">
      <w:pPr>
        <w:rPr>
          <w:b/>
          <w:u w:val="single"/>
        </w:rPr>
      </w:pPr>
      <w:r w:rsidRPr="006C0B03">
        <w:rPr>
          <w:b/>
          <w:u w:val="single"/>
        </w:rPr>
        <w:t>Multi-Family Energy Efficiency Rebate (MFEER) Direct Install Program</w:t>
      </w:r>
    </w:p>
    <w:p w:rsidR="00FB2882" w:rsidRPr="006C0B03" w:rsidRDefault="00FB2882" w:rsidP="00FB2882">
      <w:r w:rsidRPr="006C0B03">
        <w:t xml:space="preserve">This work paper includes measures that are offered via direct install activities into hard-to-reach (HTR) customer homes.  “Final Resolution E-4700”, dated December 18, 2014, defines specific criteria to classify customer homes as HTR. The “Required Corrections to Measure Level Input Parameters Identified by Commission Staff per D.14-10-046 Order Paragraph 16”, dated November 3, 2014, includes additional clarification for the geographic criteria.  </w:t>
      </w:r>
    </w:p>
    <w:p w:rsidR="00FB2882" w:rsidRPr="00A474EF" w:rsidRDefault="00FB2882" w:rsidP="00FB2882">
      <w:pPr>
        <w:rPr>
          <w:color w:val="FF0000"/>
          <w:highlight w:val="yellow"/>
        </w:rPr>
      </w:pPr>
    </w:p>
    <w:p w:rsidR="00FB2882" w:rsidRPr="006C0B03" w:rsidRDefault="00FB2882" w:rsidP="00FB2882">
      <w:pPr>
        <w:rPr>
          <w:highlight w:val="yellow"/>
        </w:rPr>
      </w:pPr>
      <w:r w:rsidRPr="006C0B03">
        <w:t>SCE’s Multi-Family Energy Efficiency Rebate (MFEER) program addresses the ongoing concern with “split incentives”, where the residents are not the owners of the property, so they lack incentive to improve their energy usage. Similarly, the property owners do not live on-site and pay higher utility expenses due to inefficient appliances, thus lack any incentive to upgrade. The MFEER is designed to drive this customer segment toward participation by offering property owners a variety of energy efficiency measures and services.</w:t>
      </w:r>
      <w:r w:rsidRPr="006C0B03">
        <w:rPr>
          <w:highlight w:val="yellow"/>
        </w:rPr>
        <w:t xml:space="preserve">  </w:t>
      </w:r>
    </w:p>
    <w:p w:rsidR="00FB2882" w:rsidRPr="00A474EF" w:rsidRDefault="00FB2882" w:rsidP="00FB2882">
      <w:pPr>
        <w:rPr>
          <w:color w:val="FF0000"/>
          <w:highlight w:val="yellow"/>
        </w:rPr>
      </w:pPr>
    </w:p>
    <w:p w:rsidR="00FB2882" w:rsidRPr="006C0B03" w:rsidRDefault="00FB2882" w:rsidP="00FB2882">
      <w:r w:rsidRPr="006C0B03">
        <w:t>The MFEER program will offer and</w:t>
      </w:r>
      <w:r w:rsidR="006C0B03" w:rsidRPr="006C0B03">
        <w:t xml:space="preserve"> track measure installations in </w:t>
      </w:r>
      <w:r w:rsidRPr="006C0B03">
        <w:t xml:space="preserve">multifamily complexes </w:t>
      </w:r>
      <w:r w:rsidR="006C0B03" w:rsidRPr="006C0B03">
        <w:t>(8 units or more) with parking garages</w:t>
      </w:r>
      <w:r w:rsidRPr="006C0B03">
        <w:t>.  Measures offered via direct install activities in multifamily complexes will receive the HTR NTG.  Other measures in the MFEER program will receive default NTG (NTGR_ID: Res-Default&gt;2), unless otherwise specified in DEER.</w:t>
      </w:r>
    </w:p>
    <w:p w:rsidR="00FB2882" w:rsidRPr="00A474EF" w:rsidRDefault="00FB2882" w:rsidP="00FB2882">
      <w:pPr>
        <w:rPr>
          <w:color w:val="FF0000"/>
          <w:highlight w:val="yellow"/>
        </w:rPr>
      </w:pPr>
    </w:p>
    <w:p w:rsidR="00FB2882" w:rsidRPr="006C0B03" w:rsidRDefault="00FB2882" w:rsidP="00FB2882">
      <w:pPr>
        <w:rPr>
          <w:b/>
          <w:u w:val="single"/>
        </w:rPr>
      </w:pPr>
      <w:r w:rsidRPr="006C0B03">
        <w:rPr>
          <w:b/>
          <w:u w:val="single"/>
        </w:rPr>
        <w:t>Commercial Direct Install Program (including Partnership Direct Install Programs)</w:t>
      </w:r>
    </w:p>
    <w:p w:rsidR="00FB2882" w:rsidRPr="006C0B03" w:rsidRDefault="00FB2882" w:rsidP="00FB2882">
      <w:r w:rsidRPr="006C0B03">
        <w:t xml:space="preserve">This work paper includes measures that are offered via direct install activities into hard-to-reach (HTR) customer facilities.  “Final Resolution E-4700”, dated December 18, 2014, defines specific criteria to classify customer facilities as HTR and also states that two criteria are sufficient to identify HTR customers if one of the criteria met is the geographic criteria.  </w:t>
      </w:r>
    </w:p>
    <w:p w:rsidR="00FB2882" w:rsidRPr="00A474EF" w:rsidRDefault="00FB2882" w:rsidP="00FB2882">
      <w:pPr>
        <w:rPr>
          <w:color w:val="FF0000"/>
          <w:highlight w:val="yellow"/>
        </w:rPr>
      </w:pPr>
    </w:p>
    <w:p w:rsidR="00FB2882" w:rsidRPr="006C0B03" w:rsidRDefault="00FB2882" w:rsidP="00FB2882">
      <w:r w:rsidRPr="006C0B03">
        <w:t xml:space="preserve">SCE’s Commercial Direct Install program delivers free and low cost energy efficiency hardware retrofits through installation contractors to reduce peak demand and energy savings for small and medium commercial customers.  The barriers for customer participation include limited capital resources, lack of expertise and understanding of the understanding of the benefits of energy efficiency, a suspicion of the “free offer” and its legitimacy, and language and cultural barriers.  The program also addresses the ongoing concern with “split incentives”, where the customer is not the owner of the property, and therefore, lack incentive to improve their energy usage.  </w:t>
      </w:r>
    </w:p>
    <w:p w:rsidR="00FB2882" w:rsidRPr="00A474EF" w:rsidRDefault="00FB2882" w:rsidP="00FB2882">
      <w:pPr>
        <w:rPr>
          <w:color w:val="FF0000"/>
          <w:highlight w:val="yellow"/>
        </w:rPr>
      </w:pPr>
    </w:p>
    <w:p w:rsidR="00FB2882" w:rsidRPr="006C0B03" w:rsidRDefault="00FB2882" w:rsidP="00FB2882">
      <w:r w:rsidRPr="006C0B03">
        <w:t xml:space="preserve">SCE’s Commercial Direct Install program will track the following three (3) customer data points to identify direct install activities in HTR customer facilities.  If geography and business size criteria are satisfied, SCE will identify the customer as HTR.  If geography and language criteria are satisfied, SCE will </w:t>
      </w:r>
      <w:r w:rsidRPr="006C0B03">
        <w:lastRenderedPageBreak/>
        <w:t>identify the customer as HTR.  Other measures in the Commercial Direct Install program will receive default NTG (NTGR_ID: Com-Default&gt;2), unless otherwise specified in DEER.</w:t>
      </w:r>
    </w:p>
    <w:p w:rsidR="00FB2882" w:rsidRPr="00A474EF" w:rsidRDefault="00FB2882" w:rsidP="00FB2882">
      <w:pPr>
        <w:rPr>
          <w:color w:val="FF0000"/>
          <w:highlight w:val="yellow"/>
        </w:rPr>
      </w:pPr>
    </w:p>
    <w:p w:rsidR="00FB2882" w:rsidRPr="006C0B03" w:rsidRDefault="00FB2882" w:rsidP="00FB2882">
      <w:pPr>
        <w:pStyle w:val="ListParagraph"/>
        <w:numPr>
          <w:ilvl w:val="0"/>
          <w:numId w:val="18"/>
        </w:numPr>
      </w:pPr>
      <w:r w:rsidRPr="006C0B03">
        <w:rPr>
          <w:b/>
        </w:rPr>
        <w:t>Business Size</w:t>
      </w:r>
      <w:r w:rsidRPr="006C0B03">
        <w:t xml:space="preserve"> – Customer must have less than ten employees </w:t>
      </w:r>
    </w:p>
    <w:p w:rsidR="00FB2882" w:rsidRPr="006C0B03" w:rsidRDefault="00FB2882" w:rsidP="00FB2882">
      <w:pPr>
        <w:pStyle w:val="ListParagraph"/>
        <w:numPr>
          <w:ilvl w:val="0"/>
          <w:numId w:val="18"/>
        </w:numPr>
      </w:pPr>
      <w:r w:rsidRPr="006C0B03">
        <w:rPr>
          <w:b/>
        </w:rPr>
        <w:t>Language</w:t>
      </w:r>
      <w:r w:rsidRPr="006C0B03">
        <w:t xml:space="preserve"> – Customer’s primary language spoken is not English</w:t>
      </w:r>
    </w:p>
    <w:p w:rsidR="006C0B03" w:rsidRPr="006C0B03" w:rsidRDefault="00FB2882" w:rsidP="006C0B03">
      <w:pPr>
        <w:pStyle w:val="ListParagraph"/>
        <w:numPr>
          <w:ilvl w:val="0"/>
          <w:numId w:val="18"/>
        </w:numPr>
      </w:pPr>
      <w:r w:rsidRPr="006C0B03">
        <w:rPr>
          <w:b/>
        </w:rPr>
        <w:t>Geography</w:t>
      </w:r>
      <w:r w:rsidRPr="006C0B03">
        <w:t xml:space="preserve"> – Businesses in areas other than the United States Office of Management and Budget (OMB) Combined Statistical Areas (CSA) of the San Francisco Bay Area,  the Greater Los Angeles Area and the Greater Sacramento Area  or the OBM metropolitan statistical areas or San Diego County</w:t>
      </w:r>
      <w:r w:rsidR="006C0B03" w:rsidRPr="006C0B03">
        <w:t xml:space="preserve">. </w:t>
      </w:r>
    </w:p>
    <w:p w:rsidR="006C0B03" w:rsidRPr="006C0B03" w:rsidRDefault="006C0B03" w:rsidP="006C0B03"/>
    <w:p w:rsidR="00FB2882" w:rsidRPr="006C0B03" w:rsidRDefault="00FB2882" w:rsidP="006C0B03">
      <w:r w:rsidRPr="006C0B03">
        <w:t xml:space="preserve">The “Required Corrections to Measure Level Input Parameters Identified by Commission Staff per D.14-10-046 Order Paragraph 16”, dated November 3, 2014, includes additional clarification for the geographic criteria: </w:t>
      </w:r>
    </w:p>
    <w:p w:rsidR="00FB2882" w:rsidRPr="00A474EF" w:rsidRDefault="00FB2882" w:rsidP="00FB2882">
      <w:pPr>
        <w:ind w:left="720"/>
        <w:rPr>
          <w:color w:val="FF0000"/>
          <w:highlight w:val="yellow"/>
        </w:rPr>
      </w:pPr>
    </w:p>
    <w:p w:rsidR="00FB2882" w:rsidRPr="006C0B03" w:rsidRDefault="00FB2882" w:rsidP="00FB2882">
      <w:pPr>
        <w:ind w:left="1440"/>
        <w:rPr>
          <w:i/>
        </w:rPr>
      </w:pPr>
      <w:r w:rsidRPr="006C0B03">
        <w:t>“</w:t>
      </w:r>
      <w:r w:rsidRPr="006C0B03">
        <w:rPr>
          <w:i/>
        </w:rPr>
        <w:t xml:space="preserve">Notes on OMB CSA designations: The OMB has designated a 12-county CSA titled the San Jose-San Francisco-Oakland, CA Combined Statistical Area which includes the nine counties of Alameda, Contra Costa, Marin, Napa, San Francisco, San Mateo, Santa Clara, Solano, and Sonoma which border the San Francisco Bay plus the three counties of San Joaquin, Santa Cruz, and San Benito that are economically tied to the nine counties that that border the San Francisco Bay.” The OMB definition of this CSA includes Los Angeles, Orange, San Bernardino, Riverside and Ventura counties. The OMB definition of this CSA includes Sacramento, Yolo, El Dorado, Placer, Sutter, Yuba, and Nevada counties.”  </w:t>
      </w:r>
    </w:p>
    <w:p w:rsidR="00FB2882" w:rsidRPr="00F0633E" w:rsidRDefault="00FB2882" w:rsidP="000968C6">
      <w:pPr>
        <w:pStyle w:val="Reminders"/>
        <w:rPr>
          <w:rFonts w:asciiTheme="minorHAnsi" w:hAnsiTheme="minorHAnsi" w:cstheme="minorHAnsi"/>
          <w:i w:val="0"/>
          <w:color w:val="auto"/>
          <w:sz w:val="20"/>
          <w:szCs w:val="20"/>
        </w:rPr>
      </w:pPr>
    </w:p>
    <w:p w:rsidR="003003EC" w:rsidRPr="00500C4E" w:rsidRDefault="003003EC" w:rsidP="003003EC">
      <w:pPr>
        <w:pStyle w:val="Reminders"/>
        <w:rPr>
          <w:rFonts w:asciiTheme="minorHAnsi" w:hAnsiTheme="minorHAnsi" w:cstheme="minorHAnsi"/>
          <w:i w:val="0"/>
          <w:color w:val="auto"/>
          <w:szCs w:val="22"/>
        </w:rPr>
      </w:pPr>
      <w:r w:rsidRPr="00500C4E">
        <w:rPr>
          <w:rFonts w:asciiTheme="minorHAnsi" w:hAnsiTheme="minorHAnsi" w:cstheme="minorHAnsi"/>
          <w:b/>
          <w:i w:val="0"/>
          <w:color w:val="auto"/>
          <w:szCs w:val="22"/>
        </w:rPr>
        <w:t>Spillage Rate</w:t>
      </w:r>
    </w:p>
    <w:p w:rsidR="003003EC" w:rsidRPr="00500C4E" w:rsidRDefault="003003EC" w:rsidP="003003EC">
      <w:pPr>
        <w:pStyle w:val="Reminders"/>
        <w:rPr>
          <w:rFonts w:asciiTheme="minorHAnsi" w:hAnsiTheme="minorHAnsi" w:cstheme="minorHAnsi"/>
          <w:i w:val="0"/>
          <w:color w:val="auto"/>
          <w:szCs w:val="22"/>
        </w:rPr>
      </w:pPr>
      <w:r w:rsidRPr="00500C4E">
        <w:rPr>
          <w:rFonts w:asciiTheme="minorHAnsi" w:hAnsiTheme="minorHAnsi" w:cstheme="minorHAnsi"/>
          <w:i w:val="0"/>
          <w:color w:val="auto"/>
          <w:szCs w:val="22"/>
        </w:rPr>
        <w:t>Spillage rates are not tracked in work papers; they are tracked in an external document which will be supplied to the Commission Staff.</w:t>
      </w:r>
    </w:p>
    <w:p w:rsidR="003003EC" w:rsidRPr="00500C4E" w:rsidRDefault="003003EC" w:rsidP="000968C6">
      <w:pPr>
        <w:pStyle w:val="Reminders"/>
        <w:rPr>
          <w:rFonts w:asciiTheme="minorHAnsi" w:hAnsiTheme="minorHAnsi" w:cstheme="minorHAnsi"/>
          <w:i w:val="0"/>
          <w:color w:val="auto"/>
          <w:szCs w:val="22"/>
        </w:rPr>
      </w:pPr>
    </w:p>
    <w:p w:rsidR="000968C6" w:rsidRPr="00500C4E" w:rsidRDefault="000968C6" w:rsidP="000968C6">
      <w:pPr>
        <w:pStyle w:val="Reminders"/>
        <w:rPr>
          <w:rFonts w:asciiTheme="minorHAnsi" w:hAnsiTheme="minorHAnsi" w:cstheme="minorHAnsi"/>
          <w:b/>
          <w:i w:val="0"/>
          <w:color w:val="auto"/>
          <w:szCs w:val="22"/>
        </w:rPr>
      </w:pPr>
      <w:r w:rsidRPr="00500C4E">
        <w:rPr>
          <w:rFonts w:asciiTheme="minorHAnsi" w:hAnsiTheme="minorHAnsi" w:cstheme="minorHAnsi"/>
          <w:b/>
          <w:i w:val="0"/>
          <w:color w:val="auto"/>
          <w:szCs w:val="22"/>
        </w:rPr>
        <w:t>Installation Rate</w:t>
      </w:r>
    </w:p>
    <w:p w:rsidR="00240B74" w:rsidRDefault="000968C6" w:rsidP="00920905">
      <w:pPr>
        <w:pStyle w:val="NoSpacing"/>
      </w:pPr>
      <w:r w:rsidRPr="00920905">
        <w:t>Th</w:t>
      </w:r>
      <w:r w:rsidR="00061A8E" w:rsidRPr="00920905">
        <w:t xml:space="preserve">e </w:t>
      </w:r>
      <w:r w:rsidR="006C0B03">
        <w:t>installation rate (</w:t>
      </w:r>
      <w:r w:rsidR="00061A8E" w:rsidRPr="00920905">
        <w:t>IR</w:t>
      </w:r>
      <w:r w:rsidR="006C0B03">
        <w:t>)</w:t>
      </w:r>
      <w:r w:rsidRPr="00920905">
        <w:t xml:space="preserve"> value</w:t>
      </w:r>
      <w:r w:rsidR="00061A8E" w:rsidRPr="00920905">
        <w:t>s</w:t>
      </w:r>
      <w:r w:rsidRPr="00920905">
        <w:t xml:space="preserve"> </w:t>
      </w:r>
      <w:r w:rsidR="00061A8E" w:rsidRPr="00920905">
        <w:t>were</w:t>
      </w:r>
      <w:r w:rsidRPr="00920905">
        <w:t xml:space="preserve"> obtained </w:t>
      </w:r>
      <w:r w:rsidR="00BC6524" w:rsidRPr="00920905">
        <w:t>using the DEER READI tool</w:t>
      </w:r>
      <w:r w:rsidR="00240B74" w:rsidRPr="00920905">
        <w:t>.</w:t>
      </w:r>
      <w:r w:rsidRPr="00920905">
        <w:t xml:space="preserve"> </w:t>
      </w:r>
      <w:r w:rsidR="00061A8E" w:rsidRPr="00920905">
        <w:t xml:space="preserve">The relevant IR values for the measures in this work paper are in </w:t>
      </w:r>
      <w:r w:rsidR="00780E9D">
        <w:t>T</w:t>
      </w:r>
      <w:r w:rsidR="00061A8E" w:rsidRPr="00920905">
        <w:t xml:space="preserve">able </w:t>
      </w:r>
      <w:r w:rsidR="00780E9D">
        <w:t>9.</w:t>
      </w:r>
    </w:p>
    <w:p w:rsidR="006C0B03" w:rsidRDefault="006C0B03" w:rsidP="006C0B03">
      <w:pPr>
        <w:pStyle w:val="Caption"/>
        <w:keepNext/>
        <w:jc w:val="center"/>
        <w:rPr>
          <w:rFonts w:cs="Arial"/>
          <w:szCs w:val="22"/>
        </w:rPr>
      </w:pPr>
    </w:p>
    <w:p w:rsidR="006C0B03" w:rsidRPr="002D1A24" w:rsidRDefault="006C0B03" w:rsidP="006C0B03">
      <w:pPr>
        <w:pStyle w:val="Caption"/>
        <w:keepNext/>
        <w:jc w:val="center"/>
        <w:rPr>
          <w:rFonts w:cs="Arial"/>
          <w:b w:val="0"/>
          <w:szCs w:val="22"/>
        </w:rPr>
      </w:pPr>
      <w:r>
        <w:rPr>
          <w:rFonts w:cs="Arial"/>
          <w:szCs w:val="22"/>
        </w:rPr>
        <w:t xml:space="preserve">Table 9. </w:t>
      </w:r>
      <w:r>
        <w:rPr>
          <w:rFonts w:cs="Arial"/>
          <w:b w:val="0"/>
          <w:szCs w:val="22"/>
        </w:rPr>
        <w:t>GSIA Table</w:t>
      </w:r>
    </w:p>
    <w:tbl>
      <w:tblPr>
        <w:tblStyle w:val="TableGrid1"/>
        <w:tblW w:w="5000" w:type="pct"/>
        <w:tblLook w:val="01E0" w:firstRow="1" w:lastRow="1" w:firstColumn="1" w:lastColumn="1" w:noHBand="0" w:noVBand="0"/>
      </w:tblPr>
      <w:tblGrid>
        <w:gridCol w:w="1385"/>
        <w:gridCol w:w="2691"/>
        <w:gridCol w:w="1318"/>
        <w:gridCol w:w="1643"/>
        <w:gridCol w:w="1327"/>
        <w:gridCol w:w="1212"/>
      </w:tblGrid>
      <w:tr w:rsidR="006B4A48" w:rsidRPr="0087393E" w:rsidTr="006C0B03">
        <w:tc>
          <w:tcPr>
            <w:tcW w:w="723" w:type="pct"/>
            <w:shd w:val="clear" w:color="auto" w:fill="D9D9D9" w:themeFill="background1" w:themeFillShade="D9"/>
          </w:tcPr>
          <w:p w:rsidR="006B4A48" w:rsidRPr="00920905" w:rsidRDefault="00BA2E7E" w:rsidP="005729C8">
            <w:pPr>
              <w:rPr>
                <w:rFonts w:cstheme="minorHAnsi"/>
                <w:b/>
                <w:szCs w:val="20"/>
              </w:rPr>
            </w:pPr>
            <w:r w:rsidRPr="00920905">
              <w:rPr>
                <w:rFonts w:cstheme="minorHAnsi"/>
                <w:b/>
                <w:szCs w:val="20"/>
              </w:rPr>
              <w:t xml:space="preserve">GSIA </w:t>
            </w:r>
            <w:r w:rsidR="00FB2590" w:rsidRPr="00920905">
              <w:rPr>
                <w:rFonts w:cstheme="minorHAnsi"/>
                <w:b/>
                <w:szCs w:val="20"/>
              </w:rPr>
              <w:t>ID</w:t>
            </w:r>
          </w:p>
        </w:tc>
        <w:tc>
          <w:tcPr>
            <w:tcW w:w="1405" w:type="pct"/>
            <w:shd w:val="clear" w:color="auto" w:fill="D9D9D9" w:themeFill="background1" w:themeFillShade="D9"/>
          </w:tcPr>
          <w:p w:rsidR="006B4A48" w:rsidRPr="00920905" w:rsidRDefault="00FB2590" w:rsidP="005729C8">
            <w:pPr>
              <w:rPr>
                <w:rFonts w:cstheme="minorHAnsi"/>
                <w:b/>
                <w:szCs w:val="20"/>
              </w:rPr>
            </w:pPr>
            <w:r w:rsidRPr="00920905">
              <w:rPr>
                <w:rFonts w:cstheme="minorHAnsi"/>
                <w:b/>
                <w:szCs w:val="20"/>
              </w:rPr>
              <w:t>Description</w:t>
            </w:r>
          </w:p>
        </w:tc>
        <w:tc>
          <w:tcPr>
            <w:tcW w:w="688" w:type="pct"/>
            <w:shd w:val="clear" w:color="auto" w:fill="D9D9D9" w:themeFill="background1" w:themeFillShade="D9"/>
          </w:tcPr>
          <w:p w:rsidR="006B4A48" w:rsidRPr="00920905" w:rsidRDefault="00FB2590" w:rsidP="005729C8">
            <w:pPr>
              <w:rPr>
                <w:rFonts w:cstheme="minorHAnsi"/>
                <w:b/>
                <w:szCs w:val="20"/>
              </w:rPr>
            </w:pPr>
            <w:r w:rsidRPr="00920905">
              <w:rPr>
                <w:rFonts w:cstheme="minorHAnsi"/>
                <w:b/>
                <w:szCs w:val="20"/>
              </w:rPr>
              <w:t>Sector</w:t>
            </w:r>
          </w:p>
        </w:tc>
        <w:tc>
          <w:tcPr>
            <w:tcW w:w="858" w:type="pct"/>
            <w:shd w:val="clear" w:color="auto" w:fill="D9D9D9" w:themeFill="background1" w:themeFillShade="D9"/>
          </w:tcPr>
          <w:p w:rsidR="006B4A48" w:rsidRPr="00920905" w:rsidRDefault="00FB2590" w:rsidP="005729C8">
            <w:pPr>
              <w:rPr>
                <w:rFonts w:cstheme="minorHAnsi"/>
                <w:b/>
                <w:szCs w:val="20"/>
              </w:rPr>
            </w:pPr>
            <w:r w:rsidRPr="00920905">
              <w:rPr>
                <w:rFonts w:cstheme="minorHAnsi"/>
                <w:b/>
                <w:szCs w:val="20"/>
              </w:rPr>
              <w:t>BldgType</w:t>
            </w:r>
          </w:p>
        </w:tc>
        <w:tc>
          <w:tcPr>
            <w:tcW w:w="693" w:type="pct"/>
            <w:shd w:val="clear" w:color="auto" w:fill="D9D9D9" w:themeFill="background1" w:themeFillShade="D9"/>
          </w:tcPr>
          <w:p w:rsidR="006B4A48" w:rsidRPr="00920905" w:rsidRDefault="006B4A48" w:rsidP="005729C8">
            <w:pPr>
              <w:rPr>
                <w:rFonts w:cstheme="minorHAnsi"/>
                <w:b/>
                <w:szCs w:val="20"/>
              </w:rPr>
            </w:pPr>
            <w:r w:rsidRPr="00920905">
              <w:rPr>
                <w:rFonts w:cstheme="minorHAnsi"/>
                <w:b/>
                <w:szCs w:val="20"/>
              </w:rPr>
              <w:t>ProgDelivID</w:t>
            </w:r>
          </w:p>
        </w:tc>
        <w:tc>
          <w:tcPr>
            <w:tcW w:w="634" w:type="pct"/>
            <w:shd w:val="clear" w:color="auto" w:fill="D9D9D9" w:themeFill="background1" w:themeFillShade="D9"/>
          </w:tcPr>
          <w:p w:rsidR="006B4A48" w:rsidRPr="00920905" w:rsidRDefault="00FB2590" w:rsidP="005729C8">
            <w:pPr>
              <w:rPr>
                <w:rFonts w:cstheme="minorHAnsi"/>
                <w:b/>
                <w:szCs w:val="20"/>
              </w:rPr>
            </w:pPr>
            <w:r w:rsidRPr="00920905">
              <w:rPr>
                <w:rFonts w:cstheme="minorHAnsi"/>
                <w:b/>
                <w:szCs w:val="20"/>
              </w:rPr>
              <w:t>GSIAValue</w:t>
            </w:r>
          </w:p>
        </w:tc>
      </w:tr>
      <w:tr w:rsidR="002F4E34" w:rsidRPr="00500C4E" w:rsidTr="006C0B03">
        <w:tc>
          <w:tcPr>
            <w:tcW w:w="723" w:type="pct"/>
          </w:tcPr>
          <w:p w:rsidR="002F4E34" w:rsidRPr="00F0633E" w:rsidRDefault="002F4E34" w:rsidP="005729C8">
            <w:pPr>
              <w:rPr>
                <w:szCs w:val="20"/>
              </w:rPr>
            </w:pPr>
            <w:r w:rsidRPr="00F0633E">
              <w:rPr>
                <w:szCs w:val="20"/>
              </w:rPr>
              <w:t>Def-GSIA</w:t>
            </w:r>
          </w:p>
        </w:tc>
        <w:tc>
          <w:tcPr>
            <w:tcW w:w="1405" w:type="pct"/>
          </w:tcPr>
          <w:p w:rsidR="002F4E34" w:rsidRPr="00F0633E" w:rsidRDefault="002F4E34" w:rsidP="005729C8">
            <w:pPr>
              <w:rPr>
                <w:szCs w:val="20"/>
              </w:rPr>
            </w:pPr>
            <w:r w:rsidRPr="00F0633E">
              <w:rPr>
                <w:szCs w:val="20"/>
              </w:rPr>
              <w:t>Default GSIA values</w:t>
            </w:r>
          </w:p>
        </w:tc>
        <w:tc>
          <w:tcPr>
            <w:tcW w:w="688" w:type="pct"/>
          </w:tcPr>
          <w:p w:rsidR="002F4E34" w:rsidRPr="00F0633E" w:rsidRDefault="002F4E34" w:rsidP="005729C8">
            <w:pPr>
              <w:rPr>
                <w:szCs w:val="20"/>
              </w:rPr>
            </w:pPr>
            <w:r w:rsidRPr="00F0633E">
              <w:rPr>
                <w:szCs w:val="20"/>
              </w:rPr>
              <w:t>Any</w:t>
            </w:r>
          </w:p>
        </w:tc>
        <w:tc>
          <w:tcPr>
            <w:tcW w:w="858" w:type="pct"/>
          </w:tcPr>
          <w:p w:rsidR="002F4E34" w:rsidRPr="00F0633E" w:rsidRDefault="002F4E34" w:rsidP="005729C8">
            <w:pPr>
              <w:rPr>
                <w:szCs w:val="20"/>
              </w:rPr>
            </w:pPr>
            <w:r w:rsidRPr="00F0633E">
              <w:rPr>
                <w:szCs w:val="20"/>
              </w:rPr>
              <w:t>Any</w:t>
            </w:r>
          </w:p>
        </w:tc>
        <w:tc>
          <w:tcPr>
            <w:tcW w:w="693" w:type="pct"/>
          </w:tcPr>
          <w:p w:rsidR="002F4E34" w:rsidRPr="00F0633E" w:rsidRDefault="002F4E34" w:rsidP="005729C8">
            <w:pPr>
              <w:rPr>
                <w:szCs w:val="20"/>
              </w:rPr>
            </w:pPr>
            <w:r w:rsidRPr="00F0633E">
              <w:rPr>
                <w:szCs w:val="20"/>
              </w:rPr>
              <w:t>Any</w:t>
            </w:r>
          </w:p>
        </w:tc>
        <w:tc>
          <w:tcPr>
            <w:tcW w:w="634" w:type="pct"/>
          </w:tcPr>
          <w:p w:rsidR="002F4E34" w:rsidRPr="00F0633E" w:rsidRDefault="002F4E34" w:rsidP="005729C8">
            <w:pPr>
              <w:rPr>
                <w:szCs w:val="20"/>
              </w:rPr>
            </w:pPr>
            <w:r w:rsidRPr="00F0633E">
              <w:rPr>
                <w:szCs w:val="20"/>
              </w:rPr>
              <w:t>1</w:t>
            </w:r>
          </w:p>
        </w:tc>
      </w:tr>
    </w:tbl>
    <w:p w:rsidR="006B4A48" w:rsidRPr="00B05647" w:rsidRDefault="006B4A48" w:rsidP="000968C6">
      <w:pPr>
        <w:pStyle w:val="Reminders"/>
        <w:rPr>
          <w:rFonts w:asciiTheme="minorHAnsi" w:hAnsiTheme="minorHAnsi" w:cstheme="minorHAnsi"/>
          <w:b/>
          <w:i w:val="0"/>
          <w:color w:val="auto"/>
          <w:szCs w:val="22"/>
        </w:rPr>
      </w:pPr>
    </w:p>
    <w:p w:rsidR="008B1357" w:rsidRPr="00500C4E" w:rsidRDefault="008B1357" w:rsidP="008B1357">
      <w:pPr>
        <w:rPr>
          <w:rFonts w:cstheme="minorHAnsi"/>
          <w:b/>
          <w:szCs w:val="22"/>
        </w:rPr>
      </w:pPr>
      <w:r w:rsidRPr="00500C4E">
        <w:rPr>
          <w:rFonts w:cstheme="minorHAnsi"/>
          <w:b/>
          <w:szCs w:val="22"/>
        </w:rPr>
        <w:t>Effective</w:t>
      </w:r>
      <w:r w:rsidR="00CE4386" w:rsidRPr="00500C4E">
        <w:rPr>
          <w:rFonts w:cstheme="minorHAnsi"/>
          <w:b/>
          <w:szCs w:val="22"/>
        </w:rPr>
        <w:t xml:space="preserve"> and Remaining</w:t>
      </w:r>
      <w:r w:rsidRPr="00500C4E">
        <w:rPr>
          <w:rFonts w:cstheme="minorHAnsi"/>
          <w:b/>
          <w:szCs w:val="22"/>
        </w:rPr>
        <w:t xml:space="preserve"> Useful Life</w:t>
      </w:r>
    </w:p>
    <w:p w:rsidR="00305BEC" w:rsidRDefault="00305BEC" w:rsidP="00920905">
      <w:pPr>
        <w:pStyle w:val="NoSpacing"/>
      </w:pPr>
      <w:r w:rsidRPr="00305BEC">
        <w:t xml:space="preserve">The </w:t>
      </w:r>
      <w:r>
        <w:t>effective useful life (</w:t>
      </w:r>
      <w:r w:rsidRPr="00305BEC">
        <w:t>EUL</w:t>
      </w:r>
      <w:r>
        <w:t>)</w:t>
      </w:r>
      <w:r w:rsidRPr="00305BEC">
        <w:t xml:space="preserve"> is an estimate of the median number of years that an installed measure will remain in place and is operational. </w:t>
      </w:r>
      <w:r w:rsidR="006A6D15" w:rsidRPr="0087393E">
        <w:t xml:space="preserve">The EUL and </w:t>
      </w:r>
      <w:r>
        <w:t>remaining useful life (</w:t>
      </w:r>
      <w:r w:rsidR="006A6D15" w:rsidRPr="0087393E">
        <w:t>RUL</w:t>
      </w:r>
      <w:r>
        <w:t>)</w:t>
      </w:r>
      <w:r w:rsidR="006A6D15" w:rsidRPr="0087393E">
        <w:t xml:space="preserve"> values </w:t>
      </w:r>
      <w:r>
        <w:t>are typically</w:t>
      </w:r>
      <w:r w:rsidR="006A6D15" w:rsidRPr="0087393E">
        <w:t xml:space="preserve"> obtained </w:t>
      </w:r>
      <w:r w:rsidR="00BC6524" w:rsidRPr="0087393E">
        <w:t>using the DEER READI tool</w:t>
      </w:r>
      <w:r w:rsidR="006A6D15" w:rsidRPr="0087393E">
        <w:t>. DEER defines the RUL as 1/3 of the EUL value. The RUL value is only applicable to the first baseline period for an RET measure wi</w:t>
      </w:r>
      <w:r>
        <w:t xml:space="preserve">th an applicable code baseline. </w:t>
      </w:r>
      <w:r w:rsidR="002A1329" w:rsidRPr="00780E9D">
        <w:t>The effective useful life (EUL) and remaining useful life (RUL) values were obtained using the DEER 2016, READI v2.4.5 tool.</w:t>
      </w:r>
    </w:p>
    <w:p w:rsidR="00305BEC" w:rsidRDefault="00305BEC" w:rsidP="00920905">
      <w:pPr>
        <w:pStyle w:val="NoSpacing"/>
      </w:pPr>
    </w:p>
    <w:p w:rsidR="00605EB9" w:rsidRDefault="00A74C92" w:rsidP="00605EB9">
      <w:pPr>
        <w:pStyle w:val="NoSpacing"/>
      </w:pPr>
      <w:r>
        <w:t>For linear fluorescent and linear LED fixtures, t</w:t>
      </w:r>
      <w:r w:rsidR="002B4DCA">
        <w:t xml:space="preserve">he EUL is based on </w:t>
      </w:r>
      <w:r w:rsidR="004E4005">
        <w:t>taking the rated fixture life divided by the annul hours of operation. Here, the rate</w:t>
      </w:r>
      <w:r w:rsidR="00717572">
        <w:t>d</w:t>
      </w:r>
      <w:r w:rsidR="004E4005">
        <w:t xml:space="preserve"> fixture life </w:t>
      </w:r>
      <w:r w:rsidR="002A50F7">
        <w:t xml:space="preserve">for </w:t>
      </w:r>
      <w:r w:rsidR="00780E9D">
        <w:t xml:space="preserve">the Linear </w:t>
      </w:r>
      <w:r w:rsidR="002A50F7" w:rsidRPr="002A50F7">
        <w:t xml:space="preserve">LED External Driver Lamp-Style </w:t>
      </w:r>
      <w:r w:rsidR="002A50F7" w:rsidRPr="002A50F7">
        <w:lastRenderedPageBreak/>
        <w:t xml:space="preserve">Retrofit Kit (UL Type C) fixture </w:t>
      </w:r>
      <w:r w:rsidR="002A50F7">
        <w:t xml:space="preserve">is </w:t>
      </w:r>
      <w:r w:rsidR="002B4DCA">
        <w:t>50,000 hours</w:t>
      </w:r>
      <w:r w:rsidR="00780E9D">
        <w:t>.</w:t>
      </w:r>
      <w:r w:rsidR="004E4005">
        <w:t xml:space="preserve"> </w:t>
      </w:r>
      <w:r w:rsidR="00780E9D">
        <w:t>T</w:t>
      </w:r>
      <w:r w:rsidR="004E4005">
        <w:t xml:space="preserve">he </w:t>
      </w:r>
      <w:r w:rsidR="0061272E">
        <w:t xml:space="preserve">equivalent </w:t>
      </w:r>
      <w:r w:rsidR="004E4005">
        <w:t>average annual ho</w:t>
      </w:r>
      <w:r w:rsidR="0061272E">
        <w:t>urs of operation is 6,045 hours</w:t>
      </w:r>
      <w:r w:rsidR="00605EB9">
        <w:t xml:space="preserve"> in non-</w:t>
      </w:r>
      <w:r w:rsidR="00540EA9">
        <w:t>day</w:t>
      </w:r>
      <w:r w:rsidR="00051A38">
        <w:t xml:space="preserve"> </w:t>
      </w:r>
      <w:r w:rsidR="00540EA9">
        <w:t>lit</w:t>
      </w:r>
      <w:r w:rsidR="00605EB9">
        <w:t xml:space="preserve"> zones and 2,760 hours in </w:t>
      </w:r>
      <w:r w:rsidR="00540EA9">
        <w:t>day</w:t>
      </w:r>
      <w:r w:rsidR="00051A38">
        <w:t xml:space="preserve"> </w:t>
      </w:r>
      <w:r w:rsidR="00540EA9">
        <w:t>lit</w:t>
      </w:r>
      <w:r w:rsidR="00605EB9">
        <w:t xml:space="preserve"> zones. </w:t>
      </w:r>
    </w:p>
    <w:p w:rsidR="00605EB9" w:rsidRDefault="00605EB9" w:rsidP="00605EB9">
      <w:pPr>
        <w:pStyle w:val="NoSpacing"/>
      </w:pPr>
    </w:p>
    <w:p w:rsidR="00605EB9" w:rsidRDefault="00605EB9" w:rsidP="00605EB9">
      <w:pPr>
        <w:pStyle w:val="NoSpacing"/>
      </w:pPr>
      <w:r w:rsidRPr="00780E9D">
        <w:t xml:space="preserve">Within DEER </w:t>
      </w:r>
      <w:r w:rsidR="00FB2882" w:rsidRPr="00780E9D">
        <w:t>2016</w:t>
      </w:r>
      <w:r w:rsidRPr="00780E9D">
        <w:t xml:space="preserve"> </w:t>
      </w:r>
      <w:r w:rsidR="002A1329" w:rsidRPr="00780E9D">
        <w:t>READI v2.4.5</w:t>
      </w:r>
      <w:r w:rsidRPr="00780E9D">
        <w:t>,</w:t>
      </w:r>
      <w:r>
        <w:t xml:space="preserve"> the closest EUL ID </w:t>
      </w:r>
      <w:r w:rsidR="00780E9D">
        <w:t xml:space="preserve">applicable </w:t>
      </w:r>
      <w:r>
        <w:t xml:space="preserve">for this measure is </w:t>
      </w:r>
      <w:r w:rsidRPr="0034153C">
        <w:t>ILtg-Lfluor-fix</w:t>
      </w:r>
      <w:r>
        <w:t xml:space="preserve"> with an EUL value of 16 years. Because the EUL calculation for LED parking garage fixtures in </w:t>
      </w:r>
      <w:r w:rsidR="00540EA9">
        <w:t>day</w:t>
      </w:r>
      <w:r w:rsidR="00051A38">
        <w:t xml:space="preserve"> </w:t>
      </w:r>
      <w:r w:rsidR="00540EA9">
        <w:t>lit</w:t>
      </w:r>
      <w:r>
        <w:t xml:space="preserve"> zones exceeds the DEER value for similar linear fluorescent fixtures, this workaper </w:t>
      </w:r>
      <w:r w:rsidR="00717572">
        <w:t xml:space="preserve">conservatively </w:t>
      </w:r>
      <w:r>
        <w:t xml:space="preserve">assumes an EUL value of 16 years for LED parking garage fixtures in </w:t>
      </w:r>
      <w:r w:rsidR="00540EA9">
        <w:t>day</w:t>
      </w:r>
      <w:r w:rsidR="00051A38">
        <w:t xml:space="preserve"> </w:t>
      </w:r>
      <w:r w:rsidR="00540EA9">
        <w:t>lit</w:t>
      </w:r>
      <w:r>
        <w:t xml:space="preserve"> zones.</w:t>
      </w:r>
      <w:r w:rsidR="00717572">
        <w:t xml:space="preserve"> </w:t>
      </w:r>
      <w:r w:rsidR="00717572" w:rsidRPr="00780E9D">
        <w:rPr>
          <w:b/>
        </w:rPr>
        <w:t>Please refer to Section 1.5 for further details on how the EUL value for this measure was arrived at.</w:t>
      </w:r>
    </w:p>
    <w:p w:rsidR="002B4DCA" w:rsidRDefault="002B4DCA" w:rsidP="002B4DCA">
      <w:pPr>
        <w:pStyle w:val="NoSpacing"/>
      </w:pPr>
    </w:p>
    <w:p w:rsidR="002B4DCA" w:rsidRDefault="002B4DCA" w:rsidP="00DD2BB9">
      <w:pPr>
        <w:pStyle w:val="NoSpacing"/>
        <w:numPr>
          <w:ilvl w:val="0"/>
          <w:numId w:val="11"/>
        </w:numPr>
      </w:pPr>
      <w:r>
        <w:t>EUL = (DLC-Minimum Fixture Life (hour</w:t>
      </w:r>
      <w:r w:rsidR="00A74C92">
        <w:t>s)) / (Average Operating Hours p</w:t>
      </w:r>
      <w:r>
        <w:t>er Year)</w:t>
      </w:r>
    </w:p>
    <w:p w:rsidR="00780E9D" w:rsidRDefault="00780E9D" w:rsidP="00780E9D">
      <w:pPr>
        <w:pStyle w:val="NoSpacing"/>
        <w:numPr>
          <w:ilvl w:val="0"/>
          <w:numId w:val="11"/>
        </w:numPr>
      </w:pPr>
      <w:r>
        <w:t xml:space="preserve">EUL = (50,000 life hours) / (2,760 equivalent average annual hrs.) = 18.1 yrs. (day lit zones) </w:t>
      </w:r>
    </w:p>
    <w:p w:rsidR="00780E9D" w:rsidRDefault="00780E9D" w:rsidP="00780E9D">
      <w:pPr>
        <w:pStyle w:val="NoSpacing"/>
        <w:numPr>
          <w:ilvl w:val="1"/>
          <w:numId w:val="11"/>
        </w:numPr>
      </w:pPr>
      <w:r>
        <w:t>The DEER EUL value of 16 years will be used instead of the calculated 18.1 years for LED parking garage fixtures in day lit zones.</w:t>
      </w:r>
    </w:p>
    <w:p w:rsidR="002F4FD2" w:rsidRDefault="002A50F7" w:rsidP="00DD2BB9">
      <w:pPr>
        <w:pStyle w:val="NoSpacing"/>
        <w:numPr>
          <w:ilvl w:val="0"/>
          <w:numId w:val="11"/>
        </w:numPr>
      </w:pPr>
      <w:r>
        <w:t xml:space="preserve">EUL = (50,000 life hours) / (6,045 equivalent average annual </w:t>
      </w:r>
      <w:r w:rsidR="00540EA9">
        <w:t>hrs.</w:t>
      </w:r>
      <w:r>
        <w:t xml:space="preserve">) = 8.3 </w:t>
      </w:r>
      <w:r w:rsidR="00540EA9">
        <w:t>yrs.</w:t>
      </w:r>
      <w:r w:rsidR="00605EB9">
        <w:t xml:space="preserve"> (non-</w:t>
      </w:r>
      <w:r w:rsidR="00540EA9">
        <w:t>day</w:t>
      </w:r>
      <w:r w:rsidR="00051A38">
        <w:t xml:space="preserve"> </w:t>
      </w:r>
      <w:r w:rsidR="00540EA9">
        <w:t>lit</w:t>
      </w:r>
      <w:r w:rsidR="00605EB9">
        <w:t xml:space="preserve"> zones)</w:t>
      </w:r>
    </w:p>
    <w:p w:rsidR="00780E9D" w:rsidRDefault="002F4FD2" w:rsidP="002B4DCA">
      <w:pPr>
        <w:pStyle w:val="NoSpacing"/>
      </w:pPr>
      <w:r w:rsidRPr="0087393E">
        <w:t>The relevant EUL and RUL values for the measures in this work paper are in the table below.</w:t>
      </w:r>
    </w:p>
    <w:p w:rsidR="004E4005" w:rsidRPr="002F4FD2" w:rsidRDefault="002F4FD2" w:rsidP="002B4DCA">
      <w:pPr>
        <w:pStyle w:val="NoSpacing"/>
      </w:pPr>
      <w:r>
        <w:t xml:space="preserve"> </w:t>
      </w:r>
    </w:p>
    <w:p w:rsidR="00780E9D" w:rsidRPr="002D1A24" w:rsidRDefault="00780E9D" w:rsidP="00780E9D">
      <w:pPr>
        <w:pStyle w:val="Caption"/>
        <w:keepNext/>
        <w:jc w:val="center"/>
        <w:rPr>
          <w:rFonts w:cs="Arial"/>
          <w:b w:val="0"/>
          <w:szCs w:val="22"/>
        </w:rPr>
      </w:pPr>
      <w:r>
        <w:rPr>
          <w:rFonts w:cs="Arial"/>
          <w:szCs w:val="22"/>
        </w:rPr>
        <w:t xml:space="preserve">Table 10. </w:t>
      </w:r>
      <w:r>
        <w:rPr>
          <w:rFonts w:cs="Arial"/>
          <w:b w:val="0"/>
          <w:szCs w:val="22"/>
        </w:rPr>
        <w:t>EUL/RUL Table</w:t>
      </w:r>
    </w:p>
    <w:tbl>
      <w:tblPr>
        <w:tblStyle w:val="TableGrid1"/>
        <w:tblW w:w="5000" w:type="pct"/>
        <w:tblLook w:val="04A0" w:firstRow="1" w:lastRow="0" w:firstColumn="1" w:lastColumn="0" w:noHBand="0" w:noVBand="1"/>
      </w:tblPr>
      <w:tblGrid>
        <w:gridCol w:w="2539"/>
        <w:gridCol w:w="1078"/>
        <w:gridCol w:w="1203"/>
        <w:gridCol w:w="778"/>
        <w:gridCol w:w="1496"/>
        <w:gridCol w:w="1272"/>
        <w:gridCol w:w="1210"/>
      </w:tblGrid>
      <w:tr w:rsidR="00EB4556" w:rsidRPr="00500C4E" w:rsidTr="00780E9D">
        <w:tc>
          <w:tcPr>
            <w:tcW w:w="1326" w:type="pct"/>
            <w:shd w:val="clear" w:color="auto" w:fill="D9D9D9" w:themeFill="background1" w:themeFillShade="D9"/>
            <w:vAlign w:val="center"/>
          </w:tcPr>
          <w:p w:rsidR="00EB4556" w:rsidRPr="00920905" w:rsidRDefault="00EB4556" w:rsidP="00EB4556">
            <w:pPr>
              <w:jc w:val="center"/>
              <w:rPr>
                <w:rFonts w:cstheme="minorHAnsi"/>
                <w:b/>
                <w:szCs w:val="20"/>
              </w:rPr>
            </w:pPr>
            <w:r>
              <w:rPr>
                <w:rFonts w:cstheme="minorHAnsi"/>
                <w:b/>
                <w:szCs w:val="20"/>
              </w:rPr>
              <w:t>Measure Description</w:t>
            </w:r>
          </w:p>
        </w:tc>
        <w:tc>
          <w:tcPr>
            <w:tcW w:w="563"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EUL ID</w:t>
            </w:r>
          </w:p>
        </w:tc>
        <w:tc>
          <w:tcPr>
            <w:tcW w:w="628"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Description</w:t>
            </w:r>
          </w:p>
        </w:tc>
        <w:tc>
          <w:tcPr>
            <w:tcW w:w="406"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Sector</w:t>
            </w:r>
          </w:p>
        </w:tc>
        <w:tc>
          <w:tcPr>
            <w:tcW w:w="781"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UseCategory</w:t>
            </w:r>
          </w:p>
        </w:tc>
        <w:tc>
          <w:tcPr>
            <w:tcW w:w="664"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EUL (Years)</w:t>
            </w:r>
          </w:p>
        </w:tc>
        <w:tc>
          <w:tcPr>
            <w:tcW w:w="632" w:type="pct"/>
            <w:shd w:val="clear" w:color="auto" w:fill="D9D9D9" w:themeFill="background1" w:themeFillShade="D9"/>
            <w:vAlign w:val="center"/>
          </w:tcPr>
          <w:p w:rsidR="00EB4556" w:rsidRPr="00920905" w:rsidRDefault="00EB4556" w:rsidP="00EB4556">
            <w:pPr>
              <w:jc w:val="center"/>
              <w:rPr>
                <w:rFonts w:cstheme="minorHAnsi"/>
                <w:b/>
                <w:szCs w:val="20"/>
              </w:rPr>
            </w:pPr>
            <w:r w:rsidRPr="00920905">
              <w:rPr>
                <w:rFonts w:cstheme="minorHAnsi"/>
                <w:b/>
                <w:szCs w:val="20"/>
              </w:rPr>
              <w:t>RUL (Years)</w:t>
            </w:r>
          </w:p>
        </w:tc>
      </w:tr>
      <w:tr w:rsidR="00EB4556" w:rsidRPr="00500C4E" w:rsidTr="00780E9D">
        <w:trPr>
          <w:trHeight w:val="243"/>
        </w:trPr>
        <w:tc>
          <w:tcPr>
            <w:tcW w:w="1326" w:type="pct"/>
          </w:tcPr>
          <w:p w:rsidR="00EB4556" w:rsidRPr="00C00908" w:rsidRDefault="00EB4556" w:rsidP="00051A38">
            <w:pPr>
              <w:rPr>
                <w:szCs w:val="20"/>
              </w:rPr>
            </w:pPr>
            <w:r w:rsidRPr="00EB4556">
              <w:rPr>
                <w:szCs w:val="20"/>
              </w:rPr>
              <w:t>Interior LED Parking Garage External Driver Lamp-Style Retrofit Kits (UL Type C)</w:t>
            </w:r>
            <w:r>
              <w:rPr>
                <w:szCs w:val="20"/>
              </w:rPr>
              <w:t xml:space="preserve"> – </w:t>
            </w:r>
            <w:r w:rsidR="00540EA9" w:rsidRPr="00EB4556">
              <w:rPr>
                <w:b/>
                <w:szCs w:val="20"/>
              </w:rPr>
              <w:t>Day</w:t>
            </w:r>
            <w:r w:rsidR="00051A38">
              <w:rPr>
                <w:b/>
                <w:szCs w:val="20"/>
              </w:rPr>
              <w:t xml:space="preserve"> </w:t>
            </w:r>
            <w:r w:rsidR="00540EA9" w:rsidRPr="00EB4556">
              <w:rPr>
                <w:b/>
                <w:szCs w:val="20"/>
              </w:rPr>
              <w:t>lit</w:t>
            </w:r>
            <w:r w:rsidRPr="00EB4556">
              <w:rPr>
                <w:b/>
                <w:szCs w:val="20"/>
              </w:rPr>
              <w:t xml:space="preserve"> Zone</w:t>
            </w:r>
          </w:p>
        </w:tc>
        <w:tc>
          <w:tcPr>
            <w:tcW w:w="563" w:type="pct"/>
            <w:vAlign w:val="center"/>
          </w:tcPr>
          <w:p w:rsidR="00EB4556" w:rsidRPr="00C00908" w:rsidRDefault="00EB4556" w:rsidP="00EB4556">
            <w:pPr>
              <w:jc w:val="center"/>
              <w:rPr>
                <w:szCs w:val="20"/>
              </w:rPr>
            </w:pPr>
            <w:r w:rsidRPr="00C00908">
              <w:rPr>
                <w:szCs w:val="20"/>
              </w:rPr>
              <w:t>ILtg-Lfluor-fix</w:t>
            </w:r>
          </w:p>
        </w:tc>
        <w:tc>
          <w:tcPr>
            <w:tcW w:w="628" w:type="pct"/>
            <w:vAlign w:val="center"/>
          </w:tcPr>
          <w:p w:rsidR="00EB4556" w:rsidRPr="00C00908" w:rsidRDefault="00EB4556" w:rsidP="00EB4556">
            <w:pPr>
              <w:jc w:val="center"/>
              <w:rPr>
                <w:szCs w:val="20"/>
              </w:rPr>
            </w:pPr>
            <w:r w:rsidRPr="00C00908">
              <w:rPr>
                <w:szCs w:val="20"/>
              </w:rPr>
              <w:t>Linear Fluorescent – Fixtures</w:t>
            </w:r>
          </w:p>
        </w:tc>
        <w:tc>
          <w:tcPr>
            <w:tcW w:w="406" w:type="pct"/>
            <w:vAlign w:val="center"/>
          </w:tcPr>
          <w:p w:rsidR="00EB4556" w:rsidRPr="00C00908" w:rsidRDefault="00EB4556" w:rsidP="00EB4556">
            <w:pPr>
              <w:jc w:val="center"/>
              <w:rPr>
                <w:szCs w:val="20"/>
              </w:rPr>
            </w:pPr>
            <w:r w:rsidRPr="00C00908">
              <w:rPr>
                <w:szCs w:val="20"/>
              </w:rPr>
              <w:t>Com</w:t>
            </w:r>
          </w:p>
        </w:tc>
        <w:tc>
          <w:tcPr>
            <w:tcW w:w="781" w:type="pct"/>
            <w:vAlign w:val="center"/>
          </w:tcPr>
          <w:p w:rsidR="00EB4556" w:rsidRPr="00C00908" w:rsidRDefault="00EB4556" w:rsidP="00EB4556">
            <w:pPr>
              <w:jc w:val="center"/>
              <w:rPr>
                <w:szCs w:val="20"/>
              </w:rPr>
            </w:pPr>
            <w:r w:rsidRPr="00C00908">
              <w:rPr>
                <w:szCs w:val="20"/>
              </w:rPr>
              <w:t>Lighting</w:t>
            </w:r>
          </w:p>
        </w:tc>
        <w:tc>
          <w:tcPr>
            <w:tcW w:w="664" w:type="pct"/>
            <w:vAlign w:val="center"/>
          </w:tcPr>
          <w:p w:rsidR="00EB4556" w:rsidRPr="00C00908" w:rsidRDefault="00EB4556" w:rsidP="00EB4556">
            <w:pPr>
              <w:jc w:val="center"/>
              <w:rPr>
                <w:szCs w:val="20"/>
              </w:rPr>
            </w:pPr>
            <w:r>
              <w:rPr>
                <w:szCs w:val="20"/>
              </w:rPr>
              <w:t>16</w:t>
            </w:r>
          </w:p>
        </w:tc>
        <w:tc>
          <w:tcPr>
            <w:tcW w:w="632" w:type="pct"/>
            <w:vAlign w:val="center"/>
          </w:tcPr>
          <w:p w:rsidR="00EB4556" w:rsidRPr="00C00908" w:rsidRDefault="00EB4556" w:rsidP="00EB4556">
            <w:pPr>
              <w:jc w:val="center"/>
              <w:rPr>
                <w:szCs w:val="20"/>
              </w:rPr>
            </w:pPr>
            <w:r>
              <w:rPr>
                <w:szCs w:val="20"/>
              </w:rPr>
              <w:t>N/A</w:t>
            </w:r>
          </w:p>
        </w:tc>
      </w:tr>
      <w:tr w:rsidR="00EB4556" w:rsidRPr="00500C4E" w:rsidTr="00780E9D">
        <w:trPr>
          <w:trHeight w:val="243"/>
        </w:trPr>
        <w:tc>
          <w:tcPr>
            <w:tcW w:w="1326" w:type="pct"/>
          </w:tcPr>
          <w:p w:rsidR="00EB4556" w:rsidRPr="00C00908" w:rsidRDefault="00EB4556" w:rsidP="00051A38">
            <w:pPr>
              <w:rPr>
                <w:szCs w:val="20"/>
              </w:rPr>
            </w:pPr>
            <w:r w:rsidRPr="00EB4556">
              <w:rPr>
                <w:szCs w:val="20"/>
              </w:rPr>
              <w:t>Interior LED Parking Garage External Driver Lamp-Style Retrofit Kits (UL Type C)</w:t>
            </w:r>
            <w:r>
              <w:rPr>
                <w:szCs w:val="20"/>
              </w:rPr>
              <w:t xml:space="preserve"> – </w:t>
            </w:r>
            <w:r w:rsidRPr="00EB4556">
              <w:rPr>
                <w:b/>
                <w:szCs w:val="20"/>
              </w:rPr>
              <w:t xml:space="preserve">Non </w:t>
            </w:r>
            <w:r w:rsidR="00540EA9" w:rsidRPr="00EB4556">
              <w:rPr>
                <w:b/>
                <w:szCs w:val="20"/>
              </w:rPr>
              <w:t>Day</w:t>
            </w:r>
            <w:r w:rsidR="00051A38">
              <w:rPr>
                <w:b/>
                <w:szCs w:val="20"/>
              </w:rPr>
              <w:t xml:space="preserve"> </w:t>
            </w:r>
            <w:r w:rsidR="00540EA9" w:rsidRPr="00EB4556">
              <w:rPr>
                <w:b/>
                <w:szCs w:val="20"/>
              </w:rPr>
              <w:t>lit</w:t>
            </w:r>
            <w:r w:rsidRPr="00EB4556">
              <w:rPr>
                <w:b/>
                <w:szCs w:val="20"/>
              </w:rPr>
              <w:t xml:space="preserve"> Zone</w:t>
            </w:r>
          </w:p>
        </w:tc>
        <w:tc>
          <w:tcPr>
            <w:tcW w:w="563" w:type="pct"/>
            <w:vAlign w:val="center"/>
          </w:tcPr>
          <w:p w:rsidR="00EB4556" w:rsidRPr="00C00908" w:rsidRDefault="00780E9D" w:rsidP="00780E9D">
            <w:pPr>
              <w:jc w:val="center"/>
              <w:rPr>
                <w:szCs w:val="20"/>
              </w:rPr>
            </w:pPr>
            <w:r>
              <w:rPr>
                <w:szCs w:val="20"/>
              </w:rPr>
              <w:t xml:space="preserve">New EUL ID Needed </w:t>
            </w:r>
          </w:p>
        </w:tc>
        <w:tc>
          <w:tcPr>
            <w:tcW w:w="628" w:type="pct"/>
            <w:vAlign w:val="center"/>
          </w:tcPr>
          <w:p w:rsidR="00EB4556" w:rsidRPr="00C00908" w:rsidRDefault="00EB4556" w:rsidP="00EB4556">
            <w:pPr>
              <w:jc w:val="center"/>
              <w:rPr>
                <w:szCs w:val="20"/>
              </w:rPr>
            </w:pPr>
            <w:r w:rsidRPr="00C00908">
              <w:rPr>
                <w:szCs w:val="20"/>
              </w:rPr>
              <w:t>Linear Fluorescent – Fixtures</w:t>
            </w:r>
          </w:p>
        </w:tc>
        <w:tc>
          <w:tcPr>
            <w:tcW w:w="406" w:type="pct"/>
            <w:vAlign w:val="center"/>
          </w:tcPr>
          <w:p w:rsidR="00EB4556" w:rsidRPr="00C00908" w:rsidRDefault="00EB4556" w:rsidP="00EB4556">
            <w:pPr>
              <w:jc w:val="center"/>
              <w:rPr>
                <w:szCs w:val="20"/>
              </w:rPr>
            </w:pPr>
            <w:r w:rsidRPr="00C00908">
              <w:rPr>
                <w:szCs w:val="20"/>
              </w:rPr>
              <w:t>Com</w:t>
            </w:r>
          </w:p>
        </w:tc>
        <w:tc>
          <w:tcPr>
            <w:tcW w:w="781" w:type="pct"/>
            <w:vAlign w:val="center"/>
          </w:tcPr>
          <w:p w:rsidR="00EB4556" w:rsidRPr="00C00908" w:rsidRDefault="00EB4556" w:rsidP="00EB4556">
            <w:pPr>
              <w:jc w:val="center"/>
              <w:rPr>
                <w:szCs w:val="20"/>
              </w:rPr>
            </w:pPr>
            <w:r w:rsidRPr="00C00908">
              <w:rPr>
                <w:szCs w:val="20"/>
              </w:rPr>
              <w:t>Lighting</w:t>
            </w:r>
          </w:p>
        </w:tc>
        <w:tc>
          <w:tcPr>
            <w:tcW w:w="664" w:type="pct"/>
            <w:vAlign w:val="center"/>
          </w:tcPr>
          <w:p w:rsidR="00EB4556" w:rsidRPr="00C00908" w:rsidRDefault="00EB4556" w:rsidP="00EB4556">
            <w:pPr>
              <w:jc w:val="center"/>
              <w:rPr>
                <w:szCs w:val="20"/>
              </w:rPr>
            </w:pPr>
            <w:r>
              <w:rPr>
                <w:szCs w:val="20"/>
              </w:rPr>
              <w:t>8.3</w:t>
            </w:r>
          </w:p>
        </w:tc>
        <w:tc>
          <w:tcPr>
            <w:tcW w:w="632" w:type="pct"/>
            <w:vAlign w:val="center"/>
          </w:tcPr>
          <w:p w:rsidR="00EB4556" w:rsidRPr="00C00908" w:rsidRDefault="00EB4556" w:rsidP="00EB4556">
            <w:pPr>
              <w:jc w:val="center"/>
              <w:rPr>
                <w:szCs w:val="20"/>
              </w:rPr>
            </w:pPr>
            <w:r>
              <w:rPr>
                <w:szCs w:val="20"/>
              </w:rPr>
              <w:t>N/A</w:t>
            </w:r>
          </w:p>
        </w:tc>
      </w:tr>
    </w:tbl>
    <w:p w:rsidR="00E16609" w:rsidRPr="00500C4E" w:rsidRDefault="00F06CCF" w:rsidP="00F06CCF">
      <w:pPr>
        <w:pStyle w:val="Heading3"/>
        <w:rPr>
          <w:rFonts w:asciiTheme="minorHAnsi" w:hAnsiTheme="minorHAnsi"/>
        </w:rPr>
      </w:pPr>
      <w:r w:rsidRPr="00500C4E">
        <w:rPr>
          <w:rFonts w:asciiTheme="minorHAnsi" w:hAnsiTheme="minorHAnsi"/>
        </w:rPr>
        <w:t>1.4.2</w:t>
      </w:r>
      <w:r w:rsidR="00824F1C" w:rsidRPr="00500C4E">
        <w:rPr>
          <w:rFonts w:asciiTheme="minorHAnsi" w:hAnsiTheme="minorHAnsi"/>
        </w:rPr>
        <w:t xml:space="preserve"> </w:t>
      </w:r>
      <w:r w:rsidR="00E16609" w:rsidRPr="00500C4E">
        <w:rPr>
          <w:rFonts w:asciiTheme="minorHAnsi" w:hAnsiTheme="minorHAnsi"/>
        </w:rPr>
        <w:t>Code</w:t>
      </w:r>
      <w:r w:rsidR="00B26778" w:rsidRPr="00500C4E">
        <w:rPr>
          <w:rFonts w:asciiTheme="minorHAnsi" w:hAnsiTheme="minorHAnsi"/>
        </w:rPr>
        <w:t xml:space="preserve">s and Standards </w:t>
      </w:r>
      <w:r w:rsidR="00E16609" w:rsidRPr="00500C4E">
        <w:rPr>
          <w:rFonts w:asciiTheme="minorHAnsi" w:hAnsiTheme="minorHAnsi"/>
        </w:rPr>
        <w:t xml:space="preserve">Analysis </w:t>
      </w:r>
      <w:bookmarkEnd w:id="16"/>
    </w:p>
    <w:p w:rsidR="00655B07" w:rsidRDefault="00655B07" w:rsidP="00655B07">
      <w:pPr>
        <w:rPr>
          <w:rFonts w:cstheme="minorHAnsi"/>
          <w:szCs w:val="22"/>
        </w:rPr>
      </w:pPr>
      <w:r>
        <w:rPr>
          <w:rFonts w:cstheme="minorHAnsi"/>
          <w:szCs w:val="22"/>
        </w:rPr>
        <w:t>Title 24 2013 [355], Section 141.0(b</w:t>
      </w:r>
      <w:r w:rsidR="00540EA9">
        <w:rPr>
          <w:rFonts w:cstheme="minorHAnsi"/>
          <w:szCs w:val="22"/>
        </w:rPr>
        <w:t>) 2I</w:t>
      </w:r>
      <w:r>
        <w:rPr>
          <w:rFonts w:cstheme="minorHAnsi"/>
          <w:szCs w:val="22"/>
        </w:rPr>
        <w:t xml:space="preserve"> states:</w:t>
      </w:r>
    </w:p>
    <w:p w:rsidR="00655B07" w:rsidRDefault="00655B07" w:rsidP="00655B07">
      <w:pPr>
        <w:rPr>
          <w:rFonts w:cstheme="minorHAnsi"/>
          <w:szCs w:val="22"/>
        </w:rPr>
      </w:pPr>
    </w:p>
    <w:p w:rsidR="00655B07" w:rsidRDefault="00655B07" w:rsidP="00655B07">
      <w:pPr>
        <w:autoSpaceDE w:val="0"/>
        <w:autoSpaceDN w:val="0"/>
        <w:adjustRightInd w:val="0"/>
        <w:rPr>
          <w:rFonts w:eastAsiaTheme="minorHAnsi" w:cs="TimesNewRomanPSMT"/>
          <w:szCs w:val="22"/>
        </w:rPr>
      </w:pPr>
      <w:r>
        <w:rPr>
          <w:rFonts w:eastAsiaTheme="minorHAnsi" w:cs="TimesNewRomanPS-BoldMT"/>
          <w:b/>
          <w:bCs/>
          <w:szCs w:val="22"/>
        </w:rPr>
        <w:t xml:space="preserve">Lighting System Alterations </w:t>
      </w:r>
      <w:r>
        <w:rPr>
          <w:rFonts w:eastAsiaTheme="minorHAnsi" w:cs="TimesNewRomanPSMT"/>
          <w:szCs w:val="22"/>
        </w:rPr>
        <w:t>shall meet the applicable requirements in TABLE 141.0-E and the following:</w:t>
      </w:r>
    </w:p>
    <w:p w:rsidR="00655B07" w:rsidRDefault="00655B07" w:rsidP="00DD2BB9">
      <w:pPr>
        <w:pStyle w:val="ListParagraph"/>
        <w:numPr>
          <w:ilvl w:val="0"/>
          <w:numId w:val="5"/>
        </w:numPr>
        <w:autoSpaceDE w:val="0"/>
        <w:autoSpaceDN w:val="0"/>
        <w:adjustRightInd w:val="0"/>
        <w:rPr>
          <w:rFonts w:eastAsiaTheme="minorHAnsi" w:cs="TimesNewRomanPSMT"/>
          <w:szCs w:val="22"/>
        </w:rPr>
      </w:pPr>
      <w:r>
        <w:rPr>
          <w:rFonts w:eastAsiaTheme="minorHAnsi" w:cs="TimesNewRomanPSMT"/>
          <w:szCs w:val="22"/>
        </w:rPr>
        <w:t>Lighting System Alterations include alterations where an existing lighting system is modified, luminaires are replaced, or luminaires are disconnected from the circuit, removed and reinstalled, whether in the same location or installed elsewhere.</w:t>
      </w:r>
    </w:p>
    <w:p w:rsidR="00655B07" w:rsidRDefault="00655B07" w:rsidP="00655B07">
      <w:pPr>
        <w:autoSpaceDE w:val="0"/>
        <w:autoSpaceDN w:val="0"/>
        <w:adjustRightInd w:val="0"/>
        <w:ind w:left="360"/>
        <w:rPr>
          <w:rFonts w:eastAsiaTheme="minorHAnsi" w:cs="TimesNewRomanPSMT"/>
          <w:szCs w:val="22"/>
        </w:rPr>
      </w:pPr>
      <w:r>
        <w:rPr>
          <w:rFonts w:eastAsiaTheme="minorHAnsi" w:cs="TimesNewRomanPS-BoldMT"/>
          <w:b/>
          <w:bCs/>
          <w:szCs w:val="22"/>
        </w:rPr>
        <w:t>EXCEPTION 1 to Section 141.0(b</w:t>
      </w:r>
      <w:r w:rsidR="00540EA9">
        <w:rPr>
          <w:rFonts w:eastAsiaTheme="minorHAnsi" w:cs="TimesNewRomanPS-BoldMT"/>
          <w:b/>
          <w:bCs/>
          <w:szCs w:val="22"/>
        </w:rPr>
        <w:t>) 2Iii</w:t>
      </w:r>
      <w:r>
        <w:rPr>
          <w:rFonts w:eastAsiaTheme="minorHAnsi" w:cs="TimesNewRomanPS-BoldMT"/>
          <w:b/>
          <w:bCs/>
          <w:szCs w:val="22"/>
        </w:rPr>
        <w:t xml:space="preserve">: </w:t>
      </w:r>
      <w:r>
        <w:rPr>
          <w:rFonts w:eastAsiaTheme="minorHAnsi" w:cs="TimesNewRomanPSMT"/>
          <w:szCs w:val="22"/>
        </w:rPr>
        <w:t>Alterations that qualify as a Luminaire Modification-in-</w:t>
      </w:r>
    </w:p>
    <w:p w:rsidR="00655B07" w:rsidRDefault="00655B07" w:rsidP="00655B07">
      <w:pPr>
        <w:autoSpaceDE w:val="0"/>
        <w:autoSpaceDN w:val="0"/>
        <w:adjustRightInd w:val="0"/>
        <w:ind w:left="360"/>
        <w:rPr>
          <w:rFonts w:eastAsiaTheme="minorHAnsi" w:cs="TimesNewRomanPSMT"/>
          <w:szCs w:val="22"/>
        </w:rPr>
      </w:pPr>
      <w:r>
        <w:rPr>
          <w:rFonts w:eastAsiaTheme="minorHAnsi" w:cs="TimesNewRomanPSMT"/>
          <w:szCs w:val="22"/>
        </w:rPr>
        <w:t>Place.</w:t>
      </w:r>
    </w:p>
    <w:p w:rsidR="00655B07" w:rsidRDefault="00655B07" w:rsidP="00655B07">
      <w:pPr>
        <w:autoSpaceDE w:val="0"/>
        <w:autoSpaceDN w:val="0"/>
        <w:adjustRightInd w:val="0"/>
        <w:ind w:left="360"/>
        <w:rPr>
          <w:rFonts w:eastAsiaTheme="minorHAnsi" w:cs="TimesNewRomanPSMT"/>
          <w:szCs w:val="22"/>
        </w:rPr>
      </w:pPr>
      <w:r>
        <w:rPr>
          <w:rFonts w:eastAsiaTheme="minorHAnsi" w:cs="TimesNewRomanPS-BoldMT"/>
          <w:b/>
          <w:bCs/>
          <w:szCs w:val="22"/>
        </w:rPr>
        <w:t>EXCEPTION 2 to Section 141.0(b</w:t>
      </w:r>
      <w:r w:rsidR="00540EA9">
        <w:rPr>
          <w:rFonts w:eastAsiaTheme="minorHAnsi" w:cs="TimesNewRomanPS-BoldMT"/>
          <w:b/>
          <w:bCs/>
          <w:szCs w:val="22"/>
        </w:rPr>
        <w:t>) 2Iii</w:t>
      </w:r>
      <w:r>
        <w:rPr>
          <w:rFonts w:eastAsiaTheme="minorHAnsi" w:cs="TimesNewRomanPS-BoldMT"/>
          <w:b/>
          <w:bCs/>
          <w:szCs w:val="22"/>
        </w:rPr>
        <w:t xml:space="preserve">: </w:t>
      </w:r>
      <w:r>
        <w:rPr>
          <w:rFonts w:eastAsiaTheme="minorHAnsi" w:cs="TimesNewRomanPSMT"/>
          <w:szCs w:val="22"/>
        </w:rPr>
        <w:t>Portable luminaires, luminaires affixed to moveable partitions, and lighting excluded in accordance to Section 140.6(a</w:t>
      </w:r>
      <w:r w:rsidR="00540EA9">
        <w:rPr>
          <w:rFonts w:eastAsiaTheme="minorHAnsi" w:cs="TimesNewRomanPSMT"/>
          <w:szCs w:val="22"/>
        </w:rPr>
        <w:t>) 3</w:t>
      </w:r>
      <w:r>
        <w:rPr>
          <w:rFonts w:eastAsiaTheme="minorHAnsi" w:cs="TimesNewRomanPSMT"/>
          <w:szCs w:val="22"/>
        </w:rPr>
        <w:t>.</w:t>
      </w:r>
    </w:p>
    <w:p w:rsidR="00655B07" w:rsidRDefault="00655B07" w:rsidP="00655B07">
      <w:pPr>
        <w:autoSpaceDE w:val="0"/>
        <w:autoSpaceDN w:val="0"/>
        <w:adjustRightInd w:val="0"/>
        <w:rPr>
          <w:rFonts w:eastAsiaTheme="minorHAnsi" w:cs="TimesNewRomanPSMT"/>
          <w:szCs w:val="22"/>
        </w:rPr>
      </w:pPr>
    </w:p>
    <w:p w:rsidR="00655B07" w:rsidRDefault="00655B07" w:rsidP="00655B07">
      <w:pPr>
        <w:autoSpaceDE w:val="0"/>
        <w:autoSpaceDN w:val="0"/>
        <w:adjustRightInd w:val="0"/>
        <w:rPr>
          <w:rFonts w:eastAsiaTheme="minorHAnsi" w:cs="TimesNewRomanPSMT"/>
          <w:szCs w:val="22"/>
        </w:rPr>
      </w:pPr>
      <w:r>
        <w:rPr>
          <w:rFonts w:eastAsiaTheme="minorHAnsi" w:cs="TimesNewRomanPS-BoldMT"/>
          <w:b/>
          <w:bCs/>
          <w:szCs w:val="22"/>
        </w:rPr>
        <w:t xml:space="preserve">Luminaire Modifications-in-Place </w:t>
      </w:r>
      <w:r>
        <w:rPr>
          <w:rFonts w:eastAsiaTheme="minorHAnsi" w:cs="TimesNewRomanPSMT"/>
          <w:szCs w:val="22"/>
        </w:rPr>
        <w:t>shall meet the applicable requirements in TABLE 141.0-F and the following:</w:t>
      </w:r>
    </w:p>
    <w:p w:rsidR="00655B07" w:rsidRDefault="00655B07" w:rsidP="00DD2BB9">
      <w:pPr>
        <w:pStyle w:val="ListParagraph"/>
        <w:numPr>
          <w:ilvl w:val="0"/>
          <w:numId w:val="6"/>
        </w:numPr>
        <w:autoSpaceDE w:val="0"/>
        <w:autoSpaceDN w:val="0"/>
        <w:adjustRightInd w:val="0"/>
        <w:rPr>
          <w:rFonts w:eastAsiaTheme="minorHAnsi" w:cs="TimesNewRomanPSMT"/>
          <w:szCs w:val="22"/>
        </w:rPr>
      </w:pPr>
      <w:r>
        <w:rPr>
          <w:rFonts w:eastAsiaTheme="minorHAnsi" w:cs="TimesNewRomanPSMT"/>
          <w:szCs w:val="22"/>
        </w:rPr>
        <w:t>To qualify as a Luminaire Modification-in-Place, luminaires shall only be modified by one or more of the following methods:</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t>Replacing lamps and ballasts with like type or quantity in a manner that preserves the original luminaire listing.</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lastRenderedPageBreak/>
        <w:t xml:space="preserve">Changing the number or type of light source in a luminaire including: socket renewal, removal or relocation of sockets or </w:t>
      </w:r>
      <w:r w:rsidR="00540EA9">
        <w:rPr>
          <w:rFonts w:eastAsiaTheme="minorHAnsi" w:cs="TimesNewRomanPSMT"/>
          <w:szCs w:val="22"/>
        </w:rPr>
        <w:t>lamp holders</w:t>
      </w:r>
      <w:r>
        <w:rPr>
          <w:rFonts w:eastAsiaTheme="minorHAnsi" w:cs="TimesNewRomanPSMT"/>
          <w:szCs w:val="22"/>
        </w:rPr>
        <w:t>, and/or related wiring internal to the luminaire including the addition of safety disconnecting devices.</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t>Changing the optical system of a luminaire in part or in whole.</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t>Replacement of whole luminaires one for one in which the only electrical modification involves disconnecting the existing luminaire and reconnecting the replacement luminaire.</w:t>
      </w:r>
    </w:p>
    <w:p w:rsidR="00655B07" w:rsidRPr="00991CF4" w:rsidRDefault="00655B07" w:rsidP="00DD2BB9">
      <w:pPr>
        <w:pStyle w:val="ListParagraph"/>
        <w:numPr>
          <w:ilvl w:val="0"/>
          <w:numId w:val="6"/>
        </w:numPr>
        <w:autoSpaceDE w:val="0"/>
        <w:autoSpaceDN w:val="0"/>
        <w:adjustRightInd w:val="0"/>
        <w:rPr>
          <w:rFonts w:eastAsiaTheme="minorHAnsi" w:cs="TimesNewRomanPSMT"/>
          <w:szCs w:val="22"/>
        </w:rPr>
      </w:pPr>
      <w:r>
        <w:rPr>
          <w:rFonts w:eastAsiaTheme="minorHAnsi" w:cs="TimesNewRomanPSMT"/>
          <w:szCs w:val="22"/>
        </w:rPr>
        <w:t xml:space="preserve">Luminaire Modifications-In-Place shall include only alterations to lighting system meeting the </w:t>
      </w:r>
      <w:r w:rsidRPr="00991CF4">
        <w:rPr>
          <w:rFonts w:eastAsiaTheme="minorHAnsi" w:cs="TimesNewRomanPSMT"/>
          <w:szCs w:val="22"/>
        </w:rPr>
        <w:t>following conditions:</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t>Luminaire Modifications-in-Place shall not be part of or the result of any general remodeling or renovation of the enclosed space in which they are located.</w:t>
      </w:r>
    </w:p>
    <w:p w:rsidR="00655B07" w:rsidRDefault="00655B07" w:rsidP="00DD2BB9">
      <w:pPr>
        <w:pStyle w:val="ListParagraph"/>
        <w:numPr>
          <w:ilvl w:val="1"/>
          <w:numId w:val="6"/>
        </w:numPr>
        <w:autoSpaceDE w:val="0"/>
        <w:autoSpaceDN w:val="0"/>
        <w:adjustRightInd w:val="0"/>
        <w:rPr>
          <w:rFonts w:eastAsiaTheme="minorHAnsi" w:cs="TimesNewRomanPSMT"/>
          <w:szCs w:val="22"/>
        </w:rPr>
      </w:pPr>
      <w:r>
        <w:rPr>
          <w:rFonts w:eastAsiaTheme="minorHAnsi" w:cs="TimesNewRomanPSMT"/>
          <w:szCs w:val="22"/>
        </w:rPr>
        <w:t>Luminaire Modifications-in-Place shall not cause, be the result of, or involve any changes to the panelboard or branch circuit wiring, including line voltage switches, relays, contactors, dimmers and other control devices, providing power to the lighting system.</w:t>
      </w:r>
    </w:p>
    <w:p w:rsidR="00655B07" w:rsidRPr="00991CF4" w:rsidRDefault="00655B07" w:rsidP="00655B07">
      <w:pPr>
        <w:pStyle w:val="ListParagraph"/>
        <w:autoSpaceDE w:val="0"/>
        <w:autoSpaceDN w:val="0"/>
        <w:adjustRightInd w:val="0"/>
        <w:rPr>
          <w:rFonts w:eastAsiaTheme="minorHAnsi" w:cs="TimesNewRomanPSMT"/>
          <w:szCs w:val="22"/>
        </w:rPr>
      </w:pPr>
      <w:r>
        <w:rPr>
          <w:rFonts w:eastAsiaTheme="minorHAnsi" w:cs="TimesNewRomanPS-BoldMT"/>
          <w:b/>
          <w:bCs/>
          <w:szCs w:val="22"/>
        </w:rPr>
        <w:t>EXCEPTION to Section 141.0(b</w:t>
      </w:r>
      <w:r w:rsidR="00540EA9">
        <w:rPr>
          <w:rFonts w:eastAsiaTheme="minorHAnsi" w:cs="TimesNewRomanPS-BoldMT"/>
          <w:b/>
          <w:bCs/>
          <w:szCs w:val="22"/>
        </w:rPr>
        <w:t>) 2Iiii2</w:t>
      </w:r>
      <w:r>
        <w:rPr>
          <w:rFonts w:eastAsiaTheme="minorHAnsi" w:cs="TimesNewRomanPS-BoldMT"/>
          <w:b/>
          <w:bCs/>
          <w:szCs w:val="22"/>
        </w:rPr>
        <w:t xml:space="preserve">. </w:t>
      </w:r>
      <w:r>
        <w:rPr>
          <w:rFonts w:eastAsiaTheme="minorHAnsi" w:cs="TimesNewRomanPSMT"/>
          <w:szCs w:val="22"/>
        </w:rPr>
        <w:t xml:space="preserve">Circuit modifications strictly limited to the addition </w:t>
      </w:r>
      <w:r w:rsidRPr="00991CF4">
        <w:rPr>
          <w:rFonts w:eastAsiaTheme="minorHAnsi" w:cs="TimesNewRomanPSMT"/>
          <w:szCs w:val="22"/>
        </w:rPr>
        <w:t>of occupancy or vacancy sensors and class two lighting controls are permitted for Luminaire</w:t>
      </w:r>
    </w:p>
    <w:p w:rsidR="00655B07" w:rsidRDefault="00655B07" w:rsidP="00655B07">
      <w:pPr>
        <w:pStyle w:val="ListParagraph"/>
        <w:rPr>
          <w:rFonts w:eastAsiaTheme="minorHAnsi" w:cs="TimesNewRomanPSMT"/>
          <w:szCs w:val="22"/>
        </w:rPr>
      </w:pPr>
      <w:r>
        <w:rPr>
          <w:rFonts w:eastAsiaTheme="minorHAnsi" w:cs="TimesNewRomanPSMT"/>
          <w:szCs w:val="22"/>
        </w:rPr>
        <w:t>Modifications-in-Place</w:t>
      </w:r>
    </w:p>
    <w:p w:rsidR="00655B07" w:rsidRDefault="00655B07" w:rsidP="00655B07">
      <w:pPr>
        <w:pStyle w:val="Reminders"/>
        <w:rPr>
          <w:rFonts w:asciiTheme="minorHAnsi" w:hAnsiTheme="minorHAnsi" w:cstheme="minorHAnsi"/>
          <w:i w:val="0"/>
          <w:szCs w:val="22"/>
        </w:rPr>
      </w:pPr>
    </w:p>
    <w:p w:rsidR="00655B07" w:rsidRDefault="00655B07" w:rsidP="00655B07">
      <w:pPr>
        <w:rPr>
          <w:rFonts w:cstheme="minorHAnsi"/>
          <w:szCs w:val="22"/>
        </w:rPr>
      </w:pPr>
      <w:r>
        <w:rPr>
          <w:rFonts w:cstheme="minorHAnsi"/>
          <w:szCs w:val="22"/>
        </w:rPr>
        <w:t xml:space="preserve">Title 20 </w:t>
      </w:r>
      <w:r w:rsidR="006F23DA">
        <w:rPr>
          <w:rFonts w:cstheme="minorHAnsi"/>
          <w:szCs w:val="22"/>
        </w:rPr>
        <w:t>2015</w:t>
      </w:r>
      <w:r>
        <w:rPr>
          <w:rFonts w:cstheme="minorHAnsi"/>
          <w:szCs w:val="22"/>
        </w:rPr>
        <w:t xml:space="preserve"> [493] includes regulations to fluorescent lamp ballasts, replacement fluorescent lamp ballasts, and lamps.</w:t>
      </w:r>
    </w:p>
    <w:p w:rsidR="00655B07" w:rsidRDefault="00655B07" w:rsidP="00655B07">
      <w:pPr>
        <w:rPr>
          <w:rFonts w:cstheme="minorHAnsi"/>
          <w:szCs w:val="22"/>
        </w:rPr>
      </w:pPr>
    </w:p>
    <w:p w:rsidR="00655B07" w:rsidRDefault="00655B07" w:rsidP="00655B07">
      <w:pPr>
        <w:rPr>
          <w:rFonts w:cstheme="minorHAnsi"/>
          <w:szCs w:val="22"/>
        </w:rPr>
      </w:pPr>
      <w:r>
        <w:rPr>
          <w:rFonts w:cstheme="minorHAnsi"/>
          <w:szCs w:val="22"/>
        </w:rPr>
        <w:t>2012 Federal Standards for General Service Fluorescent Lamps issued by Department of Energy effective July 14, 2012 contains Energy Conservation Standards that applies to various linear fluorescent lamp types [</w:t>
      </w:r>
      <w:r w:rsidRPr="00FB54CB">
        <w:rPr>
          <w:rStyle w:val="EndnoteReference"/>
          <w:szCs w:val="22"/>
          <w:vertAlign w:val="baseline"/>
        </w:rPr>
        <w:endnoteReference w:id="1"/>
      </w:r>
      <w:r>
        <w:rPr>
          <w:rFonts w:cstheme="minorHAnsi"/>
          <w:szCs w:val="22"/>
        </w:rPr>
        <w:t>].</w:t>
      </w:r>
    </w:p>
    <w:p w:rsidR="00780E9D" w:rsidRDefault="00780E9D" w:rsidP="00655B07">
      <w:pPr>
        <w:pStyle w:val="Caption"/>
        <w:keepNext/>
        <w:rPr>
          <w:rFonts w:cstheme="minorHAnsi"/>
          <w:szCs w:val="22"/>
        </w:rPr>
      </w:pPr>
    </w:p>
    <w:p w:rsidR="00655B07" w:rsidRPr="00780E9D" w:rsidRDefault="00780E9D" w:rsidP="00780E9D">
      <w:pPr>
        <w:pStyle w:val="Caption"/>
        <w:keepNext/>
        <w:jc w:val="center"/>
        <w:rPr>
          <w:rFonts w:cstheme="minorHAnsi"/>
          <w:b w:val="0"/>
          <w:szCs w:val="22"/>
        </w:rPr>
      </w:pPr>
      <w:r>
        <w:rPr>
          <w:rFonts w:cstheme="minorHAnsi"/>
          <w:szCs w:val="22"/>
        </w:rPr>
        <w:t xml:space="preserve">Table 11. </w:t>
      </w:r>
      <w:r w:rsidR="00655B07" w:rsidRPr="00780E9D">
        <w:rPr>
          <w:rFonts w:cstheme="minorHAnsi"/>
          <w:b w:val="0"/>
          <w:szCs w:val="22"/>
        </w:rPr>
        <w:t>Code Summary</w:t>
      </w:r>
    </w:p>
    <w:tbl>
      <w:tblPr>
        <w:tblStyle w:val="TableGrid1"/>
        <w:tblW w:w="5000" w:type="pct"/>
        <w:tblLook w:val="04A0" w:firstRow="1" w:lastRow="0" w:firstColumn="1" w:lastColumn="0" w:noHBand="0" w:noVBand="1"/>
      </w:tblPr>
      <w:tblGrid>
        <w:gridCol w:w="2898"/>
        <w:gridCol w:w="4506"/>
        <w:gridCol w:w="2172"/>
      </w:tblGrid>
      <w:tr w:rsidR="00655B07" w:rsidRPr="00500C4E" w:rsidTr="00D85E5C">
        <w:tc>
          <w:tcPr>
            <w:tcW w:w="1513" w:type="pct"/>
            <w:shd w:val="clear" w:color="auto" w:fill="D9D9D9" w:themeFill="background1" w:themeFillShade="D9"/>
          </w:tcPr>
          <w:p w:rsidR="00655B07" w:rsidRPr="00920905" w:rsidRDefault="00655B07" w:rsidP="002C52CA">
            <w:pPr>
              <w:rPr>
                <w:rFonts w:cstheme="minorHAnsi"/>
                <w:b/>
                <w:szCs w:val="20"/>
              </w:rPr>
            </w:pPr>
            <w:r w:rsidRPr="00920905">
              <w:rPr>
                <w:rFonts w:cstheme="minorHAnsi"/>
                <w:b/>
                <w:szCs w:val="20"/>
              </w:rPr>
              <w:t>Code</w:t>
            </w:r>
          </w:p>
        </w:tc>
        <w:tc>
          <w:tcPr>
            <w:tcW w:w="2353" w:type="pct"/>
            <w:shd w:val="clear" w:color="auto" w:fill="D9D9D9" w:themeFill="background1" w:themeFillShade="D9"/>
          </w:tcPr>
          <w:p w:rsidR="00655B07" w:rsidRPr="00920905" w:rsidRDefault="00655B07" w:rsidP="002C52CA">
            <w:pPr>
              <w:rPr>
                <w:rFonts w:cstheme="minorHAnsi"/>
                <w:b/>
                <w:szCs w:val="20"/>
              </w:rPr>
            </w:pPr>
            <w:r>
              <w:rPr>
                <w:rFonts w:cstheme="minorHAnsi"/>
                <w:b/>
                <w:szCs w:val="20"/>
              </w:rPr>
              <w:t>R</w:t>
            </w:r>
            <w:r w:rsidRPr="00920905">
              <w:rPr>
                <w:rFonts w:cstheme="minorHAnsi"/>
                <w:b/>
                <w:szCs w:val="20"/>
              </w:rPr>
              <w:t>eference</w:t>
            </w:r>
          </w:p>
        </w:tc>
        <w:tc>
          <w:tcPr>
            <w:tcW w:w="1134" w:type="pct"/>
            <w:shd w:val="clear" w:color="auto" w:fill="D9D9D9" w:themeFill="background1" w:themeFillShade="D9"/>
          </w:tcPr>
          <w:p w:rsidR="00655B07" w:rsidRPr="00920905" w:rsidRDefault="00655B07" w:rsidP="002C52CA">
            <w:pPr>
              <w:rPr>
                <w:rFonts w:cstheme="minorHAnsi"/>
                <w:b/>
                <w:szCs w:val="20"/>
              </w:rPr>
            </w:pPr>
            <w:r w:rsidRPr="00920905">
              <w:rPr>
                <w:rFonts w:cstheme="minorHAnsi"/>
                <w:b/>
                <w:szCs w:val="20"/>
              </w:rPr>
              <w:t>Effective Date</w:t>
            </w:r>
            <w:r>
              <w:rPr>
                <w:rFonts w:cstheme="minorHAnsi"/>
                <w:b/>
                <w:szCs w:val="20"/>
              </w:rPr>
              <w:t>s</w:t>
            </w:r>
          </w:p>
        </w:tc>
      </w:tr>
      <w:tr w:rsidR="00655B07" w:rsidRPr="00500C4E" w:rsidTr="00780E9D">
        <w:trPr>
          <w:trHeight w:val="243"/>
        </w:trPr>
        <w:tc>
          <w:tcPr>
            <w:tcW w:w="1513" w:type="pct"/>
            <w:vAlign w:val="center"/>
          </w:tcPr>
          <w:p w:rsidR="00655B07" w:rsidRPr="00500C4E" w:rsidRDefault="00655B07" w:rsidP="00780E9D">
            <w:pPr>
              <w:jc w:val="center"/>
              <w:rPr>
                <w:rFonts w:cstheme="minorHAnsi"/>
                <w:szCs w:val="20"/>
              </w:rPr>
            </w:pPr>
            <w:r>
              <w:rPr>
                <w:rFonts w:cstheme="minorHAnsi"/>
                <w:szCs w:val="20"/>
              </w:rPr>
              <w:t>Title 24 (2013)</w:t>
            </w:r>
          </w:p>
        </w:tc>
        <w:tc>
          <w:tcPr>
            <w:tcW w:w="2353" w:type="pct"/>
          </w:tcPr>
          <w:p w:rsidR="00655B07" w:rsidRPr="00500C4E" w:rsidRDefault="00655B07" w:rsidP="002C52CA">
            <w:pPr>
              <w:rPr>
                <w:rFonts w:cstheme="minorHAnsi"/>
                <w:color w:val="FF0000"/>
                <w:szCs w:val="20"/>
              </w:rPr>
            </w:pPr>
            <w:r>
              <w:rPr>
                <w:rFonts w:cstheme="minorHAnsi"/>
                <w:szCs w:val="20"/>
              </w:rPr>
              <w:t xml:space="preserve">Section 141.0(b)2Iii Lighting System Alterations, 141.0(b)2Iii Luminaire Modifications-in-Place </w:t>
            </w:r>
          </w:p>
        </w:tc>
        <w:tc>
          <w:tcPr>
            <w:tcW w:w="1134" w:type="pct"/>
            <w:vAlign w:val="center"/>
          </w:tcPr>
          <w:p w:rsidR="00655B07" w:rsidRPr="00500C4E" w:rsidRDefault="00655B07" w:rsidP="00780E9D">
            <w:pPr>
              <w:jc w:val="center"/>
              <w:rPr>
                <w:rFonts w:cstheme="minorHAnsi"/>
                <w:color w:val="FF0000"/>
                <w:szCs w:val="20"/>
              </w:rPr>
            </w:pPr>
            <w:r>
              <w:rPr>
                <w:rFonts w:cstheme="minorHAnsi"/>
                <w:szCs w:val="20"/>
              </w:rPr>
              <w:t>July 1, 2014</w:t>
            </w:r>
          </w:p>
        </w:tc>
      </w:tr>
      <w:tr w:rsidR="00655B07" w:rsidRPr="00500C4E" w:rsidTr="00780E9D">
        <w:trPr>
          <w:trHeight w:val="243"/>
        </w:trPr>
        <w:tc>
          <w:tcPr>
            <w:tcW w:w="1513" w:type="pct"/>
            <w:vAlign w:val="center"/>
          </w:tcPr>
          <w:p w:rsidR="00655B07" w:rsidRPr="00500C4E" w:rsidRDefault="00655B07" w:rsidP="00780E9D">
            <w:pPr>
              <w:jc w:val="center"/>
              <w:rPr>
                <w:rFonts w:cstheme="minorHAnsi"/>
                <w:szCs w:val="20"/>
              </w:rPr>
            </w:pPr>
            <w:r>
              <w:rPr>
                <w:rFonts w:cstheme="minorHAnsi"/>
                <w:szCs w:val="20"/>
              </w:rPr>
              <w:t>Title 20 (2015)</w:t>
            </w:r>
          </w:p>
        </w:tc>
        <w:tc>
          <w:tcPr>
            <w:tcW w:w="2353" w:type="pct"/>
            <w:vAlign w:val="center"/>
          </w:tcPr>
          <w:p w:rsidR="00655B07" w:rsidRPr="00500C4E" w:rsidRDefault="00655B07" w:rsidP="002C52CA">
            <w:pPr>
              <w:rPr>
                <w:rFonts w:cstheme="minorHAnsi"/>
                <w:color w:val="FF0000"/>
                <w:szCs w:val="20"/>
              </w:rPr>
            </w:pPr>
            <w:r>
              <w:rPr>
                <w:rFonts w:cstheme="minorHAnsi"/>
                <w:szCs w:val="20"/>
              </w:rPr>
              <w:t>2015 Appliance Efficiency Regulations</w:t>
            </w:r>
          </w:p>
        </w:tc>
        <w:tc>
          <w:tcPr>
            <w:tcW w:w="1134" w:type="pct"/>
            <w:vAlign w:val="center"/>
          </w:tcPr>
          <w:p w:rsidR="00655B07" w:rsidRPr="00500C4E" w:rsidRDefault="00655B07" w:rsidP="00780E9D">
            <w:pPr>
              <w:jc w:val="center"/>
              <w:rPr>
                <w:rFonts w:cstheme="minorHAnsi"/>
                <w:color w:val="FF0000"/>
                <w:szCs w:val="20"/>
              </w:rPr>
            </w:pPr>
            <w:r>
              <w:rPr>
                <w:rFonts w:cstheme="minorHAnsi"/>
                <w:szCs w:val="20"/>
              </w:rPr>
              <w:t>July 1, 2015</w:t>
            </w:r>
          </w:p>
        </w:tc>
      </w:tr>
      <w:tr w:rsidR="00655B07" w:rsidRPr="00500C4E" w:rsidTr="00780E9D">
        <w:trPr>
          <w:trHeight w:val="243"/>
        </w:trPr>
        <w:tc>
          <w:tcPr>
            <w:tcW w:w="1513" w:type="pct"/>
            <w:vAlign w:val="center"/>
          </w:tcPr>
          <w:p w:rsidR="00655B07" w:rsidRPr="00500C4E" w:rsidRDefault="00655B07" w:rsidP="00780E9D">
            <w:pPr>
              <w:jc w:val="center"/>
              <w:rPr>
                <w:rFonts w:cstheme="minorHAnsi"/>
                <w:color w:val="FF0000"/>
                <w:szCs w:val="20"/>
              </w:rPr>
            </w:pPr>
            <w:r>
              <w:rPr>
                <w:rFonts w:cstheme="minorHAnsi"/>
                <w:szCs w:val="20"/>
              </w:rPr>
              <w:t>NEMA (2012)</w:t>
            </w:r>
          </w:p>
        </w:tc>
        <w:tc>
          <w:tcPr>
            <w:tcW w:w="2353" w:type="pct"/>
            <w:vAlign w:val="center"/>
          </w:tcPr>
          <w:p w:rsidR="00655B07" w:rsidRPr="00500C4E" w:rsidRDefault="00655B07" w:rsidP="002C52CA">
            <w:pPr>
              <w:rPr>
                <w:rFonts w:cstheme="minorHAnsi"/>
                <w:color w:val="FF0000"/>
                <w:szCs w:val="20"/>
              </w:rPr>
            </w:pPr>
            <w:r>
              <w:rPr>
                <w:rFonts w:cstheme="minorHAnsi"/>
                <w:szCs w:val="20"/>
              </w:rPr>
              <w:t>Federal standards for general service fluorescent lamps issued by DOE</w:t>
            </w:r>
          </w:p>
        </w:tc>
        <w:tc>
          <w:tcPr>
            <w:tcW w:w="1134" w:type="pct"/>
            <w:vAlign w:val="center"/>
          </w:tcPr>
          <w:p w:rsidR="00655B07" w:rsidRPr="00500C4E" w:rsidRDefault="00655B07" w:rsidP="00780E9D">
            <w:pPr>
              <w:jc w:val="center"/>
              <w:rPr>
                <w:rFonts w:cstheme="minorHAnsi"/>
                <w:color w:val="FF0000"/>
                <w:szCs w:val="20"/>
              </w:rPr>
            </w:pPr>
            <w:r>
              <w:rPr>
                <w:rFonts w:cstheme="minorHAnsi"/>
                <w:szCs w:val="20"/>
              </w:rPr>
              <w:t>July 14, 2012</w:t>
            </w:r>
          </w:p>
        </w:tc>
      </w:tr>
      <w:tr w:rsidR="00D85E5C" w:rsidRPr="00500C4E" w:rsidTr="00780E9D">
        <w:trPr>
          <w:trHeight w:val="243"/>
        </w:trPr>
        <w:tc>
          <w:tcPr>
            <w:tcW w:w="1513" w:type="pct"/>
            <w:vAlign w:val="center"/>
          </w:tcPr>
          <w:p w:rsidR="00D85E5C" w:rsidRDefault="00D85E5C" w:rsidP="00780E9D">
            <w:pPr>
              <w:jc w:val="center"/>
              <w:rPr>
                <w:rFonts w:cstheme="minorHAnsi"/>
                <w:szCs w:val="20"/>
              </w:rPr>
            </w:pPr>
            <w:r w:rsidRPr="00D85E5C">
              <w:rPr>
                <w:rFonts w:cstheme="minorHAnsi"/>
                <w:szCs w:val="20"/>
              </w:rPr>
              <w:t>California State Fire Marshal</w:t>
            </w:r>
          </w:p>
          <w:p w:rsidR="00D85E5C" w:rsidRDefault="00D85E5C" w:rsidP="00780E9D">
            <w:pPr>
              <w:jc w:val="center"/>
              <w:rPr>
                <w:rFonts w:cstheme="minorHAnsi"/>
                <w:szCs w:val="20"/>
              </w:rPr>
            </w:pPr>
            <w:r w:rsidRPr="00D85E5C">
              <w:rPr>
                <w:rFonts w:cstheme="minorHAnsi"/>
                <w:szCs w:val="20"/>
              </w:rPr>
              <w:t>CODE INTERPRETATION</w:t>
            </w:r>
            <w:r>
              <w:rPr>
                <w:rFonts w:cstheme="minorHAnsi"/>
                <w:szCs w:val="20"/>
              </w:rPr>
              <w:t xml:space="preserve"> (14-010)</w:t>
            </w:r>
          </w:p>
        </w:tc>
        <w:tc>
          <w:tcPr>
            <w:tcW w:w="2353" w:type="pct"/>
            <w:vAlign w:val="center"/>
          </w:tcPr>
          <w:p w:rsidR="00D85E5C" w:rsidRDefault="00D85E5C" w:rsidP="002C52CA">
            <w:pPr>
              <w:rPr>
                <w:rFonts w:cstheme="minorHAnsi"/>
                <w:szCs w:val="20"/>
              </w:rPr>
            </w:pPr>
            <w:r w:rsidRPr="00D85E5C">
              <w:rPr>
                <w:rFonts w:cstheme="minorHAnsi"/>
                <w:szCs w:val="20"/>
              </w:rPr>
              <w:t>2013 C</w:t>
            </w:r>
            <w:r>
              <w:rPr>
                <w:rFonts w:cstheme="minorHAnsi"/>
                <w:szCs w:val="20"/>
              </w:rPr>
              <w:t xml:space="preserve">alifornia </w:t>
            </w:r>
            <w:r w:rsidRPr="00D85E5C">
              <w:rPr>
                <w:rFonts w:cstheme="minorHAnsi"/>
                <w:szCs w:val="20"/>
              </w:rPr>
              <w:t>B</w:t>
            </w:r>
            <w:r>
              <w:rPr>
                <w:rFonts w:cstheme="minorHAnsi"/>
                <w:szCs w:val="20"/>
              </w:rPr>
              <w:t xml:space="preserve">uilding </w:t>
            </w:r>
            <w:r w:rsidRPr="00D85E5C">
              <w:rPr>
                <w:rFonts w:cstheme="minorHAnsi"/>
                <w:szCs w:val="20"/>
              </w:rPr>
              <w:t>C</w:t>
            </w:r>
            <w:r>
              <w:rPr>
                <w:rFonts w:cstheme="minorHAnsi"/>
                <w:szCs w:val="20"/>
              </w:rPr>
              <w:t xml:space="preserve">ode (CBC) </w:t>
            </w:r>
            <w:r w:rsidRPr="00D85E5C">
              <w:rPr>
                <w:rFonts w:cstheme="minorHAnsi"/>
                <w:szCs w:val="20"/>
              </w:rPr>
              <w:t>§1006.1, Energy Code §130.1(c)</w:t>
            </w:r>
          </w:p>
        </w:tc>
        <w:tc>
          <w:tcPr>
            <w:tcW w:w="1134" w:type="pct"/>
            <w:vAlign w:val="center"/>
          </w:tcPr>
          <w:p w:rsidR="00D85E5C" w:rsidRDefault="00D85E5C" w:rsidP="00780E9D">
            <w:pPr>
              <w:jc w:val="center"/>
              <w:rPr>
                <w:rFonts w:cstheme="minorHAnsi"/>
                <w:szCs w:val="20"/>
              </w:rPr>
            </w:pPr>
            <w:r>
              <w:rPr>
                <w:rFonts w:cstheme="minorHAnsi"/>
                <w:szCs w:val="20"/>
              </w:rPr>
              <w:t>November 24, 2014</w:t>
            </w:r>
          </w:p>
        </w:tc>
      </w:tr>
    </w:tbl>
    <w:p w:rsidR="00572D2F" w:rsidRPr="00920905" w:rsidRDefault="00572D2F" w:rsidP="00920905">
      <w:pPr>
        <w:pStyle w:val="Heading2"/>
        <w:rPr>
          <w:rFonts w:cstheme="minorHAnsi"/>
          <w:b w:val="0"/>
          <w:bCs w:val="0"/>
          <w:iCs w:val="0"/>
          <w:smallCaps w:val="0"/>
        </w:rPr>
      </w:pPr>
      <w:bookmarkStart w:id="17" w:name="_Toc304800207"/>
      <w:bookmarkStart w:id="18" w:name="_Toc324318343"/>
      <w:bookmarkStart w:id="19" w:name="_Toc324340487"/>
      <w:bookmarkStart w:id="20" w:name="_Toc383441992"/>
      <w:bookmarkStart w:id="21" w:name="_Toc214003090"/>
      <w:r w:rsidRPr="00920905">
        <w:rPr>
          <w:rFonts w:asciiTheme="minorHAnsi" w:hAnsiTheme="minorHAnsi" w:cstheme="minorHAnsi"/>
        </w:rPr>
        <w:t>1.</w:t>
      </w:r>
      <w:r w:rsidR="00A4411F" w:rsidRPr="00920905">
        <w:rPr>
          <w:rFonts w:asciiTheme="minorHAnsi" w:hAnsiTheme="minorHAnsi" w:cstheme="minorHAnsi"/>
        </w:rPr>
        <w:t>5</w:t>
      </w:r>
      <w:r w:rsidRPr="00920905">
        <w:rPr>
          <w:rFonts w:asciiTheme="minorHAnsi" w:hAnsiTheme="minorHAnsi" w:cstheme="minorHAnsi"/>
        </w:rPr>
        <w:t xml:space="preserve"> EM&amp;V, Market Potential, and Other Studies – Base Case and Measure Case Information</w:t>
      </w:r>
      <w:bookmarkEnd w:id="17"/>
      <w:bookmarkEnd w:id="18"/>
      <w:bookmarkEnd w:id="19"/>
      <w:bookmarkEnd w:id="20"/>
    </w:p>
    <w:p w:rsidR="00572D2F" w:rsidRPr="00920905" w:rsidRDefault="002127A1" w:rsidP="00920905">
      <w:pPr>
        <w:pStyle w:val="Heading3"/>
        <w:rPr>
          <w:b w:val="0"/>
        </w:rPr>
      </w:pPr>
      <w:r>
        <w:rPr>
          <w:rFonts w:asciiTheme="minorHAnsi" w:hAnsiTheme="minorHAnsi"/>
        </w:rPr>
        <w:t xml:space="preserve">Studies Supporting </w:t>
      </w:r>
      <w:r w:rsidR="00EF12C7">
        <w:rPr>
          <w:rFonts w:asciiTheme="minorHAnsi" w:hAnsiTheme="minorHAnsi"/>
        </w:rPr>
        <w:t>Average Operating Hours</w:t>
      </w:r>
      <w:r w:rsidR="00E5437F">
        <w:rPr>
          <w:rFonts w:asciiTheme="minorHAnsi" w:hAnsiTheme="minorHAnsi"/>
        </w:rPr>
        <w:t xml:space="preserve"> and Effective Useful Life</w:t>
      </w:r>
    </w:p>
    <w:p w:rsidR="000807D3" w:rsidRDefault="00236952" w:rsidP="00EF12C7">
      <w:pPr>
        <w:pStyle w:val="NoSpacing"/>
        <w:rPr>
          <w:b/>
        </w:rPr>
      </w:pPr>
      <w:r>
        <w:rPr>
          <w:b/>
        </w:rPr>
        <w:t xml:space="preserve">1.5.1 </w:t>
      </w:r>
      <w:r w:rsidR="000807D3" w:rsidRPr="000807D3">
        <w:rPr>
          <w:b/>
        </w:rPr>
        <w:t xml:space="preserve">CPUC 2015 Workpaper Guidance – Lighting Retrofits, dated January 27, 2015.  </w:t>
      </w:r>
    </w:p>
    <w:p w:rsidR="000807D3" w:rsidRDefault="002127A1" w:rsidP="000807D3">
      <w:pPr>
        <w:pStyle w:val="NoSpacing"/>
      </w:pPr>
      <w:r w:rsidRPr="002127A1">
        <w:t xml:space="preserve">According to </w:t>
      </w:r>
      <w:r w:rsidR="000807D3">
        <w:t xml:space="preserve">the </w:t>
      </w:r>
      <w:r w:rsidR="000807D3" w:rsidRPr="000807D3">
        <w:t>CPUC 2015 Workpaper Guidance – Lighting Retrofits, dated January 27, 2015</w:t>
      </w:r>
      <w:r w:rsidR="000807D3">
        <w:t xml:space="preserve">, the </w:t>
      </w:r>
      <w:r w:rsidR="000807D3" w:rsidRPr="000807D3">
        <w:t>guidance document list</w:t>
      </w:r>
      <w:r w:rsidR="000807D3">
        <w:t>ed</w:t>
      </w:r>
      <w:r w:rsidR="000807D3" w:rsidRPr="000807D3">
        <w:t xml:space="preserve"> a parking garage lighting category called “ParkGar” which was established based on lighting workpapers submitted by California </w:t>
      </w:r>
      <w:r w:rsidR="000807D3">
        <w:t>program administrators (</w:t>
      </w:r>
      <w:r w:rsidR="000807D3" w:rsidRPr="000807D3">
        <w:t>PAs</w:t>
      </w:r>
      <w:r w:rsidR="000807D3">
        <w:t>)</w:t>
      </w:r>
      <w:r w:rsidR="000807D3" w:rsidRPr="000807D3">
        <w:t xml:space="preserve"> in 2013 and 2014.  The hours of use for </w:t>
      </w:r>
      <w:r w:rsidR="000807D3">
        <w:t>“</w:t>
      </w:r>
      <w:r w:rsidR="000807D3" w:rsidRPr="000807D3">
        <w:t>ParkGar</w:t>
      </w:r>
      <w:r w:rsidR="000807D3">
        <w:t>”</w:t>
      </w:r>
      <w:r w:rsidR="000807D3" w:rsidRPr="000807D3">
        <w:t xml:space="preserve"> </w:t>
      </w:r>
      <w:r w:rsidR="000807D3">
        <w:t>were</w:t>
      </w:r>
      <w:r w:rsidR="000807D3" w:rsidRPr="000807D3">
        <w:t xml:space="preserve"> set at 8,760 because the </w:t>
      </w:r>
      <w:r w:rsidR="000807D3">
        <w:t>ex-ante review (</w:t>
      </w:r>
      <w:r w:rsidR="000807D3" w:rsidRPr="000807D3">
        <w:t>EAR</w:t>
      </w:r>
      <w:r w:rsidR="000807D3">
        <w:t>)</w:t>
      </w:r>
      <w:r w:rsidR="000807D3" w:rsidRPr="000807D3">
        <w:t xml:space="preserve"> team “passed through” this value as proposed by California </w:t>
      </w:r>
      <w:r w:rsidR="000807D3">
        <w:t xml:space="preserve">PAs. </w:t>
      </w:r>
    </w:p>
    <w:p w:rsidR="000807D3" w:rsidRDefault="000807D3" w:rsidP="000807D3">
      <w:pPr>
        <w:pStyle w:val="NoSpacing"/>
      </w:pPr>
    </w:p>
    <w:p w:rsidR="001E3CB1" w:rsidRDefault="000807D3" w:rsidP="000807D3">
      <w:pPr>
        <w:pStyle w:val="NoSpacing"/>
      </w:pPr>
      <w:r>
        <w:t>However, in the June 23, 2016</w:t>
      </w:r>
      <w:r w:rsidRPr="000807D3">
        <w:t xml:space="preserve"> </w:t>
      </w:r>
      <w:r w:rsidR="008079CB">
        <w:t>Commission Staff Observations for</w:t>
      </w:r>
      <w:r>
        <w:t xml:space="preserve"> Interior Parking Garage Linear Fluorescent to LED Luminaires or Retrofit Kits document, the </w:t>
      </w:r>
      <w:r w:rsidRPr="000807D3">
        <w:t xml:space="preserve">EAR team </w:t>
      </w:r>
      <w:r>
        <w:t>indicated that they had</w:t>
      </w:r>
      <w:r w:rsidRPr="000807D3">
        <w:t xml:space="preserve"> not researched or reviewed the assumptions or data sources for the value of 8,760 hours</w:t>
      </w:r>
      <w:r>
        <w:t xml:space="preserve"> and would</w:t>
      </w:r>
      <w:r w:rsidRPr="000807D3">
        <w:t xml:space="preserve"> not require this value to be used and does not consider this value to be the best available information. </w:t>
      </w:r>
    </w:p>
    <w:p w:rsidR="001E3CB1" w:rsidRDefault="001E3CB1" w:rsidP="000807D3">
      <w:pPr>
        <w:pStyle w:val="NoSpacing"/>
      </w:pPr>
    </w:p>
    <w:p w:rsidR="000807D3" w:rsidRDefault="000807D3" w:rsidP="000807D3">
      <w:pPr>
        <w:pStyle w:val="NoSpacing"/>
      </w:pPr>
      <w:r>
        <w:t>Therefore, the EAR Team indicated in this document that</w:t>
      </w:r>
      <w:r w:rsidRPr="000807D3">
        <w:t xml:space="preserve"> CalTF should consult other data for the appropriate parking garage hours of use.</w:t>
      </w:r>
      <w:r>
        <w:t xml:space="preserve"> Based on </w:t>
      </w:r>
      <w:r w:rsidR="00717572">
        <w:t>the</w:t>
      </w:r>
      <w:r w:rsidR="00E5437F">
        <w:t xml:space="preserve"> EAR team’s</w:t>
      </w:r>
      <w:r>
        <w:t xml:space="preserve"> input, further data sources were researched to support an appropriate </w:t>
      </w:r>
      <w:r w:rsidR="00E5437F">
        <w:t>annual operating hour</w:t>
      </w:r>
      <w:r>
        <w:t xml:space="preserve"> estimate</w:t>
      </w:r>
      <w:r w:rsidR="00717572">
        <w:t xml:space="preserve"> for this workpaper</w:t>
      </w:r>
      <w:r>
        <w:t>.</w:t>
      </w:r>
    </w:p>
    <w:p w:rsidR="000807D3" w:rsidRPr="002127A1" w:rsidRDefault="000807D3" w:rsidP="00EF12C7">
      <w:pPr>
        <w:pStyle w:val="NoSpacing"/>
      </w:pPr>
    </w:p>
    <w:p w:rsidR="001E3CB1" w:rsidRDefault="001E3CB1" w:rsidP="001E3CB1">
      <w:pPr>
        <w:pStyle w:val="NoSpacing"/>
        <w:rPr>
          <w:b/>
        </w:rPr>
      </w:pPr>
      <w:r>
        <w:rPr>
          <w:b/>
        </w:rPr>
        <w:t>1.5.2 California Marshal 2014 Code Interpretation Means of Egress Illumination</w:t>
      </w:r>
    </w:p>
    <w:p w:rsidR="001E3CB1" w:rsidRDefault="001E3CB1" w:rsidP="001E3CB1">
      <w:pPr>
        <w:pStyle w:val="NoSpacing"/>
      </w:pPr>
      <w:r>
        <w:t>On November 24, 2014, the California State Fire Marshal issued a code interpretation regarding the Title 24 Energy Code §130.1(C) requirement that all lighting including emergency lighting must shut off when the building is unoccupied using occupancy sensing, automatic time switch or building system signal. The 2014 California Marshal Code Interpretation document indicated that “</w:t>
      </w:r>
      <w:r w:rsidRPr="0030698E">
        <w:t>The California Building Code (CBC) requirements for Means of Egress Illumination Section (§1006) supersede the California Energy Code. The requirements of CBC §1006 are applicable when applying the California Energy Code</w:t>
      </w:r>
      <w:r>
        <w:t xml:space="preserve">…and the </w:t>
      </w:r>
      <w:r w:rsidRPr="00E463E6">
        <w:t>means of egress illumination level shall not be less than 1 foot</w:t>
      </w:r>
      <w:r>
        <w:t xml:space="preserve"> </w:t>
      </w:r>
      <w:r w:rsidRPr="00E463E6">
        <w:t>candle at the walking surface, where required per CBC</w:t>
      </w:r>
      <w:r w:rsidRPr="0030698E">
        <w:t>.</w:t>
      </w:r>
      <w:r>
        <w:t xml:space="preserve">” </w:t>
      </w:r>
    </w:p>
    <w:p w:rsidR="00F67C59" w:rsidRDefault="00F67C59" w:rsidP="00F67C59">
      <w:pPr>
        <w:pStyle w:val="NoSpacing"/>
      </w:pPr>
    </w:p>
    <w:p w:rsidR="00F67C59" w:rsidRDefault="002A483E" w:rsidP="00F67C59">
      <w:pPr>
        <w:pStyle w:val="NoSpacing"/>
      </w:pPr>
      <w:r>
        <w:t>Consequently, i</w:t>
      </w:r>
      <w:r w:rsidR="00F67C59">
        <w:t xml:space="preserve">t is commonly interpreted by architects, engineers and contractors to avoid motion sensing lighting controls for the means of egress unless the minimum lighting levels are at least twice the necessary minimum. </w:t>
      </w:r>
      <w:r>
        <w:t>In such circumstances,</w:t>
      </w:r>
      <w:r w:rsidR="00F67C59">
        <w:t xml:space="preserve"> lights can be “partially off” and still meet </w:t>
      </w:r>
      <w:r>
        <w:t xml:space="preserve">CBC §1006 in the “low” power mode. </w:t>
      </w:r>
      <w:r w:rsidR="00540EA9">
        <w:t>Side</w:t>
      </w:r>
      <w:r w:rsidR="00FA5432">
        <w:t xml:space="preserve"> </w:t>
      </w:r>
      <w:r w:rsidR="00540EA9">
        <w:t>lit</w:t>
      </w:r>
      <w:r w:rsidR="00F67C59">
        <w:t xml:space="preserve"> daylighting controls are less of a challenge because CBC §1006 does not specify that the lighting levels be provided by electric light. </w:t>
      </w:r>
    </w:p>
    <w:p w:rsidR="00F67C59" w:rsidRDefault="00F67C59" w:rsidP="00F67C59">
      <w:pPr>
        <w:pStyle w:val="NoSpacing"/>
      </w:pPr>
    </w:p>
    <w:p w:rsidR="001E3CB1" w:rsidRDefault="00F67C59" w:rsidP="001E3CB1">
      <w:pPr>
        <w:pStyle w:val="NoSpacing"/>
      </w:pPr>
      <w:r>
        <w:t xml:space="preserve">Therefore, if there are luminaires in the primary or secondary </w:t>
      </w:r>
      <w:r w:rsidR="00540EA9">
        <w:t>side lit</w:t>
      </w:r>
      <w:r>
        <w:t xml:space="preserve"> zone</w:t>
      </w:r>
      <w:r w:rsidR="00FA5432">
        <w:t>,</w:t>
      </w:r>
      <w:r>
        <w:t xml:space="preserve"> and the sensor is located and set properly, the minimum egress lighting levels </w:t>
      </w:r>
      <w:r w:rsidR="002A483E">
        <w:t>can</w:t>
      </w:r>
      <w:r>
        <w:t xml:space="preserve"> be met with electric or natural light. With the exception of primary and secondary </w:t>
      </w:r>
      <w:r w:rsidR="00540EA9">
        <w:t>side lit</w:t>
      </w:r>
      <w:r>
        <w:t xml:space="preserve"> zones, </w:t>
      </w:r>
      <w:r w:rsidR="001E3CB1">
        <w:t>it can reasonably be inferred that parking garage fixtures must be on 24/7 or 8,760 annual operating hours</w:t>
      </w:r>
      <w:r w:rsidR="002A483E">
        <w:t xml:space="preserve"> for safety reasons based on this 2014 California Marshal Code Interpretation</w:t>
      </w:r>
      <w:r w:rsidR="001E3CB1">
        <w:t xml:space="preserve">. </w:t>
      </w:r>
    </w:p>
    <w:p w:rsidR="001E3CB1" w:rsidRDefault="001E3CB1" w:rsidP="001E3CB1">
      <w:pPr>
        <w:pStyle w:val="NoSpacing"/>
      </w:pPr>
    </w:p>
    <w:p w:rsidR="002127A1" w:rsidRPr="002127A1" w:rsidRDefault="001E3CB1" w:rsidP="001E3CB1">
      <w:pPr>
        <w:pStyle w:val="NoSpacing"/>
        <w:rPr>
          <w:b/>
        </w:rPr>
      </w:pPr>
      <w:r>
        <w:rPr>
          <w:b/>
        </w:rPr>
        <w:t>1.5.3</w:t>
      </w:r>
      <w:r w:rsidR="00236952">
        <w:rPr>
          <w:b/>
        </w:rPr>
        <w:t xml:space="preserve"> </w:t>
      </w:r>
      <w:r w:rsidR="002127A1" w:rsidRPr="002127A1">
        <w:rPr>
          <w:b/>
        </w:rPr>
        <w:t xml:space="preserve">California Utilities Codes and Standards Team </w:t>
      </w:r>
      <w:r w:rsidR="00236952">
        <w:rPr>
          <w:b/>
        </w:rPr>
        <w:t xml:space="preserve">2011 </w:t>
      </w:r>
      <w:r w:rsidR="002127A1" w:rsidRPr="002127A1">
        <w:rPr>
          <w:b/>
        </w:rPr>
        <w:t xml:space="preserve">Statewide Parking Garage Lighting and Controls Codes and Standards Enhancement (CASE) Initiative Draft Measure Report </w:t>
      </w:r>
    </w:p>
    <w:p w:rsidR="002127A1" w:rsidRDefault="00EF12C7" w:rsidP="00EF12C7">
      <w:pPr>
        <w:pStyle w:val="NoSpacing"/>
      </w:pPr>
      <w:r>
        <w:t xml:space="preserve">According to the 2011 California Utilities Codes and Standards Team Statewide </w:t>
      </w:r>
      <w:r w:rsidRPr="00EF12C7">
        <w:t>Parking Garage Lighting and Controls</w:t>
      </w:r>
      <w:r>
        <w:t xml:space="preserve"> Codes and Standards Enhancement (CASE) Initiative Draft Measure Report</w:t>
      </w:r>
      <w:r w:rsidR="002127A1">
        <w:t xml:space="preserve"> (page 17)</w:t>
      </w:r>
      <w:r>
        <w:t>, m</w:t>
      </w:r>
      <w:r w:rsidRPr="00954C67">
        <w:t xml:space="preserve">ost parking garages are not secure facilities, and it is not possible to be certain that a vehicle or pedestrian will not enter the building. </w:t>
      </w:r>
      <w:r>
        <w:t xml:space="preserve">Furthermore, the Draft Report </w:t>
      </w:r>
      <w:r w:rsidR="002A483E">
        <w:t>implied</w:t>
      </w:r>
      <w:r>
        <w:t xml:space="preserve"> that b</w:t>
      </w:r>
      <w:r w:rsidR="002A483E">
        <w:t>ecause of these potential safety concerns</w:t>
      </w:r>
      <w:r w:rsidRPr="00954C67">
        <w:t xml:space="preserve">, parking garages are mostly operated in a 24/7 </w:t>
      </w:r>
      <w:r>
        <w:t xml:space="preserve">(8,760 annual hours) </w:t>
      </w:r>
      <w:r w:rsidRPr="00954C67">
        <w:t>manner with the only controls in the spaces employed in the adaptation zone near the entry.</w:t>
      </w:r>
      <w:r w:rsidR="002127A1">
        <w:t xml:space="preserve"> </w:t>
      </w:r>
    </w:p>
    <w:p w:rsidR="00987193" w:rsidRDefault="00987193" w:rsidP="00EF12C7">
      <w:pPr>
        <w:pStyle w:val="NoSpacing"/>
      </w:pPr>
    </w:p>
    <w:p w:rsidR="002127A1" w:rsidRDefault="00FA5432" w:rsidP="00EF12C7">
      <w:pPr>
        <w:pStyle w:val="NoSpacing"/>
      </w:pPr>
      <w:r>
        <w:t>Based on this information</w:t>
      </w:r>
      <w:r w:rsidR="00987193">
        <w:t xml:space="preserve">, </w:t>
      </w:r>
      <w:r>
        <w:t xml:space="preserve">it can be reasonably inferred that </w:t>
      </w:r>
      <w:r w:rsidR="00987193">
        <w:t xml:space="preserve">the 2011 Statewide Parking Garage Lighting and Controls CASE Initiative Draft Measure Report supports the 8,760 annual hours estimate primarily because </w:t>
      </w:r>
      <w:r>
        <w:t xml:space="preserve">most parking garages operate 24/7 or 8,760 annual hours due to </w:t>
      </w:r>
      <w:r w:rsidR="00987193">
        <w:t>safety and security concerns.</w:t>
      </w:r>
    </w:p>
    <w:p w:rsidR="00FA5432" w:rsidRDefault="00FA5432" w:rsidP="00EF12C7">
      <w:pPr>
        <w:pStyle w:val="NoSpacing"/>
      </w:pPr>
    </w:p>
    <w:p w:rsidR="00987193" w:rsidRDefault="00987193" w:rsidP="00EF12C7">
      <w:pPr>
        <w:pStyle w:val="NoSpacing"/>
      </w:pPr>
    </w:p>
    <w:p w:rsidR="0030698E" w:rsidRPr="00E5437F" w:rsidRDefault="001E3CB1" w:rsidP="008B3C6A">
      <w:pPr>
        <w:pStyle w:val="NoSpacing"/>
        <w:rPr>
          <w:b/>
        </w:rPr>
      </w:pPr>
      <w:r>
        <w:rPr>
          <w:b/>
        </w:rPr>
        <w:lastRenderedPageBreak/>
        <w:t>1.5.4</w:t>
      </w:r>
      <w:r w:rsidR="00236952">
        <w:rPr>
          <w:b/>
        </w:rPr>
        <w:t xml:space="preserve"> </w:t>
      </w:r>
      <w:r w:rsidR="0030698E" w:rsidRPr="00E5437F">
        <w:rPr>
          <w:b/>
        </w:rPr>
        <w:t xml:space="preserve">Energy Solutions’ </w:t>
      </w:r>
      <w:r w:rsidR="00236952">
        <w:rPr>
          <w:b/>
        </w:rPr>
        <w:t xml:space="preserve">2012 </w:t>
      </w:r>
      <w:r w:rsidR="0030698E" w:rsidRPr="00E5437F">
        <w:rPr>
          <w:b/>
        </w:rPr>
        <w:t>Energy Technology Assistance Program Field Study Final Report (ETAP Report)</w:t>
      </w:r>
    </w:p>
    <w:p w:rsidR="00F67C59" w:rsidRDefault="00F67C59" w:rsidP="008B3C6A">
      <w:pPr>
        <w:pStyle w:val="Heading4"/>
        <w:spacing w:before="0"/>
      </w:pPr>
      <w:r>
        <w:t>Low and High Power Modes</w:t>
      </w:r>
    </w:p>
    <w:p w:rsidR="0030698E" w:rsidRDefault="0030698E" w:rsidP="0030698E">
      <w:pPr>
        <w:pStyle w:val="NoSpacing"/>
      </w:pPr>
      <w:r>
        <w:t xml:space="preserve">The </w:t>
      </w:r>
      <w:r w:rsidRPr="00954C67">
        <w:t>2012 ETAP Report</w:t>
      </w:r>
      <w:r>
        <w:t xml:space="preserve"> concentrated on metering bi-level lighting for parking lots, garages, stairwells, and walkways and monitored a total of 157 bi-level fixtures across 30 parking garages. The 2012 ETAP report (page 35) indicated that </w:t>
      </w:r>
      <w:r w:rsidRPr="0030698E">
        <w:t>the majority of parking</w:t>
      </w:r>
      <w:r>
        <w:t xml:space="preserve"> garage fixtures is</w:t>
      </w:r>
      <w:r w:rsidRPr="0030698E">
        <w:t xml:space="preserve"> on 24/7</w:t>
      </w:r>
      <w:r>
        <w:t>, and that the monitored data indicated that the average percent time these bi-level fixtures were on in low power and high power modes were 62% and 38%, respectively. Page 4 of the ETAP Report indicated that</w:t>
      </w:r>
    </w:p>
    <w:p w:rsidR="0030698E" w:rsidRDefault="0030698E" w:rsidP="0030698E">
      <w:pPr>
        <w:pStyle w:val="NoSpacing"/>
      </w:pPr>
    </w:p>
    <w:p w:rsidR="0030698E" w:rsidRPr="00ED5740" w:rsidRDefault="0030698E" w:rsidP="0030698E">
      <w:pPr>
        <w:pStyle w:val="NoSpacing"/>
        <w:ind w:left="720"/>
        <w:jc w:val="both"/>
        <w:rPr>
          <w:i/>
        </w:rPr>
      </w:pPr>
      <w:r w:rsidRPr="00FA5432">
        <w:rPr>
          <w:i/>
        </w:rPr>
        <w:t>monitoring efforts provided crucial new empirical data on the performance of bi-level, or adaptive, lighting in parking garages. The data shows that bi-level light fixtures operated at the low output level 62% of the time in parking garages, which is a significantly higher percentage than previous industry assumptions. The measured data showing more time spent in low power mode means that actual savings for bi-level lighting were higher than originally estimated, and increasing the associated utility incentives could be justified if necessary to motivate more customers to install this measure.</w:t>
      </w:r>
    </w:p>
    <w:p w:rsidR="0030698E" w:rsidRDefault="0030698E" w:rsidP="0030698E">
      <w:pPr>
        <w:pStyle w:val="NoSpacing"/>
      </w:pPr>
    </w:p>
    <w:p w:rsidR="002D189D" w:rsidRDefault="002D189D" w:rsidP="002D189D">
      <w:pPr>
        <w:pStyle w:val="NoSpacing"/>
        <w:jc w:val="center"/>
        <w:rPr>
          <w:b/>
        </w:rPr>
      </w:pPr>
      <w:r>
        <w:rPr>
          <w:b/>
          <w:noProof/>
        </w:rPr>
        <w:drawing>
          <wp:anchor distT="0" distB="0" distL="114300" distR="114300" simplePos="0" relativeHeight="251658240" behindDoc="1" locked="0" layoutInCell="1" allowOverlap="1" wp14:anchorId="7ABD660C" wp14:editId="4F00DB16">
            <wp:simplePos x="0" y="0"/>
            <wp:positionH relativeFrom="column">
              <wp:posOffset>1046075</wp:posOffset>
            </wp:positionH>
            <wp:positionV relativeFrom="paragraph">
              <wp:posOffset>-1727</wp:posOffset>
            </wp:positionV>
            <wp:extent cx="3540556" cy="1465964"/>
            <wp:effectExtent l="0" t="0" r="3175"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0556" cy="14659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189D" w:rsidRDefault="002D189D" w:rsidP="0030698E">
      <w:pPr>
        <w:pStyle w:val="NoSpacing"/>
        <w:rPr>
          <w:b/>
        </w:rPr>
      </w:pPr>
    </w:p>
    <w:p w:rsidR="002D189D" w:rsidRDefault="002D189D" w:rsidP="0030698E">
      <w:pPr>
        <w:pStyle w:val="NoSpacing"/>
        <w:rPr>
          <w:b/>
        </w:rPr>
      </w:pPr>
    </w:p>
    <w:p w:rsidR="002D189D" w:rsidRDefault="002D189D" w:rsidP="0030698E">
      <w:pPr>
        <w:pStyle w:val="NoSpacing"/>
        <w:rPr>
          <w:b/>
        </w:rPr>
      </w:pPr>
    </w:p>
    <w:p w:rsidR="002D189D" w:rsidRDefault="002D189D" w:rsidP="0030698E">
      <w:pPr>
        <w:pStyle w:val="NoSpacing"/>
        <w:rPr>
          <w:b/>
        </w:rPr>
      </w:pPr>
    </w:p>
    <w:p w:rsidR="002D189D" w:rsidRDefault="002D189D" w:rsidP="0030698E">
      <w:pPr>
        <w:pStyle w:val="NoSpacing"/>
        <w:rPr>
          <w:b/>
        </w:rPr>
      </w:pPr>
    </w:p>
    <w:p w:rsidR="002D189D" w:rsidRDefault="002D189D" w:rsidP="0030698E">
      <w:pPr>
        <w:pStyle w:val="NoSpacing"/>
        <w:rPr>
          <w:b/>
        </w:rPr>
      </w:pPr>
    </w:p>
    <w:p w:rsidR="002D189D" w:rsidRDefault="002D189D" w:rsidP="0030698E">
      <w:pPr>
        <w:pStyle w:val="NoSpacing"/>
        <w:rPr>
          <w:b/>
        </w:rPr>
      </w:pPr>
    </w:p>
    <w:p w:rsidR="004C145B" w:rsidRDefault="00FA5432" w:rsidP="002D189D">
      <w:pPr>
        <w:pStyle w:val="NoSpacing"/>
        <w:jc w:val="center"/>
      </w:pPr>
      <w:r>
        <w:rPr>
          <w:b/>
        </w:rPr>
        <w:t>Figure 1</w:t>
      </w:r>
      <w:r w:rsidR="002D189D">
        <w:rPr>
          <w:b/>
        </w:rPr>
        <w:t xml:space="preserve">. </w:t>
      </w:r>
      <w:r w:rsidR="004A4CEF" w:rsidRPr="004A4CEF">
        <w:t>Bi-level Fixtures Monitored in the 2012 ETAP Report</w:t>
      </w:r>
    </w:p>
    <w:p w:rsidR="00FA5432" w:rsidRDefault="00FA5432" w:rsidP="00FA5432">
      <w:pPr>
        <w:spacing w:after="200" w:line="276" w:lineRule="auto"/>
      </w:pPr>
      <w:r>
        <w:rPr>
          <w:b/>
          <w:noProof/>
        </w:rPr>
        <w:drawing>
          <wp:anchor distT="0" distB="0" distL="114300" distR="114300" simplePos="0" relativeHeight="251659264" behindDoc="1" locked="0" layoutInCell="1" allowOverlap="1" wp14:anchorId="34CCC8C5" wp14:editId="2F3EF546">
            <wp:simplePos x="0" y="0"/>
            <wp:positionH relativeFrom="column">
              <wp:posOffset>1397000</wp:posOffset>
            </wp:positionH>
            <wp:positionV relativeFrom="paragraph">
              <wp:posOffset>253365</wp:posOffset>
            </wp:positionV>
            <wp:extent cx="3774440" cy="1878330"/>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4440" cy="1878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5432" w:rsidRDefault="00FA5432" w:rsidP="00FA5432">
      <w:pPr>
        <w:spacing w:after="200" w:line="276" w:lineRule="auto"/>
      </w:pPr>
    </w:p>
    <w:p w:rsidR="00FA5432" w:rsidRDefault="00FA5432" w:rsidP="00FA5432">
      <w:pPr>
        <w:spacing w:after="200" w:line="276" w:lineRule="auto"/>
      </w:pPr>
    </w:p>
    <w:p w:rsidR="00FA5432" w:rsidRDefault="00FA5432" w:rsidP="00FA5432">
      <w:pPr>
        <w:spacing w:after="200" w:line="276" w:lineRule="auto"/>
      </w:pPr>
    </w:p>
    <w:p w:rsidR="00FA5432" w:rsidRDefault="00FA5432" w:rsidP="00FA5432">
      <w:pPr>
        <w:spacing w:after="200" w:line="276" w:lineRule="auto"/>
      </w:pPr>
    </w:p>
    <w:p w:rsidR="00FA5432" w:rsidRDefault="00FA5432" w:rsidP="00FA5432">
      <w:pPr>
        <w:spacing w:after="200" w:line="276" w:lineRule="auto"/>
      </w:pPr>
    </w:p>
    <w:p w:rsidR="00FA5432" w:rsidRDefault="00FA5432" w:rsidP="00FA5432">
      <w:pPr>
        <w:spacing w:after="200" w:line="276" w:lineRule="auto"/>
      </w:pPr>
    </w:p>
    <w:p w:rsidR="004A4CEF" w:rsidRPr="00FA5432" w:rsidRDefault="00FA5432" w:rsidP="00FA5432">
      <w:pPr>
        <w:spacing w:after="200" w:line="276" w:lineRule="auto"/>
        <w:jc w:val="center"/>
        <w:rPr>
          <w:b/>
        </w:rPr>
      </w:pPr>
      <w:r>
        <w:rPr>
          <w:b/>
        </w:rPr>
        <w:t>Figure 2</w:t>
      </w:r>
      <w:r w:rsidR="004A4CEF">
        <w:rPr>
          <w:b/>
        </w:rPr>
        <w:t xml:space="preserve">. </w:t>
      </w:r>
      <w:r w:rsidR="004A4CEF" w:rsidRPr="004A4CEF">
        <w:t xml:space="preserve">Bi-level Fixtures </w:t>
      </w:r>
      <w:r w:rsidR="004A4CEF">
        <w:t>Percent Time in Low Power</w:t>
      </w:r>
      <w:r>
        <w:t xml:space="preserve"> in the 2012 ETAP Report</w:t>
      </w:r>
    </w:p>
    <w:p w:rsidR="00FA5432" w:rsidRDefault="00FA5432">
      <w:pPr>
        <w:spacing w:after="200" w:line="276" w:lineRule="auto"/>
        <w:rPr>
          <w:rFonts w:asciiTheme="majorHAnsi" w:eastAsiaTheme="majorEastAsia" w:hAnsiTheme="majorHAnsi" w:cstheme="majorBidi"/>
          <w:b/>
          <w:bCs/>
          <w:i/>
          <w:iCs/>
          <w:color w:val="4F81BD" w:themeColor="accent1"/>
        </w:rPr>
      </w:pPr>
      <w:r>
        <w:br w:type="page"/>
      </w:r>
    </w:p>
    <w:p w:rsidR="00987193" w:rsidRPr="00987193" w:rsidRDefault="002F4FD2" w:rsidP="00356AF3">
      <w:pPr>
        <w:pStyle w:val="Heading4"/>
      </w:pPr>
      <w:r>
        <w:lastRenderedPageBreak/>
        <w:t xml:space="preserve">Rated Life, </w:t>
      </w:r>
      <w:r w:rsidR="00987193" w:rsidRPr="00987193">
        <w:t>Equivalent Annual Operating Hours and EUL Calcu</w:t>
      </w:r>
      <w:r w:rsidR="0046005A">
        <w:t>l</w:t>
      </w:r>
      <w:r w:rsidR="00987193" w:rsidRPr="00987193">
        <w:t>ation</w:t>
      </w:r>
    </w:p>
    <w:p w:rsidR="002F4FD2" w:rsidRPr="00A74C92" w:rsidRDefault="002F4FD2" w:rsidP="00356AF3">
      <w:pPr>
        <w:pStyle w:val="Heading5"/>
      </w:pPr>
      <w:r w:rsidRPr="00A74C92">
        <w:t>Rated Life</w:t>
      </w:r>
    </w:p>
    <w:p w:rsidR="0034153C" w:rsidRDefault="002F4FD2" w:rsidP="0034153C">
      <w:pPr>
        <w:pStyle w:val="NoSpacing"/>
      </w:pPr>
      <w:r>
        <w:t>Rated life for DLC-listed products varies between 50,000 hours and 500,000 hours. However, the rated life for these products is assumed to be 50,000 hours, which is the minimum DLC specification.</w:t>
      </w:r>
      <w:r w:rsidR="0034153C">
        <w:t xml:space="preserve"> </w:t>
      </w:r>
      <w:r w:rsidR="002A483E">
        <w:t xml:space="preserve">The rated LED fixture life can be extended if fixtures are dimmed. </w:t>
      </w:r>
      <w:r w:rsidR="0034153C">
        <w:t>According to the National Lighting Product Information Program (NLPIP) Lighting Research Center</w:t>
      </w:r>
      <w:r w:rsidR="0034153C">
        <w:rPr>
          <w:rStyle w:val="EndnoteReference"/>
        </w:rPr>
        <w:endnoteReference w:id="2"/>
      </w:r>
      <w:r w:rsidR="0034153C">
        <w:t>,</w:t>
      </w:r>
      <w:r w:rsidR="0034153C" w:rsidRPr="0046005A">
        <w:t xml:space="preserve"> </w:t>
      </w:r>
    </w:p>
    <w:p w:rsidR="0034153C" w:rsidRDefault="0034153C" w:rsidP="0034153C">
      <w:pPr>
        <w:pStyle w:val="NoSpacing"/>
        <w:ind w:left="720"/>
      </w:pPr>
    </w:p>
    <w:p w:rsidR="0034153C" w:rsidRPr="00ED5740" w:rsidRDefault="0034153C" w:rsidP="0034153C">
      <w:pPr>
        <w:pStyle w:val="NoSpacing"/>
        <w:ind w:left="720"/>
        <w:rPr>
          <w:i/>
        </w:rPr>
      </w:pPr>
      <w:r w:rsidRPr="00BA5D89">
        <w:rPr>
          <w:i/>
        </w:rPr>
        <w:t>It has been observed that when some fluorescent lighting systems are frequently dimmed, they might exhibit reduced reliability and lamp life. This is not the case for LEDs. Life and light output degradation are determined largely by the junction temperature, with higher temperatures resulting in reduced life characteristics. Since dimming, either by reducing current or by pulse width modulation, results in lower overall junction temperatures, it will have no negative impact on LED life; it might even extend life.</w:t>
      </w:r>
      <w:r w:rsidRPr="00ED5740">
        <w:rPr>
          <w:i/>
        </w:rPr>
        <w:t xml:space="preserve"> </w:t>
      </w:r>
    </w:p>
    <w:p w:rsidR="00F249E2" w:rsidRDefault="00540EA9" w:rsidP="00F249E2">
      <w:pPr>
        <w:pStyle w:val="Heading5"/>
      </w:pPr>
      <w:r>
        <w:t>Day</w:t>
      </w:r>
      <w:r w:rsidR="00051A38">
        <w:t xml:space="preserve"> L</w:t>
      </w:r>
      <w:r>
        <w:t>it</w:t>
      </w:r>
      <w:r w:rsidR="00F249E2">
        <w:t xml:space="preserve"> Zones </w:t>
      </w:r>
      <w:r w:rsidR="00F249E2" w:rsidRPr="002F4FD2">
        <w:t>Annual Operating Hours</w:t>
      </w:r>
      <w:r w:rsidR="00F249E2" w:rsidRPr="00F249E2">
        <w:t xml:space="preserve"> </w:t>
      </w:r>
    </w:p>
    <w:p w:rsidR="00F249E2" w:rsidRDefault="00F249E2" w:rsidP="002F4FD2">
      <w:pPr>
        <w:pStyle w:val="NoSpacing"/>
      </w:pPr>
      <w:r>
        <w:t xml:space="preserve">Based on the 2012 ETAP Report (footnote page 35), the monitoring report indicated that </w:t>
      </w:r>
      <w:r w:rsidRPr="00F249E2">
        <w:t>7 PM – 7 AM reflects the average operating hours for a fixture with a photocell throughout the year.</w:t>
      </w:r>
      <w:r>
        <w:t xml:space="preserve"> Based on this 12 hour usage per day, the annual operating hours for </w:t>
      </w:r>
      <w:r w:rsidR="00540EA9">
        <w:t>day</w:t>
      </w:r>
      <w:r w:rsidR="00051A38">
        <w:t xml:space="preserve"> </w:t>
      </w:r>
      <w:r w:rsidR="00540EA9">
        <w:t>lit</w:t>
      </w:r>
      <w:r>
        <w:t xml:space="preserve"> zones are estimated at 12 hours/day and 365 days per year or </w:t>
      </w:r>
      <w:r w:rsidRPr="002614EE">
        <w:rPr>
          <w:b/>
          <w:u w:val="single"/>
        </w:rPr>
        <w:t>4,380 annual operating hours</w:t>
      </w:r>
      <w:r>
        <w:t>.</w:t>
      </w:r>
    </w:p>
    <w:p w:rsidR="002F4FD2" w:rsidRPr="002F4FD2" w:rsidRDefault="00F249E2" w:rsidP="00356AF3">
      <w:pPr>
        <w:pStyle w:val="Heading5"/>
      </w:pPr>
      <w:r>
        <w:t>Non-</w:t>
      </w:r>
      <w:r w:rsidR="00540EA9">
        <w:t>Day</w:t>
      </w:r>
      <w:r w:rsidR="00051A38">
        <w:t xml:space="preserve"> Li</w:t>
      </w:r>
      <w:r w:rsidR="00540EA9">
        <w:t>t</w:t>
      </w:r>
      <w:r>
        <w:t xml:space="preserve"> Zones </w:t>
      </w:r>
      <w:r w:rsidR="002F4FD2" w:rsidRPr="002F4FD2">
        <w:t>Annual Operating Hours</w:t>
      </w:r>
    </w:p>
    <w:p w:rsidR="0046005A" w:rsidRDefault="0046005A" w:rsidP="00356AF3">
      <w:pPr>
        <w:pStyle w:val="NoSpacing"/>
      </w:pPr>
      <w:r>
        <w:t>Based on the 2012 ETAP Report</w:t>
      </w:r>
      <w:r w:rsidR="003D30B4">
        <w:t xml:space="preserve"> (page 33)</w:t>
      </w:r>
      <w:r w:rsidR="0030698E">
        <w:t xml:space="preserve">, the bi-level fixture monitored data indicated that high power mode (100% power) </w:t>
      </w:r>
      <w:r w:rsidR="003D30B4">
        <w:t xml:space="preserve">on </w:t>
      </w:r>
      <w:r w:rsidR="0030698E">
        <w:t xml:space="preserve">average occurred 38% of the time or 3,329 </w:t>
      </w:r>
      <w:r w:rsidR="00BA5D89">
        <w:t xml:space="preserve">annual </w:t>
      </w:r>
      <w:r w:rsidR="0030698E">
        <w:t xml:space="preserve">hours. The </w:t>
      </w:r>
      <w:r w:rsidR="00BA5D89">
        <w:t xml:space="preserve">2012 </w:t>
      </w:r>
      <w:r w:rsidR="0030698E">
        <w:t xml:space="preserve">ETAP Report also indicated that low power mode occurred the remaining 62% of the time or 5,431 </w:t>
      </w:r>
      <w:r w:rsidR="00BA5D89">
        <w:t xml:space="preserve">annual </w:t>
      </w:r>
      <w:r w:rsidR="0030698E">
        <w:t>hours</w:t>
      </w:r>
      <w:r w:rsidR="00F249E2">
        <w:t>.</w:t>
      </w:r>
      <w:r>
        <w:t xml:space="preserve"> </w:t>
      </w:r>
    </w:p>
    <w:p w:rsidR="00356AF3" w:rsidRDefault="00540EA9" w:rsidP="00356AF3">
      <w:pPr>
        <w:pStyle w:val="Heading5"/>
      </w:pPr>
      <w:r>
        <w:t>Day</w:t>
      </w:r>
      <w:r w:rsidR="00051A38">
        <w:t xml:space="preserve"> L</w:t>
      </w:r>
      <w:r>
        <w:t>it</w:t>
      </w:r>
      <w:r w:rsidR="00356AF3">
        <w:t xml:space="preserve"> Zones with Photocells</w:t>
      </w:r>
      <w:r w:rsidR="008B3C6A">
        <w:t xml:space="preserve"> EUL Calculation</w:t>
      </w:r>
      <w:r w:rsidR="00356AF3">
        <w:t xml:space="preserve"> </w:t>
      </w:r>
    </w:p>
    <w:p w:rsidR="00BA5D89" w:rsidRDefault="00356AF3" w:rsidP="00356AF3">
      <w:pPr>
        <w:pStyle w:val="NoSpacing"/>
      </w:pPr>
      <w:r>
        <w:t xml:space="preserve">The 2012 ETAP Report </w:t>
      </w:r>
      <w:r w:rsidR="003D30B4">
        <w:t xml:space="preserve">(page 35) </w:t>
      </w:r>
      <w:r>
        <w:t>indicated</w:t>
      </w:r>
      <w:r w:rsidR="003D30B4">
        <w:t xml:space="preserve"> that</w:t>
      </w:r>
      <w:r>
        <w:t xml:space="preserve"> </w:t>
      </w:r>
    </w:p>
    <w:p w:rsidR="00BA5D89" w:rsidRDefault="00BA5D89" w:rsidP="00356AF3">
      <w:pPr>
        <w:pStyle w:val="NoSpacing"/>
      </w:pPr>
    </w:p>
    <w:p w:rsidR="0034153C" w:rsidRPr="00BA5D89" w:rsidRDefault="00356AF3" w:rsidP="00BA5D89">
      <w:pPr>
        <w:pStyle w:val="NoSpacing"/>
        <w:ind w:left="720"/>
        <w:rPr>
          <w:i/>
        </w:rPr>
      </w:pPr>
      <w:r w:rsidRPr="00BA5D89">
        <w:rPr>
          <w:i/>
        </w:rPr>
        <w:t>while the majority of parking garage fixtures are on 24/7, some fixtures are photocell controlled and do not operate during daylight hours. There was a substantial difference in percent of time in low-power mode between day (7 AM – 7 PM) and night (7 PM – 7 AM). On average, garage fixtures</w:t>
      </w:r>
      <w:r w:rsidR="002614EE" w:rsidRPr="00BA5D89">
        <w:rPr>
          <w:i/>
        </w:rPr>
        <w:t xml:space="preserve"> </w:t>
      </w:r>
      <w:r w:rsidRPr="00BA5D89">
        <w:rPr>
          <w:i/>
        </w:rPr>
        <w:t xml:space="preserve">were in low power mode for 47% of the day and 74% of the night. This variation has implications for night-only fixtures, because they operate in low power mode roughly 12% more than a standard 24/7 fixture (74% vs 62%). When installing photocell-controlled night-only fixtures, </w:t>
      </w:r>
      <w:r w:rsidR="00BA5D89" w:rsidRPr="00BA5D89">
        <w:rPr>
          <w:i/>
        </w:rPr>
        <w:t>it is</w:t>
      </w:r>
      <w:r w:rsidR="00646D61" w:rsidRPr="00BA5D89">
        <w:rPr>
          <w:i/>
        </w:rPr>
        <w:t xml:space="preserve"> </w:t>
      </w:r>
      <w:r w:rsidRPr="00BA5D89">
        <w:rPr>
          <w:i/>
        </w:rPr>
        <w:t>recommended that decision makers assume a higher percent time in low-power mode than they would for a 24/7 fixture.</w:t>
      </w:r>
      <w:r w:rsidR="002614EE" w:rsidRPr="00BA5D89">
        <w:rPr>
          <w:i/>
        </w:rPr>
        <w:t xml:space="preserve"> </w:t>
      </w:r>
    </w:p>
    <w:p w:rsidR="0034153C" w:rsidRDefault="0034153C" w:rsidP="00356AF3">
      <w:pPr>
        <w:pStyle w:val="NoSpacing"/>
      </w:pPr>
    </w:p>
    <w:p w:rsidR="00356AF3" w:rsidRDefault="002614EE" w:rsidP="00356AF3">
      <w:pPr>
        <w:pStyle w:val="NoSpacing"/>
      </w:pPr>
      <w:r>
        <w:t xml:space="preserve">Thus, fixtures with photocell controls in </w:t>
      </w:r>
      <w:r w:rsidR="00540EA9">
        <w:t>day</w:t>
      </w:r>
      <w:r w:rsidR="00051A38">
        <w:t xml:space="preserve"> </w:t>
      </w:r>
      <w:r w:rsidR="00540EA9">
        <w:t>lit</w:t>
      </w:r>
      <w:r>
        <w:t xml:space="preserve"> zones are estimated to be in </w:t>
      </w:r>
      <w:r w:rsidR="005E38DA">
        <w:t xml:space="preserve">high power mode for an estimated 1,139 hours (4,380 hours*26%) and </w:t>
      </w:r>
      <w:r>
        <w:t>low power mode 3,241 annual hours (4,380 hours*74%)</w:t>
      </w:r>
      <w:r w:rsidR="005E38DA">
        <w:t>.</w:t>
      </w:r>
    </w:p>
    <w:p w:rsidR="00646D61" w:rsidRDefault="002614EE" w:rsidP="005E38DA">
      <w:pPr>
        <w:pStyle w:val="NoSpacing"/>
      </w:pPr>
      <w:r w:rsidRPr="008B3C6A">
        <w:t>At 50% power</w:t>
      </w:r>
      <w:r>
        <w:t xml:space="preserve"> during low power mode</w:t>
      </w:r>
      <w:r w:rsidRPr="008B3C6A">
        <w:t xml:space="preserve">, the life of the </w:t>
      </w:r>
      <w:r w:rsidR="00BA5D89">
        <w:t xml:space="preserve">Linear </w:t>
      </w:r>
      <w:r w:rsidRPr="008B3C6A">
        <w:t xml:space="preserve">LED retrofit kit fixture </w:t>
      </w:r>
      <w:r>
        <w:t xml:space="preserve">in </w:t>
      </w:r>
      <w:r w:rsidR="00540EA9">
        <w:t>day</w:t>
      </w:r>
      <w:r w:rsidR="00051A38">
        <w:t xml:space="preserve"> </w:t>
      </w:r>
      <w:r w:rsidR="00540EA9">
        <w:t>lit</w:t>
      </w:r>
      <w:r>
        <w:t xml:space="preserve"> zones </w:t>
      </w:r>
      <w:r w:rsidR="000278ED">
        <w:t>can</w:t>
      </w:r>
      <w:r w:rsidRPr="008B3C6A">
        <w:t xml:space="preserve"> be extended and </w:t>
      </w:r>
      <w:r w:rsidR="00646D61">
        <w:t xml:space="preserve">mathematically </w:t>
      </w:r>
      <w:r w:rsidRPr="008B3C6A">
        <w:t>equate to</w:t>
      </w:r>
      <w:r>
        <w:t xml:space="preserve"> half of </w:t>
      </w:r>
      <w:r w:rsidR="005E38DA">
        <w:t>3,241</w:t>
      </w:r>
      <w:r w:rsidRPr="008B3C6A">
        <w:t xml:space="preserve"> </w:t>
      </w:r>
      <w:r w:rsidR="005E38DA">
        <w:t xml:space="preserve">hours or 1,621 </w:t>
      </w:r>
      <w:r w:rsidR="00646D61">
        <w:t xml:space="preserve">equivalent </w:t>
      </w:r>
      <w:r w:rsidR="005E38DA">
        <w:t xml:space="preserve">hours. Therefore, for EUL calculation purposes, the equivalent average annual hours for this </w:t>
      </w:r>
      <w:r w:rsidR="0034153C">
        <w:t xml:space="preserve">LED </w:t>
      </w:r>
      <w:r w:rsidR="005E38DA">
        <w:t xml:space="preserve">measure in </w:t>
      </w:r>
      <w:r w:rsidR="00540EA9">
        <w:t>day</w:t>
      </w:r>
      <w:r w:rsidR="00051A38">
        <w:t xml:space="preserve"> </w:t>
      </w:r>
      <w:r w:rsidR="00540EA9">
        <w:t>lit</w:t>
      </w:r>
      <w:r w:rsidR="005E38DA">
        <w:t xml:space="preserve"> zones are estimated at 2,760 annual operating hours</w:t>
      </w:r>
      <w:r w:rsidR="00BA5D89">
        <w:t xml:space="preserve"> (1,139 hours + 1,621 hours)</w:t>
      </w:r>
      <w:r w:rsidR="005E38DA">
        <w:t xml:space="preserve">. </w:t>
      </w:r>
    </w:p>
    <w:p w:rsidR="00646D61" w:rsidRDefault="00646D61" w:rsidP="005E38DA">
      <w:pPr>
        <w:pStyle w:val="NoSpacing"/>
      </w:pPr>
    </w:p>
    <w:p w:rsidR="005E38DA" w:rsidRDefault="005E38DA" w:rsidP="005E38DA">
      <w:pPr>
        <w:pStyle w:val="NoSpacing"/>
      </w:pPr>
      <w:r>
        <w:t xml:space="preserve">This calculation was based on the bi-level monitored data showing that </w:t>
      </w:r>
      <w:r w:rsidR="0034153C">
        <w:t xml:space="preserve">LED </w:t>
      </w:r>
      <w:r>
        <w:t xml:space="preserve">parking garage fixtures in </w:t>
      </w:r>
      <w:r w:rsidR="00540EA9">
        <w:t>day</w:t>
      </w:r>
      <w:r w:rsidR="00051A38">
        <w:t xml:space="preserve"> </w:t>
      </w:r>
      <w:r w:rsidR="00540EA9">
        <w:t>lit</w:t>
      </w:r>
      <w:r>
        <w:t xml:space="preserve"> zones operated in high power mode for 1,139 </w:t>
      </w:r>
      <w:r w:rsidR="00646D61">
        <w:t xml:space="preserve">annual </w:t>
      </w:r>
      <w:r>
        <w:t xml:space="preserve">hours and at low power mode </w:t>
      </w:r>
      <w:r w:rsidR="0034153C">
        <w:t>for</w:t>
      </w:r>
      <w:r>
        <w:t xml:space="preserve"> 1,621 equivalent </w:t>
      </w:r>
      <w:r w:rsidR="00646D61">
        <w:t xml:space="preserve">annual </w:t>
      </w:r>
      <w:r>
        <w:t>hours for a</w:t>
      </w:r>
      <w:r w:rsidR="00646D61">
        <w:t xml:space="preserve"> total </w:t>
      </w:r>
      <w:r w:rsidR="0034153C">
        <w:t xml:space="preserve">of 2,760 </w:t>
      </w:r>
      <w:r>
        <w:t xml:space="preserve">equivalent average annual operating </w:t>
      </w:r>
      <w:r w:rsidR="00646D61">
        <w:t>hours</w:t>
      </w:r>
      <w:r>
        <w:t xml:space="preserve">. </w:t>
      </w:r>
    </w:p>
    <w:p w:rsidR="005E38DA" w:rsidRDefault="005E38DA" w:rsidP="005E38DA">
      <w:pPr>
        <w:pStyle w:val="NoSpacing"/>
      </w:pPr>
    </w:p>
    <w:p w:rsidR="005E38DA" w:rsidRDefault="005E38DA" w:rsidP="005E38DA">
      <w:pPr>
        <w:pStyle w:val="NoSpacing"/>
        <w:ind w:firstLine="720"/>
      </w:pPr>
      <w:r>
        <w:t>EUL = (DLC-Minimum Fixture Life (hours)) / (Average Operating Hours per Year)</w:t>
      </w:r>
    </w:p>
    <w:p w:rsidR="005E38DA" w:rsidRDefault="005E38DA" w:rsidP="005E38DA">
      <w:pPr>
        <w:pStyle w:val="NoSpacing"/>
      </w:pPr>
      <w:r>
        <w:tab/>
        <w:t xml:space="preserve">EUL = (50,000 life hours) / (1,139 high power mode </w:t>
      </w:r>
      <w:r w:rsidR="00540EA9">
        <w:t>hrs.</w:t>
      </w:r>
      <w:r>
        <w:t xml:space="preserve"> + 1,621 low power mode </w:t>
      </w:r>
      <w:r w:rsidR="00540EA9">
        <w:t>hrs.</w:t>
      </w:r>
      <w:r>
        <w:t xml:space="preserve">) </w:t>
      </w:r>
    </w:p>
    <w:p w:rsidR="005E38DA" w:rsidRDefault="005E38DA" w:rsidP="005E38DA">
      <w:pPr>
        <w:pStyle w:val="NoSpacing"/>
      </w:pPr>
      <w:r>
        <w:tab/>
        <w:t>EUL = (50,000 life hours) / (</w:t>
      </w:r>
      <w:r w:rsidR="00646D61">
        <w:t>2,760</w:t>
      </w:r>
      <w:r>
        <w:t xml:space="preserve"> equivalent average annual </w:t>
      </w:r>
      <w:r w:rsidR="00540EA9">
        <w:t>hrs.</w:t>
      </w:r>
      <w:r>
        <w:t xml:space="preserve">) = </w:t>
      </w:r>
      <w:r w:rsidR="00646D61">
        <w:t>18.1</w:t>
      </w:r>
      <w:r>
        <w:t xml:space="preserve"> </w:t>
      </w:r>
      <w:r w:rsidR="00540EA9">
        <w:t>yrs.</w:t>
      </w:r>
    </w:p>
    <w:p w:rsidR="00646D61" w:rsidRDefault="00646D61" w:rsidP="005E38DA">
      <w:pPr>
        <w:pStyle w:val="NoSpacing"/>
      </w:pPr>
    </w:p>
    <w:p w:rsidR="00646D61" w:rsidRDefault="00646D61" w:rsidP="005E38DA">
      <w:pPr>
        <w:pStyle w:val="NoSpacing"/>
      </w:pPr>
      <w:r>
        <w:t xml:space="preserve">Within the </w:t>
      </w:r>
      <w:r w:rsidR="00BA5D89">
        <w:t>DEER 2016, READI v2.4.5 tool</w:t>
      </w:r>
      <w:r>
        <w:t xml:space="preserve">, the closest EUL ID </w:t>
      </w:r>
      <w:r w:rsidR="00BA5D89">
        <w:t xml:space="preserve">applicable </w:t>
      </w:r>
      <w:r>
        <w:t>for this measure is</w:t>
      </w:r>
      <w:r w:rsidR="0034153C">
        <w:t xml:space="preserve"> </w:t>
      </w:r>
      <w:r w:rsidR="00BA5D89">
        <w:t xml:space="preserve">the </w:t>
      </w:r>
      <w:r w:rsidR="0034153C" w:rsidRPr="0034153C">
        <w:t>ILtg-Lfluor-fix</w:t>
      </w:r>
      <w:r w:rsidR="0034153C">
        <w:t xml:space="preserve"> </w:t>
      </w:r>
      <w:r w:rsidR="00BA5D89">
        <w:t xml:space="preserve">EUD ID </w:t>
      </w:r>
      <w:r w:rsidR="0034153C">
        <w:t>with an EUL value of 16 years. Because the EUL calculation</w:t>
      </w:r>
      <w:r w:rsidR="00BA5D89">
        <w:t xml:space="preserve"> for Linear LED retrofit kit fixtures in day lit zones</w:t>
      </w:r>
      <w:r w:rsidR="0034153C">
        <w:t xml:space="preserve"> exceeds the DEER value for similar linear fluorescent fixtures, </w:t>
      </w:r>
      <w:r w:rsidR="0034153C" w:rsidRPr="008F4F3C">
        <w:rPr>
          <w:b/>
        </w:rPr>
        <w:t xml:space="preserve">this </w:t>
      </w:r>
      <w:r w:rsidR="008F4F3C" w:rsidRPr="008F4F3C">
        <w:rPr>
          <w:b/>
        </w:rPr>
        <w:t>workpaper</w:t>
      </w:r>
      <w:r w:rsidR="0034153C" w:rsidRPr="008F4F3C">
        <w:rPr>
          <w:b/>
        </w:rPr>
        <w:t xml:space="preserve"> </w:t>
      </w:r>
      <w:r w:rsidR="00DC33E0">
        <w:rPr>
          <w:b/>
        </w:rPr>
        <w:t xml:space="preserve">conservatively </w:t>
      </w:r>
      <w:r w:rsidR="0034153C" w:rsidRPr="008F4F3C">
        <w:rPr>
          <w:b/>
        </w:rPr>
        <w:t xml:space="preserve">assumes an EUL value of 16 years for </w:t>
      </w:r>
      <w:r w:rsidR="00BA5D89">
        <w:rPr>
          <w:b/>
        </w:rPr>
        <w:t xml:space="preserve">Linear </w:t>
      </w:r>
      <w:r w:rsidR="0034153C" w:rsidRPr="008F4F3C">
        <w:rPr>
          <w:b/>
        </w:rPr>
        <w:t xml:space="preserve">LED </w:t>
      </w:r>
      <w:r w:rsidR="00BA5D89">
        <w:rPr>
          <w:b/>
        </w:rPr>
        <w:t xml:space="preserve">retrofit kit </w:t>
      </w:r>
      <w:r w:rsidR="0034153C" w:rsidRPr="008F4F3C">
        <w:rPr>
          <w:b/>
        </w:rPr>
        <w:t xml:space="preserve">parking garage fixtures in </w:t>
      </w:r>
      <w:r w:rsidR="00540EA9" w:rsidRPr="008F4F3C">
        <w:rPr>
          <w:b/>
        </w:rPr>
        <w:t>day</w:t>
      </w:r>
      <w:r w:rsidR="00051A38">
        <w:rPr>
          <w:b/>
        </w:rPr>
        <w:t xml:space="preserve"> </w:t>
      </w:r>
      <w:r w:rsidR="00540EA9" w:rsidRPr="008F4F3C">
        <w:rPr>
          <w:b/>
        </w:rPr>
        <w:t>lit</w:t>
      </w:r>
      <w:r w:rsidR="0034153C" w:rsidRPr="008F4F3C">
        <w:rPr>
          <w:b/>
        </w:rPr>
        <w:t xml:space="preserve"> zones.</w:t>
      </w:r>
    </w:p>
    <w:p w:rsidR="002614EE" w:rsidRPr="002F4FD2" w:rsidRDefault="002614EE" w:rsidP="002614EE">
      <w:pPr>
        <w:pStyle w:val="Heading5"/>
      </w:pPr>
      <w:r>
        <w:t>Non-</w:t>
      </w:r>
      <w:r w:rsidR="00540EA9">
        <w:t>Day</w:t>
      </w:r>
      <w:r w:rsidR="00051A38">
        <w:t xml:space="preserve"> L</w:t>
      </w:r>
      <w:r w:rsidR="00540EA9">
        <w:t>it</w:t>
      </w:r>
      <w:r>
        <w:t xml:space="preserve"> Zones with No Photocells </w:t>
      </w:r>
      <w:r w:rsidRPr="002F4FD2">
        <w:t>EUL Calculation</w:t>
      </w:r>
    </w:p>
    <w:p w:rsidR="0034153C" w:rsidRDefault="00EF12C7" w:rsidP="0046005A">
      <w:pPr>
        <w:pStyle w:val="NoSpacing"/>
      </w:pPr>
      <w:r>
        <w:t>At 50% power</w:t>
      </w:r>
      <w:r w:rsidR="002614EE">
        <w:t xml:space="preserve"> during low power mode</w:t>
      </w:r>
      <w:r>
        <w:t xml:space="preserve">, the life of the </w:t>
      </w:r>
      <w:r w:rsidR="00461B2D">
        <w:t xml:space="preserve">Linear </w:t>
      </w:r>
      <w:r>
        <w:t xml:space="preserve">LED </w:t>
      </w:r>
      <w:r w:rsidR="0046005A">
        <w:t xml:space="preserve">retrofit kit </w:t>
      </w:r>
      <w:r>
        <w:t xml:space="preserve">fixture </w:t>
      </w:r>
      <w:r w:rsidR="000278ED">
        <w:t>can</w:t>
      </w:r>
      <w:r>
        <w:t xml:space="preserve"> be extended and </w:t>
      </w:r>
      <w:r w:rsidR="0034153C">
        <w:t xml:space="preserve">mathematically </w:t>
      </w:r>
      <w:r>
        <w:t>equate to half of 5,431 hours or 2,716 hours.</w:t>
      </w:r>
      <w:r w:rsidR="00E12B1B">
        <w:t xml:space="preserve"> Therefore, for EUL calculation purposes, the</w:t>
      </w:r>
      <w:r>
        <w:t xml:space="preserve"> equivalent average annual hours for this measure </w:t>
      </w:r>
      <w:r w:rsidR="0046005A">
        <w:t>are estimated at</w:t>
      </w:r>
      <w:r>
        <w:t xml:space="preserve"> 6,045 </w:t>
      </w:r>
      <w:r w:rsidR="0046005A">
        <w:t xml:space="preserve">annual operating </w:t>
      </w:r>
      <w:r>
        <w:t>hours</w:t>
      </w:r>
      <w:r w:rsidR="00461B2D">
        <w:t xml:space="preserve"> as shown below</w:t>
      </w:r>
      <w:r w:rsidR="0034153C">
        <w:t>.</w:t>
      </w:r>
    </w:p>
    <w:p w:rsidR="0034153C" w:rsidRDefault="0034153C" w:rsidP="0046005A">
      <w:pPr>
        <w:pStyle w:val="NoSpacing"/>
      </w:pPr>
    </w:p>
    <w:p w:rsidR="00EF12C7" w:rsidRDefault="0034153C" w:rsidP="0046005A">
      <w:pPr>
        <w:pStyle w:val="NoSpacing"/>
      </w:pPr>
      <w:r>
        <w:t>This calculation was b</w:t>
      </w:r>
      <w:r w:rsidR="0046005A">
        <w:t xml:space="preserve">ased on the </w:t>
      </w:r>
      <w:r w:rsidR="00E12B1B">
        <w:t xml:space="preserve">bi-level monitored data showing that </w:t>
      </w:r>
      <w:r>
        <w:t xml:space="preserve">LED </w:t>
      </w:r>
      <w:r w:rsidR="00E12B1B">
        <w:t xml:space="preserve">parking garage fixtures </w:t>
      </w:r>
      <w:r>
        <w:t>in non-</w:t>
      </w:r>
      <w:r w:rsidR="00540EA9">
        <w:t>day</w:t>
      </w:r>
      <w:r w:rsidR="00051A38">
        <w:t xml:space="preserve"> </w:t>
      </w:r>
      <w:r w:rsidR="00540EA9">
        <w:t>lit</w:t>
      </w:r>
      <w:r>
        <w:t xml:space="preserve"> zones </w:t>
      </w:r>
      <w:r w:rsidR="00E12B1B">
        <w:t xml:space="preserve">operated in high power mode </w:t>
      </w:r>
      <w:r w:rsidR="00EF12C7">
        <w:t xml:space="preserve">3,329 </w:t>
      </w:r>
      <w:r>
        <w:t xml:space="preserve">annual </w:t>
      </w:r>
      <w:r w:rsidR="00E12B1B">
        <w:t xml:space="preserve">hours and at low power mode </w:t>
      </w:r>
      <w:r>
        <w:t>for</w:t>
      </w:r>
      <w:r w:rsidR="00EF12C7">
        <w:t xml:space="preserve"> 2,715 </w:t>
      </w:r>
      <w:r w:rsidR="00E12B1B">
        <w:t xml:space="preserve">equivalent </w:t>
      </w:r>
      <w:r>
        <w:t xml:space="preserve">annual </w:t>
      </w:r>
      <w:r w:rsidR="00EF12C7">
        <w:t xml:space="preserve">hours </w:t>
      </w:r>
      <w:r w:rsidR="00E12B1B">
        <w:t>for</w:t>
      </w:r>
      <w:r w:rsidR="00EF12C7">
        <w:t xml:space="preserve"> a total of 6,045 equivalent average annual operating hours. </w:t>
      </w:r>
    </w:p>
    <w:p w:rsidR="00EF12C7" w:rsidRDefault="00EF12C7" w:rsidP="00EF12C7">
      <w:pPr>
        <w:pStyle w:val="NoSpacing"/>
      </w:pPr>
    </w:p>
    <w:p w:rsidR="00EF12C7" w:rsidRDefault="00EF12C7" w:rsidP="00EF12C7">
      <w:pPr>
        <w:pStyle w:val="NoSpacing"/>
        <w:ind w:firstLine="720"/>
      </w:pPr>
      <w:r>
        <w:t>EUL = (DLC-Minimum Fixture Life (hours)) / (Average Operating Hours per Year)</w:t>
      </w:r>
    </w:p>
    <w:p w:rsidR="00EF12C7" w:rsidRDefault="00EF12C7" w:rsidP="00EF12C7">
      <w:pPr>
        <w:pStyle w:val="NoSpacing"/>
      </w:pPr>
      <w:r>
        <w:tab/>
        <w:t xml:space="preserve">EUL = (50,000 life hours) / (3,329 high power mode </w:t>
      </w:r>
      <w:r w:rsidR="00540EA9">
        <w:t>hrs.</w:t>
      </w:r>
      <w:r>
        <w:t xml:space="preserve"> + 2,716 low power mode </w:t>
      </w:r>
      <w:r w:rsidR="00540EA9">
        <w:t>hrs.</w:t>
      </w:r>
      <w:r>
        <w:t xml:space="preserve">) </w:t>
      </w:r>
    </w:p>
    <w:p w:rsidR="00EF12C7" w:rsidRPr="008F4F3C" w:rsidRDefault="00EF12C7" w:rsidP="00EF12C7">
      <w:pPr>
        <w:pStyle w:val="NoSpacing"/>
        <w:rPr>
          <w:b/>
        </w:rPr>
      </w:pPr>
      <w:r>
        <w:tab/>
      </w:r>
      <w:r w:rsidRPr="008F4F3C">
        <w:rPr>
          <w:b/>
        </w:rPr>
        <w:t xml:space="preserve">EUL = (50,000 life hours) / (6,045 equivalent average annual </w:t>
      </w:r>
      <w:r w:rsidR="00540EA9" w:rsidRPr="008F4F3C">
        <w:rPr>
          <w:b/>
        </w:rPr>
        <w:t>hrs.</w:t>
      </w:r>
      <w:r w:rsidRPr="008F4F3C">
        <w:rPr>
          <w:b/>
        </w:rPr>
        <w:t xml:space="preserve">) = 8.3 </w:t>
      </w:r>
      <w:r w:rsidR="00540EA9" w:rsidRPr="008F4F3C">
        <w:rPr>
          <w:b/>
        </w:rPr>
        <w:t>yrs.</w:t>
      </w:r>
    </w:p>
    <w:p w:rsidR="00E12B1B" w:rsidRDefault="00E12B1B" w:rsidP="00E12B1B">
      <w:pPr>
        <w:pStyle w:val="Heading3"/>
        <w:rPr>
          <w:rFonts w:asciiTheme="minorHAnsi" w:hAnsiTheme="minorHAnsi"/>
        </w:rPr>
      </w:pPr>
      <w:r>
        <w:rPr>
          <w:rFonts w:asciiTheme="minorHAnsi" w:hAnsiTheme="minorHAnsi"/>
        </w:rPr>
        <w:t xml:space="preserve">Studies Supporting Baseline Assumptions and </w:t>
      </w:r>
      <w:r w:rsidR="000278ED">
        <w:rPr>
          <w:rFonts w:asciiTheme="minorHAnsi" w:hAnsiTheme="minorHAnsi"/>
        </w:rPr>
        <w:t xml:space="preserve">Industry </w:t>
      </w:r>
      <w:r>
        <w:rPr>
          <w:rFonts w:asciiTheme="minorHAnsi" w:hAnsiTheme="minorHAnsi"/>
        </w:rPr>
        <w:t>Standard Practice</w:t>
      </w:r>
    </w:p>
    <w:p w:rsidR="00D23156" w:rsidRPr="00D23156" w:rsidRDefault="00D23156" w:rsidP="00D23156">
      <w:pPr>
        <w:rPr>
          <w:rFonts w:cs="Arial"/>
          <w:b/>
          <w:szCs w:val="22"/>
        </w:rPr>
      </w:pPr>
      <w:r w:rsidRPr="00D23156">
        <w:rPr>
          <w:rFonts w:cs="Arial"/>
          <w:b/>
          <w:szCs w:val="22"/>
        </w:rPr>
        <w:t>1.5.5 DOE’s July 2015 Adoption of Light-Emitting Diodes in Common Lighting Applications</w:t>
      </w:r>
    </w:p>
    <w:p w:rsidR="00D23156" w:rsidRDefault="00E12B1B" w:rsidP="00D23156">
      <w:pPr>
        <w:rPr>
          <w:rFonts w:cs="Arial"/>
          <w:szCs w:val="22"/>
        </w:rPr>
      </w:pPr>
      <w:r w:rsidRPr="008D1722">
        <w:rPr>
          <w:rFonts w:cs="Arial"/>
          <w:szCs w:val="22"/>
        </w:rPr>
        <w:t xml:space="preserve">The DOE’s </w:t>
      </w:r>
      <w:r>
        <w:rPr>
          <w:rFonts w:cs="Arial"/>
          <w:szCs w:val="22"/>
        </w:rPr>
        <w:t>July 2015</w:t>
      </w:r>
      <w:r w:rsidRPr="008D1722">
        <w:rPr>
          <w:rFonts w:cs="Arial"/>
          <w:szCs w:val="22"/>
        </w:rPr>
        <w:t xml:space="preserve"> </w:t>
      </w:r>
      <w:r w:rsidRPr="00D23156">
        <w:rPr>
          <w:rFonts w:cs="Arial"/>
          <w:szCs w:val="22"/>
        </w:rPr>
        <w:t>Adoption of Light-Emitting Diodes in Common Lighting Applications</w:t>
      </w:r>
      <w:r w:rsidRPr="008D1722">
        <w:rPr>
          <w:rFonts w:cs="Arial"/>
          <w:szCs w:val="22"/>
        </w:rPr>
        <w:t xml:space="preserve"> </w:t>
      </w:r>
      <w:r>
        <w:rPr>
          <w:rFonts w:cs="Arial"/>
          <w:szCs w:val="22"/>
        </w:rPr>
        <w:t>study</w:t>
      </w:r>
      <w:r w:rsidR="00D23156">
        <w:rPr>
          <w:rFonts w:cs="Arial"/>
          <w:szCs w:val="22"/>
        </w:rPr>
        <w:t xml:space="preserve"> indicated that</w:t>
      </w:r>
      <w:r w:rsidR="00D23156" w:rsidRPr="00D23156">
        <w:t xml:space="preserve"> </w:t>
      </w:r>
      <w:r w:rsidR="002D189D">
        <w:rPr>
          <w:rFonts w:cs="Arial"/>
          <w:szCs w:val="22"/>
        </w:rPr>
        <w:t>w</w:t>
      </w:r>
      <w:r w:rsidR="00D23156" w:rsidRPr="00D23156">
        <w:rPr>
          <w:rFonts w:cs="Arial"/>
          <w:szCs w:val="22"/>
        </w:rPr>
        <w:t>hile HID lamps are used for lighting</w:t>
      </w:r>
      <w:r w:rsidR="00D23156">
        <w:rPr>
          <w:rFonts w:cs="Arial"/>
          <w:szCs w:val="22"/>
        </w:rPr>
        <w:t xml:space="preserve"> parking garage structures, the </w:t>
      </w:r>
      <w:r w:rsidR="00D23156" w:rsidRPr="00D23156">
        <w:rPr>
          <w:rFonts w:cs="Arial"/>
          <w:szCs w:val="22"/>
        </w:rPr>
        <w:t>low-mounting heights of lighting fixtures require a large number of fixtures in order to meet</w:t>
      </w:r>
      <w:r w:rsidR="00D23156">
        <w:rPr>
          <w:rFonts w:cs="Arial"/>
          <w:szCs w:val="22"/>
        </w:rPr>
        <w:t xml:space="preserve"> </w:t>
      </w:r>
      <w:r w:rsidR="00D23156" w:rsidRPr="00D23156">
        <w:rPr>
          <w:rFonts w:cs="Arial"/>
          <w:szCs w:val="22"/>
        </w:rPr>
        <w:t>desired illumination distributions. These conditions favor linear fluorescent fixtures, although</w:t>
      </w:r>
      <w:r w:rsidR="00D23156">
        <w:rPr>
          <w:rFonts w:cs="Arial"/>
          <w:szCs w:val="22"/>
        </w:rPr>
        <w:t xml:space="preserve"> </w:t>
      </w:r>
      <w:r w:rsidR="00D23156" w:rsidRPr="00D23156">
        <w:rPr>
          <w:rFonts w:cs="Arial"/>
          <w:szCs w:val="22"/>
        </w:rPr>
        <w:t>metal halide and HPS are also prominent in this market.</w:t>
      </w:r>
    </w:p>
    <w:p w:rsidR="00461B2D" w:rsidRDefault="00461B2D" w:rsidP="00D23156">
      <w:pPr>
        <w:rPr>
          <w:rFonts w:cs="Arial"/>
          <w:szCs w:val="22"/>
        </w:rPr>
      </w:pPr>
    </w:p>
    <w:p w:rsidR="00461B2D" w:rsidRDefault="00461B2D" w:rsidP="00D23156">
      <w:pPr>
        <w:rPr>
          <w:rFonts w:cs="Arial"/>
          <w:szCs w:val="22"/>
        </w:rPr>
      </w:pPr>
      <w:r>
        <w:rPr>
          <w:rFonts w:cs="Arial"/>
          <w:szCs w:val="22"/>
        </w:rPr>
        <w:t>Although this wp focuses on using the ROB measure application, the</w:t>
      </w:r>
      <w:r w:rsidRPr="00461B2D">
        <w:rPr>
          <w:rFonts w:cs="Arial"/>
          <w:szCs w:val="22"/>
        </w:rPr>
        <w:t xml:space="preserve"> </w:t>
      </w:r>
      <w:r w:rsidRPr="008D1722">
        <w:rPr>
          <w:rFonts w:cs="Arial"/>
          <w:szCs w:val="22"/>
        </w:rPr>
        <w:t xml:space="preserve">DOE’s </w:t>
      </w:r>
      <w:r>
        <w:rPr>
          <w:rFonts w:cs="Arial"/>
          <w:szCs w:val="22"/>
        </w:rPr>
        <w:t>July 2015</w:t>
      </w:r>
      <w:r w:rsidRPr="008D1722">
        <w:rPr>
          <w:rFonts w:cs="Arial"/>
          <w:szCs w:val="22"/>
        </w:rPr>
        <w:t xml:space="preserve"> </w:t>
      </w:r>
      <w:r w:rsidRPr="00D23156">
        <w:rPr>
          <w:rFonts w:cs="Arial"/>
          <w:szCs w:val="22"/>
        </w:rPr>
        <w:t>Adoption of Light-Emitting Diodes in Common Lighting Applications</w:t>
      </w:r>
      <w:r w:rsidRPr="008D1722">
        <w:rPr>
          <w:rFonts w:cs="Arial"/>
          <w:szCs w:val="22"/>
        </w:rPr>
        <w:t xml:space="preserve"> </w:t>
      </w:r>
      <w:r>
        <w:rPr>
          <w:rFonts w:cs="Arial"/>
          <w:szCs w:val="22"/>
        </w:rPr>
        <w:t>study supports the notion that the wp could be an early retirement (ER) measure application type because of desired illumination distributions.</w:t>
      </w:r>
    </w:p>
    <w:p w:rsidR="002F4FD2" w:rsidRDefault="002F4FD2" w:rsidP="00D23156">
      <w:pPr>
        <w:rPr>
          <w:rFonts w:cs="Arial"/>
          <w:b/>
          <w:szCs w:val="22"/>
        </w:rPr>
      </w:pPr>
    </w:p>
    <w:p w:rsidR="002D189D" w:rsidRPr="002D189D" w:rsidRDefault="00540EA9" w:rsidP="00D23156">
      <w:pPr>
        <w:rPr>
          <w:rFonts w:cs="Arial"/>
          <w:b/>
          <w:szCs w:val="22"/>
        </w:rPr>
      </w:pPr>
      <w:r w:rsidRPr="002D189D">
        <w:rPr>
          <w:rFonts w:cs="Arial"/>
          <w:b/>
          <w:szCs w:val="22"/>
        </w:rPr>
        <w:t>1.5.6 California</w:t>
      </w:r>
      <w:r w:rsidR="002D189D" w:rsidRPr="002D189D">
        <w:rPr>
          <w:rFonts w:cs="Arial"/>
          <w:b/>
          <w:szCs w:val="22"/>
        </w:rPr>
        <w:t xml:space="preserve"> Utilities Codes and Standards Team 2011 Statewide Parking Garage Lighting and Controls Codes and Standards Enhancement (CASE) Initiative Draft Measure Report</w:t>
      </w:r>
    </w:p>
    <w:p w:rsidR="002D189D" w:rsidRDefault="002D189D" w:rsidP="00D23156">
      <w:pPr>
        <w:rPr>
          <w:rFonts w:cs="Arial"/>
          <w:szCs w:val="22"/>
        </w:rPr>
      </w:pPr>
      <w:r w:rsidRPr="002D189D">
        <w:rPr>
          <w:rFonts w:cs="Arial"/>
          <w:szCs w:val="22"/>
        </w:rPr>
        <w:t>According to the 2011 California Utilities Codes and Standards Team Statewide Parking Garage Lighting and Controls Codes and Standards Enhancement (CASE) Initiativ</w:t>
      </w:r>
      <w:r>
        <w:rPr>
          <w:rFonts w:cs="Arial"/>
          <w:szCs w:val="22"/>
        </w:rPr>
        <w:t>e Draft Measure Report (page 23</w:t>
      </w:r>
      <w:r w:rsidRPr="002D189D">
        <w:rPr>
          <w:rFonts w:cs="Arial"/>
          <w:szCs w:val="22"/>
        </w:rPr>
        <w:t xml:space="preserve">), </w:t>
      </w:r>
      <w:r>
        <w:rPr>
          <w:rFonts w:cs="Arial"/>
          <w:szCs w:val="22"/>
        </w:rPr>
        <w:t>l</w:t>
      </w:r>
      <w:r w:rsidRPr="002D189D">
        <w:rPr>
          <w:rFonts w:cs="Arial"/>
          <w:szCs w:val="22"/>
        </w:rPr>
        <w:t>inear fluorescent appears to be the most prevalent light source technology employed in the State, especially in the warmer environments</w:t>
      </w:r>
      <w:r>
        <w:rPr>
          <w:rFonts w:cs="Arial"/>
          <w:szCs w:val="22"/>
        </w:rPr>
        <w:t xml:space="preserve"> and because linear fluorescent </w:t>
      </w:r>
      <w:r w:rsidRPr="002D189D">
        <w:rPr>
          <w:rFonts w:cs="Arial"/>
          <w:szCs w:val="22"/>
        </w:rPr>
        <w:t>is a very common and low-cost method of</w:t>
      </w:r>
      <w:r>
        <w:rPr>
          <w:rFonts w:cs="Arial"/>
          <w:szCs w:val="22"/>
        </w:rPr>
        <w:t xml:space="preserve"> illuminating parking garages.</w:t>
      </w:r>
    </w:p>
    <w:p w:rsidR="001C2B40" w:rsidRDefault="001C2B40" w:rsidP="00D23156">
      <w:pPr>
        <w:rPr>
          <w:rFonts w:cs="Arial"/>
          <w:szCs w:val="22"/>
        </w:rPr>
      </w:pPr>
    </w:p>
    <w:p w:rsidR="001C2B40" w:rsidRDefault="001C2B40" w:rsidP="00D23156">
      <w:pPr>
        <w:rPr>
          <w:rFonts w:cs="Arial"/>
          <w:szCs w:val="22"/>
        </w:rPr>
      </w:pPr>
      <w:r>
        <w:rPr>
          <w:rFonts w:cs="Arial"/>
          <w:szCs w:val="22"/>
        </w:rPr>
        <w:t>Additionally, the report indicated (page 69) that i</w:t>
      </w:r>
      <w:r w:rsidRPr="001C2B40">
        <w:rPr>
          <w:rFonts w:cs="Arial"/>
          <w:szCs w:val="22"/>
        </w:rPr>
        <w:t>n colder climates, fluorescent lighting has posed an issue to due limited start-up capabilities at cold ambient temperatures.</w:t>
      </w:r>
      <w:r>
        <w:rPr>
          <w:rFonts w:cs="Arial"/>
          <w:szCs w:val="22"/>
        </w:rPr>
        <w:t xml:space="preserve"> The report (page 94) further </w:t>
      </w:r>
      <w:r>
        <w:rPr>
          <w:rFonts w:cs="Arial"/>
          <w:szCs w:val="22"/>
        </w:rPr>
        <w:lastRenderedPageBreak/>
        <w:t>states that i</w:t>
      </w:r>
      <w:r w:rsidRPr="001C2B40">
        <w:rPr>
          <w:rFonts w:cs="Arial"/>
          <w:szCs w:val="22"/>
        </w:rPr>
        <w:t>n low ambient temperature conditions, fluorescent dimming can be limited at the low end, and lamps may not be able to start when subject to extremely cold temperatures. Most fluorescent dimming ballasts are designed for interior spaces, and thus have high minimum case temperatures which are difficult to achieve in exterior luminaires</w:t>
      </w:r>
      <w:r w:rsidR="000278ED">
        <w:rPr>
          <w:rFonts w:cs="Arial"/>
          <w:szCs w:val="22"/>
        </w:rPr>
        <w:t xml:space="preserve"> such as those found in parking garages</w:t>
      </w:r>
      <w:r w:rsidRPr="001C2B40">
        <w:rPr>
          <w:rFonts w:cs="Arial"/>
          <w:szCs w:val="22"/>
        </w:rPr>
        <w:t>.</w:t>
      </w:r>
      <w:r>
        <w:rPr>
          <w:rFonts w:cs="Arial"/>
          <w:szCs w:val="22"/>
        </w:rPr>
        <w:t xml:space="preserve"> </w:t>
      </w:r>
    </w:p>
    <w:p w:rsidR="00461B2D" w:rsidRDefault="00461B2D" w:rsidP="00D23156">
      <w:pPr>
        <w:rPr>
          <w:rFonts w:cs="Arial"/>
          <w:szCs w:val="22"/>
        </w:rPr>
      </w:pPr>
    </w:p>
    <w:p w:rsidR="00461B2D" w:rsidRDefault="00461B2D" w:rsidP="00D23156">
      <w:pPr>
        <w:rPr>
          <w:rFonts w:cs="Arial"/>
          <w:szCs w:val="22"/>
        </w:rPr>
      </w:pPr>
      <w:r>
        <w:rPr>
          <w:rFonts w:cs="Arial"/>
          <w:szCs w:val="22"/>
        </w:rPr>
        <w:t>Based on this information, it can be reasonably inferred that lower wattage Linear Fluorescent fixtures using 25W or 28W are not recommended from a lighting design standpoint because these lamps may not be able to start when subjected to extremely cold temperatures. Given that most parking garages are open because of cost considerations and ventilation requirements, 25W and 28W lamps would likely be exposed to co</w:t>
      </w:r>
      <w:r w:rsidR="002678E2">
        <w:rPr>
          <w:rFonts w:cs="Arial"/>
          <w:szCs w:val="22"/>
        </w:rPr>
        <w:t>ld temperatures posing safety risks because the lamps may not start up. Therefore, a base case assumption using lower wattage Linear Fluorescent lamps is unlikely due to safety risk associated with lamps being exposed to colder temperatures.</w:t>
      </w:r>
    </w:p>
    <w:p w:rsidR="002D189D" w:rsidRDefault="002D189D" w:rsidP="00D23156">
      <w:pPr>
        <w:rPr>
          <w:rFonts w:cs="Arial"/>
          <w:szCs w:val="22"/>
        </w:rPr>
      </w:pPr>
    </w:p>
    <w:p w:rsidR="00C3409D" w:rsidRPr="00C3409D" w:rsidRDefault="00C3409D" w:rsidP="00D23156">
      <w:pPr>
        <w:rPr>
          <w:rFonts w:cs="Arial"/>
          <w:b/>
          <w:szCs w:val="22"/>
        </w:rPr>
      </w:pPr>
      <w:r w:rsidRPr="00C3409D">
        <w:rPr>
          <w:rFonts w:cs="Arial"/>
          <w:b/>
          <w:szCs w:val="22"/>
        </w:rPr>
        <w:t>1.5.7 Energy Solutions’ 2012 Energy Technology Assistance Program Field Study Final Report (ETAP Report)</w:t>
      </w:r>
    </w:p>
    <w:p w:rsidR="00D23156" w:rsidRDefault="00C3409D" w:rsidP="00C3409D">
      <w:pPr>
        <w:rPr>
          <w:rFonts w:cs="Arial"/>
          <w:szCs w:val="22"/>
        </w:rPr>
      </w:pPr>
      <w:r>
        <w:rPr>
          <w:rFonts w:cs="Arial"/>
          <w:szCs w:val="22"/>
        </w:rPr>
        <w:t>The 2012 ETAP Report (Page 31) indicated that e</w:t>
      </w:r>
      <w:r w:rsidRPr="00C3409D">
        <w:rPr>
          <w:rFonts w:cs="Arial"/>
          <w:szCs w:val="22"/>
        </w:rPr>
        <w:t>xtra efficient fluorescent T8 fixtures were one of the most common technologies installed in ETAP</w:t>
      </w:r>
      <w:r>
        <w:rPr>
          <w:rFonts w:cs="Arial"/>
          <w:szCs w:val="22"/>
        </w:rPr>
        <w:t xml:space="preserve"> </w:t>
      </w:r>
      <w:r w:rsidRPr="00C3409D">
        <w:rPr>
          <w:rFonts w:cs="Arial"/>
          <w:szCs w:val="22"/>
        </w:rPr>
        <w:t>parking garage projects. This gave ETAP Technical staff considerable exposure to projects that used T8</w:t>
      </w:r>
      <w:r>
        <w:rPr>
          <w:rFonts w:cs="Arial"/>
          <w:szCs w:val="22"/>
        </w:rPr>
        <w:t xml:space="preserve"> </w:t>
      </w:r>
      <w:r w:rsidRPr="00C3409D">
        <w:rPr>
          <w:rFonts w:cs="Arial"/>
          <w:szCs w:val="22"/>
        </w:rPr>
        <w:t xml:space="preserve">products for exterior bi-level applications. </w:t>
      </w:r>
      <w:r>
        <w:rPr>
          <w:rFonts w:cs="Arial"/>
          <w:szCs w:val="22"/>
        </w:rPr>
        <w:t xml:space="preserve">One </w:t>
      </w:r>
      <w:r w:rsidRPr="00C3409D">
        <w:rPr>
          <w:rFonts w:cs="Arial"/>
          <w:szCs w:val="22"/>
        </w:rPr>
        <w:t>key lesson learned reg</w:t>
      </w:r>
      <w:r>
        <w:rPr>
          <w:rFonts w:cs="Arial"/>
          <w:szCs w:val="22"/>
        </w:rPr>
        <w:t>arding the technology indicated that s</w:t>
      </w:r>
      <w:r w:rsidRPr="00C3409D">
        <w:rPr>
          <w:rFonts w:cs="Arial"/>
          <w:szCs w:val="22"/>
        </w:rPr>
        <w:t>ome lamps and ballasts are not well-suited to lower temperatures common at parking facilities.</w:t>
      </w:r>
      <w:r>
        <w:rPr>
          <w:rFonts w:cs="Arial"/>
          <w:szCs w:val="22"/>
        </w:rPr>
        <w:t xml:space="preserve"> </w:t>
      </w:r>
      <w:r w:rsidRPr="00C3409D">
        <w:rPr>
          <w:rFonts w:cs="Arial"/>
          <w:szCs w:val="22"/>
        </w:rPr>
        <w:t>Site temperatures and recommended operating temperature of the equipment should be</w:t>
      </w:r>
      <w:r>
        <w:rPr>
          <w:rFonts w:cs="Arial"/>
          <w:szCs w:val="22"/>
        </w:rPr>
        <w:t xml:space="preserve"> </w:t>
      </w:r>
      <w:r w:rsidRPr="00C3409D">
        <w:rPr>
          <w:rFonts w:cs="Arial"/>
          <w:szCs w:val="22"/>
        </w:rPr>
        <w:t>reviewed carefully. In several instances, ETAP Project Leads reviewed proposals</w:t>
      </w:r>
      <w:r w:rsidR="000278ED">
        <w:rPr>
          <w:rFonts w:cs="Arial"/>
          <w:szCs w:val="22"/>
        </w:rPr>
        <w:t>,</w:t>
      </w:r>
      <w:r w:rsidRPr="00C3409D">
        <w:rPr>
          <w:rFonts w:cs="Arial"/>
          <w:szCs w:val="22"/>
        </w:rPr>
        <w:t xml:space="preserve"> which did not</w:t>
      </w:r>
      <w:r>
        <w:rPr>
          <w:rFonts w:cs="Arial"/>
          <w:szCs w:val="22"/>
        </w:rPr>
        <w:t xml:space="preserve"> </w:t>
      </w:r>
      <w:r w:rsidRPr="00C3409D">
        <w:rPr>
          <w:rFonts w:cs="Arial"/>
          <w:szCs w:val="22"/>
        </w:rPr>
        <w:t>consider the recommended operating temperature of the equipment</w:t>
      </w:r>
      <w:r w:rsidR="000278ED">
        <w:rPr>
          <w:rFonts w:cs="Arial"/>
          <w:szCs w:val="22"/>
        </w:rPr>
        <w:t>.</w:t>
      </w:r>
      <w:r w:rsidRPr="00C3409D">
        <w:rPr>
          <w:rFonts w:cs="Arial"/>
          <w:szCs w:val="22"/>
        </w:rPr>
        <w:t xml:space="preserve"> </w:t>
      </w:r>
      <w:r w:rsidR="000278ED">
        <w:rPr>
          <w:rFonts w:cs="Arial"/>
          <w:szCs w:val="22"/>
        </w:rPr>
        <w:t>This</w:t>
      </w:r>
      <w:r w:rsidRPr="00C3409D">
        <w:rPr>
          <w:rFonts w:cs="Arial"/>
          <w:szCs w:val="22"/>
        </w:rPr>
        <w:t xml:space="preserve"> could lead to</w:t>
      </w:r>
      <w:r>
        <w:rPr>
          <w:rFonts w:cs="Arial"/>
          <w:szCs w:val="22"/>
        </w:rPr>
        <w:t xml:space="preserve"> </w:t>
      </w:r>
      <w:r w:rsidRPr="00C3409D">
        <w:rPr>
          <w:rFonts w:cs="Arial"/>
          <w:szCs w:val="22"/>
        </w:rPr>
        <w:t>premature failures if left uncorrected.</w:t>
      </w:r>
    </w:p>
    <w:p w:rsidR="002678E2" w:rsidRDefault="002678E2" w:rsidP="00C3409D">
      <w:pPr>
        <w:rPr>
          <w:rFonts w:cs="Arial"/>
          <w:szCs w:val="22"/>
        </w:rPr>
      </w:pPr>
    </w:p>
    <w:p w:rsidR="002678E2" w:rsidRDefault="002678E2" w:rsidP="00C3409D">
      <w:pPr>
        <w:rPr>
          <w:rFonts w:cs="Arial"/>
          <w:szCs w:val="22"/>
        </w:rPr>
      </w:pPr>
      <w:r>
        <w:rPr>
          <w:rFonts w:cs="Arial"/>
          <w:szCs w:val="22"/>
        </w:rPr>
        <w:t xml:space="preserve">Based on the 2012 ETAP Report, it can be reasonably inferred that the report findings further corroborates that Linear Fluorescent fixtures using lower wattage lamps (25W and 28W) are not well suited because these fixtures could lead to premature failures. </w:t>
      </w:r>
    </w:p>
    <w:p w:rsidR="00D23156" w:rsidRDefault="00D23156" w:rsidP="00D23156">
      <w:pPr>
        <w:rPr>
          <w:rFonts w:cs="Arial"/>
          <w:szCs w:val="22"/>
        </w:rPr>
      </w:pPr>
    </w:p>
    <w:p w:rsidR="002F4FD2" w:rsidRDefault="002F4FD2" w:rsidP="00E97909">
      <w:pPr>
        <w:rPr>
          <w:rFonts w:cs="Arial"/>
          <w:b/>
          <w:szCs w:val="22"/>
        </w:rPr>
      </w:pPr>
      <w:r w:rsidRPr="002F4FD2">
        <w:rPr>
          <w:rFonts w:cs="Arial"/>
          <w:b/>
          <w:szCs w:val="22"/>
        </w:rPr>
        <w:t xml:space="preserve">1.5.8 </w:t>
      </w:r>
      <w:r w:rsidR="002678E2">
        <w:rPr>
          <w:rFonts w:cs="Arial"/>
          <w:b/>
          <w:szCs w:val="22"/>
        </w:rPr>
        <w:t xml:space="preserve">Benya Burnett Consultancy </w:t>
      </w:r>
      <w:r w:rsidRPr="002F4FD2">
        <w:rPr>
          <w:rFonts w:cs="Arial"/>
          <w:b/>
          <w:szCs w:val="22"/>
        </w:rPr>
        <w:t>Parking Garage Lighting Background and Basis of Recommendations</w:t>
      </w:r>
    </w:p>
    <w:p w:rsidR="00E97909" w:rsidRDefault="00E97909" w:rsidP="00E97909">
      <w:pPr>
        <w:pStyle w:val="Heading4"/>
        <w:spacing w:before="0"/>
      </w:pPr>
      <w:r>
        <w:t>Baseline Fixtures</w:t>
      </w:r>
    </w:p>
    <w:p w:rsidR="002F4FD2" w:rsidRDefault="005A2D26" w:rsidP="002F4FD2">
      <w:r>
        <w:rPr>
          <w:rFonts w:cs="Arial"/>
          <w:szCs w:val="22"/>
        </w:rPr>
        <w:t>The 2016</w:t>
      </w:r>
      <w:r w:rsidRPr="005A2D26">
        <w:t xml:space="preserve"> </w:t>
      </w:r>
      <w:r>
        <w:t xml:space="preserve">Benya Burnett Consultancy </w:t>
      </w:r>
      <w:r w:rsidRPr="005A2D26">
        <w:rPr>
          <w:rFonts w:cs="Arial"/>
          <w:szCs w:val="22"/>
        </w:rPr>
        <w:t>Energy Workpaper Parking Garage Lighting Background and Basis of Recommendations</w:t>
      </w:r>
      <w:r>
        <w:rPr>
          <w:rFonts w:cs="Arial"/>
          <w:szCs w:val="22"/>
        </w:rPr>
        <w:t xml:space="preserve"> document (page 4) indicated that n</w:t>
      </w:r>
      <w:r>
        <w:t>ationally, high pressure sodium (HPS) lighting was probably the most common due to its wide temperature tolerance and high efficacy, but a white light was preferred to create an improved sense of safety and security. The Benya Burnett Consultancy document further references a Parking Structure Design Guidelines report prepared for the City of Lincoln, Nebraska. On page 34 of the Parking Structure Design Guidelines document, Benya Burnett Consultancy references that “metal halide lighting was the common choice for those garages for which white light as preferred, as it is close to HPS in efficiency.”</w:t>
      </w:r>
    </w:p>
    <w:p w:rsidR="006855C9" w:rsidRPr="006855C9" w:rsidRDefault="006855C9" w:rsidP="006855C9">
      <w:pPr>
        <w:pStyle w:val="Heading5"/>
      </w:pPr>
      <w:r w:rsidRPr="006855C9">
        <w:t xml:space="preserve">Regional </w:t>
      </w:r>
      <w:r w:rsidR="00E97909">
        <w:t xml:space="preserve">Fixture Baselines </w:t>
      </w:r>
      <w:r w:rsidRPr="006855C9">
        <w:t>Choices</w:t>
      </w:r>
    </w:p>
    <w:p w:rsidR="00897F6A" w:rsidRDefault="002678E2" w:rsidP="00897F6A">
      <w:pPr>
        <w:spacing w:after="200" w:line="276" w:lineRule="auto"/>
      </w:pPr>
      <w:r>
        <w:t>The document further states that f</w:t>
      </w:r>
      <w:r w:rsidR="0070400C">
        <w:t>luorescent lamp systems are less expensive and easier to accommodate alter</w:t>
      </w:r>
      <w:r w:rsidR="001879E2">
        <w:t>native emergency power sources.</w:t>
      </w:r>
      <w:r w:rsidR="0070400C">
        <w:t xml:space="preserve"> But fluorescent systems are temperature sensitive, more likely to be used in low-lying coastal and inland areas and less likely in foothills and mountain regions in Southern California and many portions of Northern California.</w:t>
      </w:r>
      <w:r w:rsidR="001879E2">
        <w:t xml:space="preserve"> </w:t>
      </w:r>
    </w:p>
    <w:p w:rsidR="00897F6A" w:rsidRDefault="0070400C" w:rsidP="00897F6A">
      <w:pPr>
        <w:spacing w:after="200" w:line="276" w:lineRule="auto"/>
      </w:pPr>
      <w:r>
        <w:lastRenderedPageBreak/>
        <w:t xml:space="preserve">Because of temperature sensitivity, 25- and 28-watt fluorescent replacement lamps are ill-advised as starting may not occur with temperatures below 60 degrees Fahrenheit. </w:t>
      </w:r>
      <w:r w:rsidR="00897F6A" w:rsidRPr="006855C9">
        <w:t>In Southern California, the limited temperature extremes historically made fluorescent lighting the favored choice, as it was essentially as efficacious as HPS, offered very long lamp life, and was more economical. It also offered immediate starting, allowing for much more economical emergency l</w:t>
      </w:r>
      <w:r w:rsidR="00897F6A">
        <w:t xml:space="preserve">ighting. </w:t>
      </w:r>
    </w:p>
    <w:p w:rsidR="0070400C" w:rsidRDefault="0070400C" w:rsidP="0070400C">
      <w:r>
        <w:t>Among HID luminaires, HPS lamps are preferred over metal halide due to longer life and greater energy efficiency.  Metal halide lamps are preferred for color rendering of cars and for imp</w:t>
      </w:r>
      <w:r w:rsidR="001879E2">
        <w:t xml:space="preserve">roved perception of security. </w:t>
      </w:r>
      <w:r>
        <w:t>HID luminaires of both types make emergency lighting expensive and problematic, but with the ability to start at -20F and below, HID are common where low temperatures are often present.</w:t>
      </w:r>
    </w:p>
    <w:p w:rsidR="00897F6A" w:rsidRDefault="0070400C" w:rsidP="001879E2">
      <w:r>
        <w:t>All system types generally meet Title 24 without difficulty. Fluorescent systems are generally the most efficient, metal halide the least</w:t>
      </w:r>
      <w:r w:rsidR="001879E2">
        <w:t xml:space="preserve">. </w:t>
      </w:r>
    </w:p>
    <w:p w:rsidR="00897F6A" w:rsidRDefault="00897F6A" w:rsidP="001879E2"/>
    <w:p w:rsidR="001879E2" w:rsidRDefault="001879E2" w:rsidP="001879E2">
      <w:r>
        <w:t>In most parking garages not yet converted to LED lighting, the existing lighting is most likely one of the following:</w:t>
      </w:r>
    </w:p>
    <w:p w:rsidR="001879E2" w:rsidRDefault="001879E2" w:rsidP="00DD2BB9">
      <w:pPr>
        <w:pStyle w:val="ListParagraph"/>
        <w:numPr>
          <w:ilvl w:val="0"/>
          <w:numId w:val="12"/>
        </w:numPr>
        <w:spacing w:after="160" w:line="259" w:lineRule="auto"/>
      </w:pPr>
      <w:r>
        <w:t>Two lamp fluorescent strip lights, typically end-to-end 8’ units, bare lamp or with antenna guard, 2-F32T8 lamps and instant start 1</w:t>
      </w:r>
      <w:r w:rsidRPr="00691140">
        <w:rPr>
          <w:vertAlign w:val="superscript"/>
        </w:rPr>
        <w:t>st</w:t>
      </w:r>
      <w:r>
        <w:t xml:space="preserve"> generation .88 BF ballast (59-60 watts)</w:t>
      </w:r>
    </w:p>
    <w:p w:rsidR="001879E2" w:rsidRDefault="001879E2" w:rsidP="00DD2BB9">
      <w:pPr>
        <w:pStyle w:val="ListParagraph"/>
        <w:numPr>
          <w:ilvl w:val="0"/>
          <w:numId w:val="12"/>
        </w:numPr>
        <w:spacing w:after="160" w:line="259" w:lineRule="auto"/>
      </w:pPr>
      <w:r>
        <w:t xml:space="preserve">Two lamp </w:t>
      </w:r>
      <w:r w:rsidR="00540EA9">
        <w:t>vapor tight</w:t>
      </w:r>
      <w:r>
        <w:t xml:space="preserve"> wraparound fluorescent luminaires, 4’units, 2-F32T8 lamps and instant start 1</w:t>
      </w:r>
      <w:r w:rsidRPr="00691140">
        <w:rPr>
          <w:vertAlign w:val="superscript"/>
        </w:rPr>
        <w:t>st</w:t>
      </w:r>
      <w:r>
        <w:t xml:space="preserve"> generation .88 BF ballast (59-60 watts).  Program start and rapid start ballasts (including all dimming ballasts) can introduce temperature performance problems below 60F, essentially making instant start technology necessary.</w:t>
      </w:r>
    </w:p>
    <w:p w:rsidR="001879E2" w:rsidRDefault="001879E2" w:rsidP="00DD2BB9">
      <w:pPr>
        <w:pStyle w:val="ListParagraph"/>
        <w:numPr>
          <w:ilvl w:val="0"/>
          <w:numId w:val="12"/>
        </w:numPr>
        <w:spacing w:after="160" w:line="259" w:lineRule="auto"/>
      </w:pPr>
      <w:r>
        <w:t>One lamp high pressure sodium parking garage luminaire 70 to 150 watts, magnetic ballast</w:t>
      </w:r>
    </w:p>
    <w:p w:rsidR="001879E2" w:rsidRDefault="001879E2" w:rsidP="00DD2BB9">
      <w:pPr>
        <w:pStyle w:val="ListParagraph"/>
        <w:numPr>
          <w:ilvl w:val="0"/>
          <w:numId w:val="12"/>
        </w:numPr>
        <w:spacing w:after="160" w:line="259" w:lineRule="auto"/>
      </w:pPr>
      <w:r>
        <w:t>One lamp metal halide parking garage luminaire 70-175 watts, pulse start magnetic ballast</w:t>
      </w:r>
    </w:p>
    <w:p w:rsidR="00360308" w:rsidRDefault="00360308" w:rsidP="0070400C">
      <w:pPr>
        <w:spacing w:after="200" w:line="276" w:lineRule="auto"/>
      </w:pPr>
      <w:r>
        <w:t>The Benya Burnett Consultancy document indicated that there are two commonly used fluorescent luminaires in garages in Southern California:</w:t>
      </w:r>
    </w:p>
    <w:p w:rsidR="00360308" w:rsidRDefault="00360308" w:rsidP="00360308">
      <w:r w:rsidRPr="007E2827">
        <w:rPr>
          <w:noProof/>
        </w:rPr>
        <w:drawing>
          <wp:anchor distT="0" distB="0" distL="114300" distR="114300" simplePos="0" relativeHeight="251676672" behindDoc="1" locked="0" layoutInCell="1" allowOverlap="1" wp14:anchorId="644505C3" wp14:editId="46FAF1FD">
            <wp:simplePos x="0" y="0"/>
            <wp:positionH relativeFrom="column">
              <wp:posOffset>-73660</wp:posOffset>
            </wp:positionH>
            <wp:positionV relativeFrom="paragraph">
              <wp:posOffset>994410</wp:posOffset>
            </wp:positionV>
            <wp:extent cx="1455420" cy="1023620"/>
            <wp:effectExtent l="0" t="0" r="0" b="5080"/>
            <wp:wrapSquare wrapText="bothSides"/>
            <wp:docPr id="6" name="Picture 6" descr="http://www.acuitybrandslighting.com/library/ll/images/family/12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cuitybrandslighting.com/library/ll/images/family/1226_larg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55420" cy="102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F3C">
        <w:rPr>
          <w:b/>
          <w:noProof/>
        </w:rPr>
        <w:drawing>
          <wp:anchor distT="0" distB="0" distL="114300" distR="114300" simplePos="0" relativeHeight="251675648" behindDoc="0" locked="0" layoutInCell="1" allowOverlap="1" wp14:anchorId="2422632F" wp14:editId="5643C79B">
            <wp:simplePos x="0" y="0"/>
            <wp:positionH relativeFrom="column">
              <wp:posOffset>0</wp:posOffset>
            </wp:positionH>
            <wp:positionV relativeFrom="paragraph">
              <wp:posOffset>58420</wp:posOffset>
            </wp:positionV>
            <wp:extent cx="1382395" cy="1060450"/>
            <wp:effectExtent l="0" t="0" r="8255" b="6350"/>
            <wp:wrapSquare wrapText="bothSides"/>
            <wp:docPr id="5" name="Picture 5" descr="http://www.acuitybrandslighting.com/library/ll/images/family/1081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cuitybrandslighting.com/library/ll/images/family/1081_m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8239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F3C">
        <w:rPr>
          <w:b/>
        </w:rPr>
        <w:t>Type 1:</w:t>
      </w:r>
      <w:r>
        <w:t xml:space="preserve"> Strip fluorescent luminaires, 4’ single lamp installed in 8’ long “tandem” configuration, sharing a single 2-lamp ballast. Because the working life of a fluorescent lighting system is 20 years+ (ballast and luminaire) and 5 years+ (lamp) the most likely combination in service employs T-8 first generation instant start technology, drawing 59 watts to drive two standard lamps at a ballast factor of 88%.  Lamps are most likely F32T87xx lamps with 2</w:t>
      </w:r>
      <w:r w:rsidR="002678E2">
        <w:t>,</w:t>
      </w:r>
      <w:r>
        <w:t>725 initial lumens.</w:t>
      </w:r>
    </w:p>
    <w:p w:rsidR="00360308" w:rsidRDefault="00360308" w:rsidP="00360308">
      <w:pPr>
        <w:tabs>
          <w:tab w:val="left" w:pos="1774"/>
        </w:tabs>
      </w:pPr>
      <w:r>
        <w:tab/>
      </w:r>
    </w:p>
    <w:p w:rsidR="00360308" w:rsidRDefault="00360308" w:rsidP="00360308">
      <w:r w:rsidRPr="00E15FE7">
        <w:rPr>
          <w:b/>
        </w:rPr>
        <w:t>Type 2:</w:t>
      </w:r>
      <w:r>
        <w:t xml:space="preserve"> Vapor tight wraparound </w:t>
      </w:r>
      <w:r w:rsidR="008D368C">
        <w:t xml:space="preserve">T8 </w:t>
      </w:r>
      <w:r>
        <w:t>fluorescent luminaires, with (2) 4’ lamps sharing a single 2-lamp ballast.  Ordinary wraparounds will collect too much dirt as assumed to use same technology as above.</w:t>
      </w:r>
    </w:p>
    <w:p w:rsidR="00360308" w:rsidRDefault="00360308" w:rsidP="006855C9">
      <w:pPr>
        <w:spacing w:after="200" w:line="276" w:lineRule="auto"/>
      </w:pPr>
    </w:p>
    <w:p w:rsidR="006855C9" w:rsidRPr="006855C9" w:rsidRDefault="006855C9" w:rsidP="00360308">
      <w:pPr>
        <w:spacing w:line="276" w:lineRule="auto"/>
        <w:jc w:val="center"/>
        <w:rPr>
          <w:rFonts w:asciiTheme="majorHAnsi" w:eastAsiaTheme="majorEastAsia" w:hAnsiTheme="majorHAnsi" w:cstheme="majorBidi"/>
          <w:b/>
          <w:bCs/>
          <w:color w:val="4F81BD" w:themeColor="accent1"/>
          <w:sz w:val="26"/>
          <w:szCs w:val="26"/>
        </w:rPr>
      </w:pPr>
      <w:r w:rsidRPr="006855C9">
        <w:rPr>
          <w:rFonts w:ascii="Times New Roman" w:eastAsiaTheme="minorHAnsi" w:hAnsi="Times New Roman" w:cstheme="minorBidi"/>
          <w:noProof/>
          <w:sz w:val="24"/>
          <w:szCs w:val="22"/>
        </w:rPr>
        <w:lastRenderedPageBreak/>
        <w:drawing>
          <wp:inline distT="0" distB="0" distL="0" distR="0" wp14:anchorId="014D74BB" wp14:editId="1383E13C">
            <wp:extent cx="2415850" cy="1389888"/>
            <wp:effectExtent l="0" t="0" r="381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brightnessContrast bright="40000"/>
                              </a14:imgEffect>
                            </a14:imgLayer>
                          </a14:imgProps>
                        </a:ext>
                      </a:extLst>
                    </a:blip>
                    <a:srcRect t="15366" b="13909"/>
                    <a:stretch/>
                  </pic:blipFill>
                  <pic:spPr bwMode="auto">
                    <a:xfrm>
                      <a:off x="0" y="0"/>
                      <a:ext cx="2432611" cy="1399531"/>
                    </a:xfrm>
                    <a:prstGeom prst="rect">
                      <a:avLst/>
                    </a:prstGeom>
                    <a:ln>
                      <a:noFill/>
                    </a:ln>
                    <a:extLst>
                      <a:ext uri="{53640926-AAD7-44D8-BBD7-CCE9431645EC}">
                        <a14:shadowObscured xmlns:a14="http://schemas.microsoft.com/office/drawing/2010/main"/>
                      </a:ext>
                    </a:extLst>
                  </pic:spPr>
                </pic:pic>
              </a:graphicData>
            </a:graphic>
          </wp:inline>
        </w:drawing>
      </w:r>
    </w:p>
    <w:p w:rsidR="006855C9" w:rsidRDefault="002678E2" w:rsidP="007264CF">
      <w:pPr>
        <w:spacing w:after="200" w:line="276" w:lineRule="auto"/>
        <w:jc w:val="center"/>
        <w:rPr>
          <w:rFonts w:eastAsiaTheme="minorHAnsi" w:cstheme="minorBidi"/>
          <w:szCs w:val="22"/>
        </w:rPr>
      </w:pPr>
      <w:r>
        <w:rPr>
          <w:rFonts w:eastAsiaTheme="minorHAnsi" w:cstheme="minorBidi"/>
          <w:b/>
          <w:szCs w:val="22"/>
        </w:rPr>
        <w:t>Figure 3</w:t>
      </w:r>
      <w:r w:rsidR="007264CF" w:rsidRPr="007264CF">
        <w:rPr>
          <w:rFonts w:eastAsiaTheme="minorHAnsi" w:cstheme="minorBidi"/>
          <w:b/>
          <w:szCs w:val="22"/>
        </w:rPr>
        <w:t>.</w:t>
      </w:r>
      <w:r w:rsidR="007264CF">
        <w:rPr>
          <w:rFonts w:eastAsiaTheme="minorHAnsi" w:cstheme="minorBidi"/>
          <w:szCs w:val="22"/>
        </w:rPr>
        <w:t xml:space="preserve"> </w:t>
      </w:r>
      <w:r w:rsidR="006855C9" w:rsidRPr="006855C9">
        <w:rPr>
          <w:rFonts w:eastAsiaTheme="minorHAnsi" w:cstheme="minorBidi"/>
          <w:szCs w:val="22"/>
        </w:rPr>
        <w:t>Lighting plan and floor plan of AC Hotel</w:t>
      </w:r>
      <w:r w:rsidR="007264CF">
        <w:rPr>
          <w:rFonts w:eastAsiaTheme="minorHAnsi" w:cstheme="minorBidi"/>
          <w:szCs w:val="22"/>
        </w:rPr>
        <w:t xml:space="preserve"> with open </w:t>
      </w:r>
      <w:r w:rsidR="006855C9" w:rsidRPr="006855C9">
        <w:rPr>
          <w:rFonts w:eastAsiaTheme="minorHAnsi" w:cstheme="minorBidi"/>
          <w:szCs w:val="22"/>
        </w:rPr>
        <w:t>garage on 75% of the enclosing walls.</w:t>
      </w:r>
    </w:p>
    <w:p w:rsidR="007264CF" w:rsidRDefault="007264CF" w:rsidP="007264CF">
      <w:r>
        <w:t xml:space="preserve">The Benya Burnett Consultancy document used the floor plan of an AC Hotel project because it was deemed a representative model of a conventional floor plan. It is a variation on the single threaded helix in which the parking areas are flat and the risers are on the ends (left and right). </w:t>
      </w:r>
    </w:p>
    <w:p w:rsidR="007264CF" w:rsidRDefault="007264CF" w:rsidP="007264CF"/>
    <w:p w:rsidR="007264CF" w:rsidRDefault="007264CF" w:rsidP="007264CF">
      <w:r>
        <w:t xml:space="preserve">A downtown infill project with inadequate site for ground parking, the hotel’s lobby is on the first floor, the garage constituting floors 2-5, and the guest floors are above the garage. The entrance and exit ramps are on the first floor, leading directly to the actual garage </w:t>
      </w:r>
      <w:r w:rsidR="00725869">
        <w:t xml:space="preserve">on the second floor and above. </w:t>
      </w:r>
      <w:r>
        <w:t>Each floor constitutes about 20,825 sf.</w:t>
      </w:r>
      <w:r w:rsidRPr="00534CB2">
        <w:t xml:space="preserve"> </w:t>
      </w:r>
      <w:r>
        <w:t>For standardizing the parking garage model, Benya Burnett Consultancy allocated the ramp among the parking floors, increasing the average floor model to 22,325 sf.  The average area per parking stall is 485 sf.  This garage is particularly inefficient, largely due to its small floor plate size.</w:t>
      </w:r>
    </w:p>
    <w:p w:rsidR="008D368C" w:rsidRDefault="008D368C" w:rsidP="007264CF"/>
    <w:p w:rsidR="007264CF" w:rsidRDefault="007264CF" w:rsidP="007264CF">
      <w:r>
        <w:t>The Benya Burnett Consultancy document then created a more general model assuming a 100,000 sf floor plate.  They believed this would be representative of more typical garages and would permit the square-</w:t>
      </w:r>
      <w:r w:rsidRPr="00725869">
        <w:t xml:space="preserve">feet-per-stall </w:t>
      </w:r>
      <w:r w:rsidR="00A04CA0" w:rsidRPr="00725869">
        <w:t xml:space="preserve">areas </w:t>
      </w:r>
      <w:r w:rsidRPr="00725869">
        <w:t xml:space="preserve">values </w:t>
      </w:r>
      <w:r w:rsidR="00A04CA0" w:rsidRPr="00725869">
        <w:t xml:space="preserve">listed in Table </w:t>
      </w:r>
      <w:r w:rsidR="00725869" w:rsidRPr="00725869">
        <w:t>12</w:t>
      </w:r>
      <w:r>
        <w:t xml:space="preserve">.  As the garage gets larger, the percentage of parking area increases and the percentage of drive aisles decreases thus decreases the gross sf per stall. The two variations are summarized in </w:t>
      </w:r>
      <w:r w:rsidR="00725869">
        <w:t>Table 12.</w:t>
      </w:r>
    </w:p>
    <w:p w:rsidR="00725869" w:rsidRDefault="00725869" w:rsidP="007264CF"/>
    <w:p w:rsidR="00725869" w:rsidRPr="00780E9D" w:rsidRDefault="00725869" w:rsidP="00725869">
      <w:pPr>
        <w:pStyle w:val="Caption"/>
        <w:keepNext/>
        <w:jc w:val="center"/>
        <w:rPr>
          <w:rFonts w:cstheme="minorHAnsi"/>
          <w:b w:val="0"/>
          <w:szCs w:val="22"/>
        </w:rPr>
      </w:pPr>
      <w:r>
        <w:rPr>
          <w:rFonts w:cstheme="minorHAnsi"/>
          <w:szCs w:val="22"/>
        </w:rPr>
        <w:t xml:space="preserve">Table 12. </w:t>
      </w:r>
      <w:r w:rsidRPr="00725869">
        <w:rPr>
          <w:rFonts w:cstheme="minorHAnsi"/>
          <w:b w:val="0"/>
          <w:szCs w:val="22"/>
        </w:rPr>
        <w:t>Approximate Space Types and Areas for Parking Garages</w:t>
      </w:r>
    </w:p>
    <w:tbl>
      <w:tblPr>
        <w:tblStyle w:val="TableGrid"/>
        <w:tblW w:w="0" w:type="auto"/>
        <w:tblLook w:val="04A0" w:firstRow="1" w:lastRow="0" w:firstColumn="1" w:lastColumn="0" w:noHBand="0" w:noVBand="1"/>
      </w:tblPr>
      <w:tblGrid>
        <w:gridCol w:w="2808"/>
        <w:gridCol w:w="1620"/>
        <w:gridCol w:w="1800"/>
        <w:gridCol w:w="1620"/>
        <w:gridCol w:w="1710"/>
      </w:tblGrid>
      <w:tr w:rsidR="007264CF" w:rsidRPr="00B50B1A" w:rsidTr="00C81928">
        <w:trPr>
          <w:trHeight w:val="288"/>
        </w:trPr>
        <w:tc>
          <w:tcPr>
            <w:tcW w:w="2808" w:type="dxa"/>
            <w:shd w:val="clear" w:color="auto" w:fill="D9D9D9" w:themeFill="background1" w:themeFillShade="D9"/>
            <w:noWrap/>
            <w:hideMark/>
          </w:tcPr>
          <w:p w:rsidR="007264CF" w:rsidRPr="00B50B1A" w:rsidRDefault="007264CF" w:rsidP="008F4F3C">
            <w:pPr>
              <w:jc w:val="center"/>
              <w:rPr>
                <w:b/>
              </w:rPr>
            </w:pPr>
          </w:p>
        </w:tc>
        <w:tc>
          <w:tcPr>
            <w:tcW w:w="3420" w:type="dxa"/>
            <w:gridSpan w:val="2"/>
            <w:shd w:val="clear" w:color="auto" w:fill="D9D9D9" w:themeFill="background1" w:themeFillShade="D9"/>
            <w:hideMark/>
          </w:tcPr>
          <w:p w:rsidR="007264CF" w:rsidRPr="00B50B1A" w:rsidRDefault="007264CF" w:rsidP="008F4F3C">
            <w:pPr>
              <w:jc w:val="center"/>
              <w:rPr>
                <w:b/>
              </w:rPr>
            </w:pPr>
            <w:r w:rsidRPr="00B50B1A">
              <w:rPr>
                <w:b/>
              </w:rPr>
              <w:t>Small Garage</w:t>
            </w:r>
          </w:p>
        </w:tc>
        <w:tc>
          <w:tcPr>
            <w:tcW w:w="3330" w:type="dxa"/>
            <w:gridSpan w:val="2"/>
            <w:shd w:val="clear" w:color="auto" w:fill="D9D9D9" w:themeFill="background1" w:themeFillShade="D9"/>
            <w:hideMark/>
          </w:tcPr>
          <w:p w:rsidR="007264CF" w:rsidRPr="00B50B1A" w:rsidRDefault="007264CF" w:rsidP="008F4F3C">
            <w:pPr>
              <w:jc w:val="center"/>
              <w:rPr>
                <w:b/>
              </w:rPr>
            </w:pPr>
            <w:r w:rsidRPr="00B50B1A">
              <w:rPr>
                <w:b/>
              </w:rPr>
              <w:t>Big Garage</w:t>
            </w:r>
          </w:p>
        </w:tc>
      </w:tr>
      <w:tr w:rsidR="007264CF" w:rsidRPr="00457798" w:rsidTr="008F4F3C">
        <w:trPr>
          <w:trHeight w:val="288"/>
        </w:trPr>
        <w:tc>
          <w:tcPr>
            <w:tcW w:w="2808" w:type="dxa"/>
            <w:noWrap/>
            <w:hideMark/>
          </w:tcPr>
          <w:p w:rsidR="007264CF" w:rsidRPr="00457798" w:rsidRDefault="007264CF" w:rsidP="008F4F3C">
            <w:pPr>
              <w:jc w:val="center"/>
            </w:pPr>
            <w:r w:rsidRPr="00457798">
              <w:t>Space</w:t>
            </w:r>
          </w:p>
        </w:tc>
        <w:tc>
          <w:tcPr>
            <w:tcW w:w="1620" w:type="dxa"/>
            <w:noWrap/>
            <w:hideMark/>
          </w:tcPr>
          <w:p w:rsidR="007264CF" w:rsidRPr="00457798" w:rsidRDefault="007264CF" w:rsidP="008F4F3C">
            <w:pPr>
              <w:jc w:val="center"/>
            </w:pPr>
            <w:r w:rsidRPr="00457798">
              <w:t>Area SF</w:t>
            </w:r>
          </w:p>
        </w:tc>
        <w:tc>
          <w:tcPr>
            <w:tcW w:w="1800" w:type="dxa"/>
            <w:noWrap/>
            <w:hideMark/>
          </w:tcPr>
          <w:p w:rsidR="007264CF" w:rsidRPr="00457798" w:rsidRDefault="007264CF" w:rsidP="008F4F3C">
            <w:pPr>
              <w:jc w:val="center"/>
            </w:pPr>
            <w:r w:rsidRPr="00457798">
              <w:t>%</w:t>
            </w:r>
          </w:p>
        </w:tc>
        <w:tc>
          <w:tcPr>
            <w:tcW w:w="1620" w:type="dxa"/>
            <w:noWrap/>
            <w:hideMark/>
          </w:tcPr>
          <w:p w:rsidR="007264CF" w:rsidRPr="00457798" w:rsidRDefault="007264CF" w:rsidP="008F4F3C">
            <w:pPr>
              <w:jc w:val="center"/>
            </w:pPr>
            <w:r w:rsidRPr="00457798">
              <w:t>Area SF</w:t>
            </w:r>
          </w:p>
        </w:tc>
        <w:tc>
          <w:tcPr>
            <w:tcW w:w="1710" w:type="dxa"/>
            <w:noWrap/>
            <w:hideMark/>
          </w:tcPr>
          <w:p w:rsidR="007264CF" w:rsidRPr="00457798" w:rsidRDefault="007264CF" w:rsidP="008F4F3C">
            <w:pPr>
              <w:jc w:val="center"/>
            </w:pPr>
            <w:r w:rsidRPr="00457798">
              <w:t>%</w:t>
            </w:r>
          </w:p>
        </w:tc>
      </w:tr>
      <w:tr w:rsidR="007264CF" w:rsidRPr="00457798" w:rsidTr="008F4F3C">
        <w:trPr>
          <w:trHeight w:val="288"/>
        </w:trPr>
        <w:tc>
          <w:tcPr>
            <w:tcW w:w="2808" w:type="dxa"/>
            <w:noWrap/>
            <w:hideMark/>
          </w:tcPr>
          <w:p w:rsidR="007264CF" w:rsidRPr="00457798" w:rsidRDefault="007264CF" w:rsidP="008F4F3C">
            <w:pPr>
              <w:jc w:val="center"/>
            </w:pPr>
            <w:r w:rsidRPr="00457798">
              <w:t>Gross Floor Plate</w:t>
            </w:r>
          </w:p>
        </w:tc>
        <w:tc>
          <w:tcPr>
            <w:tcW w:w="1620" w:type="dxa"/>
            <w:noWrap/>
            <w:hideMark/>
          </w:tcPr>
          <w:p w:rsidR="007264CF" w:rsidRPr="00457798" w:rsidRDefault="007264CF" w:rsidP="008F4F3C">
            <w:pPr>
              <w:jc w:val="center"/>
            </w:pPr>
            <w:r w:rsidRPr="00457798">
              <w:t>20</w:t>
            </w:r>
            <w:r w:rsidR="00725869">
              <w:t>,</w:t>
            </w:r>
            <w:r w:rsidRPr="00457798">
              <w:t>825</w:t>
            </w:r>
          </w:p>
        </w:tc>
        <w:tc>
          <w:tcPr>
            <w:tcW w:w="1800" w:type="dxa"/>
            <w:noWrap/>
            <w:hideMark/>
          </w:tcPr>
          <w:p w:rsidR="007264CF" w:rsidRPr="00457798" w:rsidRDefault="007264CF" w:rsidP="008F4F3C">
            <w:pPr>
              <w:jc w:val="center"/>
            </w:pPr>
            <w:r w:rsidRPr="00457798">
              <w:t>93.28%</w:t>
            </w:r>
          </w:p>
        </w:tc>
        <w:tc>
          <w:tcPr>
            <w:tcW w:w="1620" w:type="dxa"/>
            <w:noWrap/>
            <w:hideMark/>
          </w:tcPr>
          <w:p w:rsidR="007264CF" w:rsidRPr="00457798" w:rsidRDefault="007264CF" w:rsidP="008F4F3C">
            <w:pPr>
              <w:jc w:val="center"/>
            </w:pPr>
            <w:r w:rsidRPr="00457798">
              <w:t>96</w:t>
            </w:r>
            <w:r w:rsidR="00725869">
              <w:t>,</w:t>
            </w:r>
            <w:r w:rsidRPr="00457798">
              <w:t>000</w:t>
            </w:r>
          </w:p>
        </w:tc>
        <w:tc>
          <w:tcPr>
            <w:tcW w:w="1710" w:type="dxa"/>
            <w:noWrap/>
            <w:hideMark/>
          </w:tcPr>
          <w:p w:rsidR="007264CF" w:rsidRPr="00457798" w:rsidRDefault="007264CF" w:rsidP="008F4F3C">
            <w:pPr>
              <w:jc w:val="center"/>
            </w:pPr>
            <w:r w:rsidRPr="00457798">
              <w:t>96.0%</w:t>
            </w:r>
          </w:p>
        </w:tc>
      </w:tr>
      <w:tr w:rsidR="007264CF" w:rsidRPr="00457798" w:rsidTr="008F4F3C">
        <w:trPr>
          <w:trHeight w:val="288"/>
        </w:trPr>
        <w:tc>
          <w:tcPr>
            <w:tcW w:w="2808" w:type="dxa"/>
            <w:noWrap/>
            <w:hideMark/>
          </w:tcPr>
          <w:p w:rsidR="007264CF" w:rsidRPr="00457798" w:rsidRDefault="007264CF" w:rsidP="008F4F3C">
            <w:pPr>
              <w:jc w:val="center"/>
            </w:pPr>
            <w:r w:rsidRPr="00457798">
              <w:t>Pro rata entrance and exit</w:t>
            </w:r>
          </w:p>
        </w:tc>
        <w:tc>
          <w:tcPr>
            <w:tcW w:w="1620" w:type="dxa"/>
            <w:noWrap/>
            <w:hideMark/>
          </w:tcPr>
          <w:p w:rsidR="007264CF" w:rsidRPr="00457798" w:rsidRDefault="007264CF" w:rsidP="008F4F3C">
            <w:pPr>
              <w:jc w:val="center"/>
            </w:pPr>
            <w:r w:rsidRPr="00457798">
              <w:t>1</w:t>
            </w:r>
            <w:r w:rsidR="00725869">
              <w:t>,</w:t>
            </w:r>
            <w:r w:rsidRPr="00457798">
              <w:t>500</w:t>
            </w:r>
          </w:p>
        </w:tc>
        <w:tc>
          <w:tcPr>
            <w:tcW w:w="1800" w:type="dxa"/>
            <w:noWrap/>
            <w:hideMark/>
          </w:tcPr>
          <w:p w:rsidR="007264CF" w:rsidRPr="00457798" w:rsidRDefault="007264CF" w:rsidP="008F4F3C">
            <w:pPr>
              <w:jc w:val="center"/>
            </w:pPr>
            <w:r w:rsidRPr="00457798">
              <w:t>6.72%</w:t>
            </w:r>
          </w:p>
        </w:tc>
        <w:tc>
          <w:tcPr>
            <w:tcW w:w="1620" w:type="dxa"/>
            <w:noWrap/>
            <w:hideMark/>
          </w:tcPr>
          <w:p w:rsidR="007264CF" w:rsidRPr="00457798" w:rsidRDefault="007264CF" w:rsidP="008F4F3C">
            <w:pPr>
              <w:jc w:val="center"/>
            </w:pPr>
            <w:r w:rsidRPr="00457798">
              <w:t>4</w:t>
            </w:r>
            <w:r w:rsidR="00725869">
              <w:t>,</w:t>
            </w:r>
            <w:r w:rsidRPr="00457798">
              <w:t>000</w:t>
            </w:r>
          </w:p>
        </w:tc>
        <w:tc>
          <w:tcPr>
            <w:tcW w:w="1710" w:type="dxa"/>
            <w:noWrap/>
            <w:hideMark/>
          </w:tcPr>
          <w:p w:rsidR="007264CF" w:rsidRPr="00457798" w:rsidRDefault="007264CF" w:rsidP="008F4F3C">
            <w:pPr>
              <w:jc w:val="center"/>
            </w:pPr>
            <w:r w:rsidRPr="00457798">
              <w:t>4.0%</w:t>
            </w:r>
          </w:p>
        </w:tc>
      </w:tr>
      <w:tr w:rsidR="007264CF" w:rsidRPr="00457798" w:rsidTr="008F4F3C">
        <w:trPr>
          <w:trHeight w:val="288"/>
        </w:trPr>
        <w:tc>
          <w:tcPr>
            <w:tcW w:w="2808" w:type="dxa"/>
            <w:noWrap/>
            <w:hideMark/>
          </w:tcPr>
          <w:p w:rsidR="007264CF" w:rsidRPr="00457798" w:rsidRDefault="007264CF" w:rsidP="008F4F3C">
            <w:pPr>
              <w:jc w:val="center"/>
            </w:pPr>
            <w:r w:rsidRPr="00457798">
              <w:t>Total Gross Area</w:t>
            </w:r>
          </w:p>
        </w:tc>
        <w:tc>
          <w:tcPr>
            <w:tcW w:w="1620" w:type="dxa"/>
            <w:noWrap/>
            <w:hideMark/>
          </w:tcPr>
          <w:p w:rsidR="007264CF" w:rsidRPr="00457798" w:rsidRDefault="007264CF" w:rsidP="008F4F3C">
            <w:pPr>
              <w:jc w:val="center"/>
            </w:pPr>
            <w:r w:rsidRPr="00457798">
              <w:t>22</w:t>
            </w:r>
            <w:r w:rsidR="00725869">
              <w:t>,</w:t>
            </w:r>
            <w:r w:rsidRPr="00457798">
              <w:t>325</w:t>
            </w:r>
          </w:p>
        </w:tc>
        <w:tc>
          <w:tcPr>
            <w:tcW w:w="1800" w:type="dxa"/>
            <w:noWrap/>
            <w:hideMark/>
          </w:tcPr>
          <w:p w:rsidR="007264CF" w:rsidRPr="00457798" w:rsidRDefault="007264CF" w:rsidP="008F4F3C">
            <w:pPr>
              <w:jc w:val="center"/>
            </w:pPr>
            <w:r w:rsidRPr="00457798">
              <w:t>100.00%</w:t>
            </w:r>
          </w:p>
        </w:tc>
        <w:tc>
          <w:tcPr>
            <w:tcW w:w="1620" w:type="dxa"/>
            <w:noWrap/>
            <w:hideMark/>
          </w:tcPr>
          <w:p w:rsidR="007264CF" w:rsidRPr="00457798" w:rsidRDefault="007264CF" w:rsidP="008F4F3C">
            <w:pPr>
              <w:jc w:val="center"/>
            </w:pPr>
            <w:r w:rsidRPr="00457798">
              <w:t>100</w:t>
            </w:r>
            <w:r w:rsidR="00725869">
              <w:t>,</w:t>
            </w:r>
            <w:r w:rsidRPr="00457798">
              <w:t>000</w:t>
            </w:r>
          </w:p>
        </w:tc>
        <w:tc>
          <w:tcPr>
            <w:tcW w:w="1710" w:type="dxa"/>
            <w:noWrap/>
            <w:hideMark/>
          </w:tcPr>
          <w:p w:rsidR="007264CF" w:rsidRPr="00457798" w:rsidRDefault="007264CF" w:rsidP="008F4F3C">
            <w:pPr>
              <w:jc w:val="center"/>
            </w:pPr>
            <w:r w:rsidRPr="00457798">
              <w:t>100.0%</w:t>
            </w:r>
          </w:p>
        </w:tc>
      </w:tr>
      <w:tr w:rsidR="007264CF" w:rsidRPr="00457798" w:rsidTr="008F4F3C">
        <w:trPr>
          <w:trHeight w:val="288"/>
        </w:trPr>
        <w:tc>
          <w:tcPr>
            <w:tcW w:w="2808" w:type="dxa"/>
            <w:noWrap/>
            <w:hideMark/>
          </w:tcPr>
          <w:p w:rsidR="007264CF" w:rsidRPr="00457798" w:rsidRDefault="007264CF" w:rsidP="008F4F3C">
            <w:pPr>
              <w:jc w:val="center"/>
            </w:pPr>
            <w:r w:rsidRPr="00457798">
              <w:t>Stairs HVAC elevators</w:t>
            </w:r>
          </w:p>
        </w:tc>
        <w:tc>
          <w:tcPr>
            <w:tcW w:w="1620" w:type="dxa"/>
            <w:noWrap/>
            <w:hideMark/>
          </w:tcPr>
          <w:p w:rsidR="007264CF" w:rsidRPr="00457798" w:rsidRDefault="007264CF" w:rsidP="008F4F3C">
            <w:pPr>
              <w:jc w:val="center"/>
            </w:pPr>
            <w:r w:rsidRPr="00457798">
              <w:t>1</w:t>
            </w:r>
            <w:r w:rsidR="00725869">
              <w:t>,</w:t>
            </w:r>
            <w:r w:rsidRPr="00457798">
              <w:t>180</w:t>
            </w:r>
          </w:p>
        </w:tc>
        <w:tc>
          <w:tcPr>
            <w:tcW w:w="1800" w:type="dxa"/>
            <w:noWrap/>
            <w:hideMark/>
          </w:tcPr>
          <w:p w:rsidR="007264CF" w:rsidRPr="00457798" w:rsidRDefault="007264CF" w:rsidP="008F4F3C">
            <w:pPr>
              <w:jc w:val="center"/>
            </w:pPr>
            <w:r w:rsidRPr="00457798">
              <w:t>5.29%</w:t>
            </w:r>
          </w:p>
        </w:tc>
        <w:tc>
          <w:tcPr>
            <w:tcW w:w="1620" w:type="dxa"/>
            <w:noWrap/>
            <w:hideMark/>
          </w:tcPr>
          <w:p w:rsidR="007264CF" w:rsidRPr="00457798" w:rsidRDefault="007264CF" w:rsidP="008F4F3C">
            <w:pPr>
              <w:jc w:val="center"/>
            </w:pPr>
            <w:r w:rsidRPr="00457798">
              <w:t>5</w:t>
            </w:r>
            <w:r w:rsidR="00725869">
              <w:t>,</w:t>
            </w:r>
            <w:r w:rsidRPr="00457798">
              <w:t>000</w:t>
            </w:r>
          </w:p>
        </w:tc>
        <w:tc>
          <w:tcPr>
            <w:tcW w:w="1710" w:type="dxa"/>
            <w:noWrap/>
            <w:hideMark/>
          </w:tcPr>
          <w:p w:rsidR="007264CF" w:rsidRPr="00457798" w:rsidRDefault="007264CF" w:rsidP="008F4F3C">
            <w:pPr>
              <w:jc w:val="center"/>
            </w:pPr>
            <w:r w:rsidRPr="00457798">
              <w:t>5.0%</w:t>
            </w:r>
          </w:p>
        </w:tc>
      </w:tr>
      <w:tr w:rsidR="007264CF" w:rsidRPr="00457798" w:rsidTr="008F4F3C">
        <w:trPr>
          <w:trHeight w:val="288"/>
        </w:trPr>
        <w:tc>
          <w:tcPr>
            <w:tcW w:w="2808" w:type="dxa"/>
            <w:noWrap/>
            <w:hideMark/>
          </w:tcPr>
          <w:p w:rsidR="007264CF" w:rsidRPr="00457798" w:rsidRDefault="007264CF" w:rsidP="008F4F3C">
            <w:pPr>
              <w:jc w:val="center"/>
            </w:pPr>
            <w:r w:rsidRPr="00457798">
              <w:t>Park</w:t>
            </w:r>
          </w:p>
        </w:tc>
        <w:tc>
          <w:tcPr>
            <w:tcW w:w="1620" w:type="dxa"/>
            <w:noWrap/>
            <w:hideMark/>
          </w:tcPr>
          <w:p w:rsidR="007264CF" w:rsidRPr="00457798" w:rsidRDefault="007264CF" w:rsidP="008F4F3C">
            <w:pPr>
              <w:jc w:val="center"/>
            </w:pPr>
            <w:r w:rsidRPr="00457798">
              <w:t>7</w:t>
            </w:r>
            <w:r w:rsidR="00725869">
              <w:t>,</w:t>
            </w:r>
            <w:r w:rsidRPr="00457798">
              <w:t>420</w:t>
            </w:r>
          </w:p>
        </w:tc>
        <w:tc>
          <w:tcPr>
            <w:tcW w:w="1800" w:type="dxa"/>
            <w:noWrap/>
            <w:hideMark/>
          </w:tcPr>
          <w:p w:rsidR="007264CF" w:rsidRPr="00457798" w:rsidRDefault="007264CF" w:rsidP="008F4F3C">
            <w:pPr>
              <w:jc w:val="center"/>
            </w:pPr>
            <w:r w:rsidRPr="00457798">
              <w:t>33.24%</w:t>
            </w:r>
          </w:p>
        </w:tc>
        <w:tc>
          <w:tcPr>
            <w:tcW w:w="1620" w:type="dxa"/>
            <w:noWrap/>
            <w:hideMark/>
          </w:tcPr>
          <w:p w:rsidR="007264CF" w:rsidRPr="00457798" w:rsidRDefault="007264CF" w:rsidP="008F4F3C">
            <w:pPr>
              <w:jc w:val="center"/>
            </w:pPr>
            <w:r w:rsidRPr="00457798">
              <w:t>45</w:t>
            </w:r>
            <w:r w:rsidR="00725869">
              <w:t>,</w:t>
            </w:r>
            <w:r w:rsidRPr="00457798">
              <w:t>000</w:t>
            </w:r>
          </w:p>
        </w:tc>
        <w:tc>
          <w:tcPr>
            <w:tcW w:w="1710" w:type="dxa"/>
            <w:noWrap/>
            <w:hideMark/>
          </w:tcPr>
          <w:p w:rsidR="007264CF" w:rsidRPr="00457798" w:rsidRDefault="007264CF" w:rsidP="008F4F3C">
            <w:pPr>
              <w:jc w:val="center"/>
            </w:pPr>
            <w:r w:rsidRPr="00457798">
              <w:t>45.0%</w:t>
            </w:r>
          </w:p>
        </w:tc>
      </w:tr>
      <w:tr w:rsidR="007264CF" w:rsidRPr="00457798" w:rsidTr="008F4F3C">
        <w:trPr>
          <w:trHeight w:val="288"/>
        </w:trPr>
        <w:tc>
          <w:tcPr>
            <w:tcW w:w="2808" w:type="dxa"/>
            <w:noWrap/>
            <w:hideMark/>
          </w:tcPr>
          <w:p w:rsidR="007264CF" w:rsidRPr="00457798" w:rsidRDefault="007264CF" w:rsidP="008F4F3C">
            <w:pPr>
              <w:jc w:val="center"/>
            </w:pPr>
            <w:r w:rsidRPr="00457798">
              <w:t>Entrance Exit</w:t>
            </w:r>
          </w:p>
        </w:tc>
        <w:tc>
          <w:tcPr>
            <w:tcW w:w="1620" w:type="dxa"/>
            <w:noWrap/>
            <w:hideMark/>
          </w:tcPr>
          <w:p w:rsidR="007264CF" w:rsidRPr="00457798" w:rsidRDefault="007264CF" w:rsidP="008F4F3C">
            <w:pPr>
              <w:jc w:val="center"/>
            </w:pPr>
            <w:r w:rsidRPr="00457798">
              <w:t>1</w:t>
            </w:r>
            <w:r w:rsidR="00725869">
              <w:t>,</w:t>
            </w:r>
            <w:r w:rsidRPr="00457798">
              <w:t>500</w:t>
            </w:r>
          </w:p>
        </w:tc>
        <w:tc>
          <w:tcPr>
            <w:tcW w:w="1800" w:type="dxa"/>
            <w:noWrap/>
            <w:hideMark/>
          </w:tcPr>
          <w:p w:rsidR="007264CF" w:rsidRPr="00457798" w:rsidRDefault="007264CF" w:rsidP="008F4F3C">
            <w:pPr>
              <w:jc w:val="center"/>
            </w:pPr>
            <w:r w:rsidRPr="00457798">
              <w:t>6.72%</w:t>
            </w:r>
          </w:p>
        </w:tc>
        <w:tc>
          <w:tcPr>
            <w:tcW w:w="1620" w:type="dxa"/>
            <w:noWrap/>
            <w:hideMark/>
          </w:tcPr>
          <w:p w:rsidR="007264CF" w:rsidRPr="00457798" w:rsidRDefault="007264CF" w:rsidP="008F4F3C">
            <w:pPr>
              <w:jc w:val="center"/>
            </w:pPr>
            <w:r w:rsidRPr="00457798">
              <w:t>4</w:t>
            </w:r>
            <w:r w:rsidR="00725869">
              <w:t>,</w:t>
            </w:r>
            <w:r w:rsidRPr="00457798">
              <w:t>000</w:t>
            </w:r>
          </w:p>
        </w:tc>
        <w:tc>
          <w:tcPr>
            <w:tcW w:w="1710" w:type="dxa"/>
            <w:noWrap/>
            <w:hideMark/>
          </w:tcPr>
          <w:p w:rsidR="007264CF" w:rsidRPr="00457798" w:rsidRDefault="007264CF" w:rsidP="008F4F3C">
            <w:pPr>
              <w:jc w:val="center"/>
            </w:pPr>
            <w:r w:rsidRPr="00457798">
              <w:t>4.0%</w:t>
            </w:r>
          </w:p>
        </w:tc>
      </w:tr>
      <w:tr w:rsidR="007264CF" w:rsidRPr="00457798" w:rsidTr="008F4F3C">
        <w:trPr>
          <w:trHeight w:val="288"/>
        </w:trPr>
        <w:tc>
          <w:tcPr>
            <w:tcW w:w="2808" w:type="dxa"/>
            <w:noWrap/>
            <w:hideMark/>
          </w:tcPr>
          <w:p w:rsidR="007264CF" w:rsidRPr="00457798" w:rsidRDefault="007264CF" w:rsidP="008F4F3C">
            <w:pPr>
              <w:jc w:val="center"/>
            </w:pPr>
            <w:r w:rsidRPr="00457798">
              <w:t>Drive</w:t>
            </w:r>
            <w:r>
              <w:t xml:space="preserve"> aisle and ramps</w:t>
            </w:r>
          </w:p>
        </w:tc>
        <w:tc>
          <w:tcPr>
            <w:tcW w:w="1620" w:type="dxa"/>
            <w:noWrap/>
            <w:hideMark/>
          </w:tcPr>
          <w:p w:rsidR="007264CF" w:rsidRPr="00457798" w:rsidRDefault="007264CF" w:rsidP="008F4F3C">
            <w:pPr>
              <w:jc w:val="center"/>
            </w:pPr>
            <w:r w:rsidRPr="00457798">
              <w:t>12</w:t>
            </w:r>
            <w:r w:rsidR="00725869">
              <w:t>,</w:t>
            </w:r>
            <w:r w:rsidRPr="00457798">
              <w:t>225</w:t>
            </w:r>
          </w:p>
        </w:tc>
        <w:tc>
          <w:tcPr>
            <w:tcW w:w="1800" w:type="dxa"/>
            <w:noWrap/>
            <w:hideMark/>
          </w:tcPr>
          <w:p w:rsidR="007264CF" w:rsidRPr="00457798" w:rsidRDefault="007264CF" w:rsidP="008F4F3C">
            <w:pPr>
              <w:jc w:val="center"/>
            </w:pPr>
            <w:r w:rsidRPr="00457798">
              <w:t>54.76%</w:t>
            </w:r>
          </w:p>
        </w:tc>
        <w:tc>
          <w:tcPr>
            <w:tcW w:w="1620" w:type="dxa"/>
            <w:noWrap/>
            <w:hideMark/>
          </w:tcPr>
          <w:p w:rsidR="007264CF" w:rsidRPr="00457798" w:rsidRDefault="007264CF" w:rsidP="008F4F3C">
            <w:pPr>
              <w:jc w:val="center"/>
            </w:pPr>
            <w:r w:rsidRPr="00457798">
              <w:t>47</w:t>
            </w:r>
            <w:r w:rsidR="00725869">
              <w:t>,</w:t>
            </w:r>
            <w:r w:rsidRPr="00457798">
              <w:t>500</w:t>
            </w:r>
          </w:p>
        </w:tc>
        <w:tc>
          <w:tcPr>
            <w:tcW w:w="1710" w:type="dxa"/>
            <w:noWrap/>
            <w:hideMark/>
          </w:tcPr>
          <w:p w:rsidR="007264CF" w:rsidRPr="00457798" w:rsidRDefault="007264CF" w:rsidP="008F4F3C">
            <w:pPr>
              <w:jc w:val="center"/>
            </w:pPr>
            <w:r w:rsidRPr="00457798">
              <w:t>47.5%</w:t>
            </w:r>
          </w:p>
        </w:tc>
      </w:tr>
      <w:tr w:rsidR="007264CF" w:rsidRPr="00457798" w:rsidTr="008F4F3C">
        <w:trPr>
          <w:trHeight w:val="288"/>
        </w:trPr>
        <w:tc>
          <w:tcPr>
            <w:tcW w:w="2808" w:type="dxa"/>
            <w:noWrap/>
            <w:hideMark/>
          </w:tcPr>
          <w:p w:rsidR="007264CF" w:rsidRPr="00457798" w:rsidRDefault="00540EA9" w:rsidP="00051A38">
            <w:pPr>
              <w:jc w:val="center"/>
            </w:pPr>
            <w:r w:rsidRPr="00457798">
              <w:t>Day</w:t>
            </w:r>
            <w:r w:rsidR="00051A38">
              <w:t xml:space="preserve"> </w:t>
            </w:r>
            <w:r w:rsidRPr="00457798">
              <w:t>lit</w:t>
            </w:r>
            <w:r w:rsidR="007264CF" w:rsidRPr="00457798">
              <w:t xml:space="preserve"> zone</w:t>
            </w:r>
          </w:p>
        </w:tc>
        <w:tc>
          <w:tcPr>
            <w:tcW w:w="1620" w:type="dxa"/>
            <w:noWrap/>
            <w:hideMark/>
          </w:tcPr>
          <w:p w:rsidR="007264CF" w:rsidRPr="00457798" w:rsidRDefault="007264CF" w:rsidP="008F4F3C">
            <w:pPr>
              <w:jc w:val="center"/>
            </w:pPr>
            <w:r w:rsidRPr="00457798">
              <w:t>2</w:t>
            </w:r>
            <w:r w:rsidR="00725869">
              <w:t>,</w:t>
            </w:r>
            <w:r w:rsidRPr="00457798">
              <w:t>955</w:t>
            </w:r>
          </w:p>
        </w:tc>
        <w:tc>
          <w:tcPr>
            <w:tcW w:w="1800" w:type="dxa"/>
            <w:noWrap/>
            <w:hideMark/>
          </w:tcPr>
          <w:p w:rsidR="007264CF" w:rsidRPr="00457798" w:rsidRDefault="007264CF" w:rsidP="008F4F3C">
            <w:pPr>
              <w:jc w:val="center"/>
            </w:pPr>
            <w:r w:rsidRPr="00457798">
              <w:t>13.24%</w:t>
            </w:r>
          </w:p>
        </w:tc>
        <w:tc>
          <w:tcPr>
            <w:tcW w:w="1620" w:type="dxa"/>
            <w:noWrap/>
            <w:hideMark/>
          </w:tcPr>
          <w:p w:rsidR="007264CF" w:rsidRPr="00457798" w:rsidRDefault="007264CF" w:rsidP="008F4F3C">
            <w:pPr>
              <w:jc w:val="center"/>
            </w:pPr>
            <w:r w:rsidRPr="00457798">
              <w:t>10</w:t>
            </w:r>
            <w:r w:rsidR="00725869">
              <w:t>,</w:t>
            </w:r>
            <w:r w:rsidRPr="00457798">
              <w:t>896</w:t>
            </w:r>
          </w:p>
        </w:tc>
        <w:tc>
          <w:tcPr>
            <w:tcW w:w="1710" w:type="dxa"/>
            <w:noWrap/>
            <w:hideMark/>
          </w:tcPr>
          <w:p w:rsidR="007264CF" w:rsidRPr="00457798" w:rsidRDefault="007264CF" w:rsidP="008F4F3C">
            <w:pPr>
              <w:jc w:val="center"/>
            </w:pPr>
            <w:r w:rsidRPr="00457798">
              <w:t>10.9%</w:t>
            </w:r>
          </w:p>
        </w:tc>
      </w:tr>
      <w:tr w:rsidR="007264CF" w:rsidRPr="00457798" w:rsidTr="008F4F3C">
        <w:trPr>
          <w:trHeight w:val="288"/>
        </w:trPr>
        <w:tc>
          <w:tcPr>
            <w:tcW w:w="2808" w:type="dxa"/>
            <w:noWrap/>
          </w:tcPr>
          <w:p w:rsidR="007264CF" w:rsidRPr="00457798" w:rsidRDefault="007264CF" w:rsidP="008F4F3C">
            <w:pPr>
              <w:jc w:val="center"/>
            </w:pPr>
            <w:r>
              <w:t>Stall area</w:t>
            </w:r>
          </w:p>
        </w:tc>
        <w:tc>
          <w:tcPr>
            <w:tcW w:w="1620" w:type="dxa"/>
            <w:noWrap/>
          </w:tcPr>
          <w:p w:rsidR="007264CF" w:rsidRPr="00457798" w:rsidRDefault="007264CF" w:rsidP="008F4F3C">
            <w:pPr>
              <w:jc w:val="center"/>
            </w:pPr>
            <w:r>
              <w:t>162</w:t>
            </w:r>
          </w:p>
        </w:tc>
        <w:tc>
          <w:tcPr>
            <w:tcW w:w="1800" w:type="dxa"/>
            <w:noWrap/>
          </w:tcPr>
          <w:p w:rsidR="007264CF" w:rsidRPr="00457798" w:rsidRDefault="007264CF" w:rsidP="008F4F3C">
            <w:pPr>
              <w:jc w:val="center"/>
            </w:pPr>
            <w:r>
              <w:t>n/a</w:t>
            </w:r>
          </w:p>
        </w:tc>
        <w:tc>
          <w:tcPr>
            <w:tcW w:w="1620" w:type="dxa"/>
            <w:noWrap/>
          </w:tcPr>
          <w:p w:rsidR="007264CF" w:rsidRPr="00457798" w:rsidRDefault="007264CF" w:rsidP="008F4F3C">
            <w:pPr>
              <w:jc w:val="center"/>
            </w:pPr>
            <w:r>
              <w:t>162</w:t>
            </w:r>
          </w:p>
        </w:tc>
        <w:tc>
          <w:tcPr>
            <w:tcW w:w="1710" w:type="dxa"/>
            <w:noWrap/>
          </w:tcPr>
          <w:p w:rsidR="007264CF" w:rsidRPr="00457798" w:rsidRDefault="007264CF" w:rsidP="008F4F3C">
            <w:pPr>
              <w:jc w:val="center"/>
            </w:pPr>
            <w:r>
              <w:t>n/a</w:t>
            </w:r>
          </w:p>
        </w:tc>
      </w:tr>
      <w:tr w:rsidR="007264CF" w:rsidRPr="00457798" w:rsidTr="008F4F3C">
        <w:trPr>
          <w:trHeight w:val="288"/>
        </w:trPr>
        <w:tc>
          <w:tcPr>
            <w:tcW w:w="2808" w:type="dxa"/>
            <w:noWrap/>
          </w:tcPr>
          <w:p w:rsidR="007264CF" w:rsidRDefault="007264CF" w:rsidP="008F4F3C">
            <w:pPr>
              <w:jc w:val="center"/>
            </w:pPr>
            <w:r>
              <w:t>Stalls/floor</w:t>
            </w:r>
          </w:p>
        </w:tc>
        <w:tc>
          <w:tcPr>
            <w:tcW w:w="1620" w:type="dxa"/>
            <w:noWrap/>
          </w:tcPr>
          <w:p w:rsidR="007264CF" w:rsidRDefault="007264CF" w:rsidP="008F4F3C">
            <w:pPr>
              <w:jc w:val="center"/>
            </w:pPr>
            <w:r>
              <w:t>46</w:t>
            </w:r>
          </w:p>
        </w:tc>
        <w:tc>
          <w:tcPr>
            <w:tcW w:w="1800" w:type="dxa"/>
            <w:noWrap/>
          </w:tcPr>
          <w:p w:rsidR="007264CF" w:rsidRPr="00457798" w:rsidRDefault="007264CF" w:rsidP="008F4F3C">
            <w:pPr>
              <w:jc w:val="center"/>
            </w:pPr>
            <w:r>
              <w:t>n/a</w:t>
            </w:r>
          </w:p>
        </w:tc>
        <w:tc>
          <w:tcPr>
            <w:tcW w:w="1620" w:type="dxa"/>
            <w:noWrap/>
          </w:tcPr>
          <w:p w:rsidR="007264CF" w:rsidRDefault="007264CF" w:rsidP="008F4F3C">
            <w:pPr>
              <w:jc w:val="center"/>
            </w:pPr>
            <w:r>
              <w:t>280</w:t>
            </w:r>
          </w:p>
        </w:tc>
        <w:tc>
          <w:tcPr>
            <w:tcW w:w="1710" w:type="dxa"/>
            <w:noWrap/>
          </w:tcPr>
          <w:p w:rsidR="007264CF" w:rsidRPr="00457798" w:rsidRDefault="007264CF" w:rsidP="008F4F3C">
            <w:pPr>
              <w:jc w:val="center"/>
            </w:pPr>
            <w:r>
              <w:t>n/a</w:t>
            </w:r>
          </w:p>
        </w:tc>
      </w:tr>
      <w:tr w:rsidR="007264CF" w:rsidRPr="00457798" w:rsidTr="008F4F3C">
        <w:trPr>
          <w:trHeight w:val="288"/>
        </w:trPr>
        <w:tc>
          <w:tcPr>
            <w:tcW w:w="2808" w:type="dxa"/>
            <w:noWrap/>
          </w:tcPr>
          <w:p w:rsidR="007264CF" w:rsidRDefault="007264CF" w:rsidP="008F4F3C">
            <w:pPr>
              <w:jc w:val="center"/>
            </w:pPr>
            <w:r>
              <w:t>SF/stall</w:t>
            </w:r>
          </w:p>
        </w:tc>
        <w:tc>
          <w:tcPr>
            <w:tcW w:w="1620" w:type="dxa"/>
            <w:noWrap/>
          </w:tcPr>
          <w:p w:rsidR="007264CF" w:rsidRDefault="007264CF" w:rsidP="008F4F3C">
            <w:pPr>
              <w:jc w:val="center"/>
            </w:pPr>
            <w:r>
              <w:t>485</w:t>
            </w:r>
          </w:p>
        </w:tc>
        <w:tc>
          <w:tcPr>
            <w:tcW w:w="1800" w:type="dxa"/>
            <w:noWrap/>
          </w:tcPr>
          <w:p w:rsidR="007264CF" w:rsidRPr="00457798" w:rsidRDefault="007264CF" w:rsidP="008F4F3C">
            <w:pPr>
              <w:jc w:val="center"/>
            </w:pPr>
            <w:r>
              <w:t>n/a</w:t>
            </w:r>
          </w:p>
        </w:tc>
        <w:tc>
          <w:tcPr>
            <w:tcW w:w="1620" w:type="dxa"/>
            <w:noWrap/>
          </w:tcPr>
          <w:p w:rsidR="007264CF" w:rsidRDefault="007264CF" w:rsidP="008F4F3C">
            <w:pPr>
              <w:jc w:val="center"/>
            </w:pPr>
            <w:r>
              <w:t>357</w:t>
            </w:r>
          </w:p>
        </w:tc>
        <w:tc>
          <w:tcPr>
            <w:tcW w:w="1710" w:type="dxa"/>
            <w:noWrap/>
          </w:tcPr>
          <w:p w:rsidR="007264CF" w:rsidRPr="00457798" w:rsidRDefault="007264CF" w:rsidP="008F4F3C">
            <w:pPr>
              <w:jc w:val="center"/>
            </w:pPr>
            <w:r>
              <w:t>n/a</w:t>
            </w:r>
          </w:p>
        </w:tc>
      </w:tr>
    </w:tbl>
    <w:p w:rsidR="00725869" w:rsidRDefault="00725869" w:rsidP="007264CF"/>
    <w:p w:rsidR="00725869" w:rsidRDefault="00725869" w:rsidP="007264CF"/>
    <w:p w:rsidR="007264CF" w:rsidRDefault="007264CF" w:rsidP="007264CF">
      <w:r>
        <w:lastRenderedPageBreak/>
        <w:t xml:space="preserve">For the purposes of lighting analysis, </w:t>
      </w:r>
      <w:r w:rsidR="00E97909">
        <w:t>the Benya Burnett Consultancy document</w:t>
      </w:r>
      <w:r>
        <w:t xml:space="preserve"> assume</w:t>
      </w:r>
      <w:r w:rsidR="00E97909">
        <w:t>d</w:t>
      </w:r>
      <w:r>
        <w:t xml:space="preserve"> a user comfort factor 4 (9’ wid</w:t>
      </w:r>
      <w:r w:rsidR="00E97909">
        <w:t>e stall) with 90 degree parking</w:t>
      </w:r>
      <w:r>
        <w:t xml:space="preserve">. The AC Hotel garage design used these </w:t>
      </w:r>
      <w:r w:rsidR="00E97909">
        <w:t xml:space="preserve">same </w:t>
      </w:r>
      <w:r w:rsidR="005C052E">
        <w:t xml:space="preserve">values. </w:t>
      </w:r>
      <w:r w:rsidR="00E97909">
        <w:t>The document indicated</w:t>
      </w:r>
      <w:r>
        <w:t xml:space="preserve"> that compact car stalls and accessible parking stalls</w:t>
      </w:r>
      <w:r w:rsidR="00E97909">
        <w:t xml:space="preserve"> are not specifically addressed. However, based on their lighting design</w:t>
      </w:r>
      <w:r>
        <w:t xml:space="preserve"> experience </w:t>
      </w:r>
      <w:r w:rsidR="00E97909">
        <w:t>with parking garages,</w:t>
      </w:r>
      <w:r>
        <w:t xml:space="preserve"> on the average, </w:t>
      </w:r>
      <w:r w:rsidR="00E97909">
        <w:t>compact car stalls and accessible parking stalls are typically worked into the design</w:t>
      </w:r>
      <w:r>
        <w:t xml:space="preserve"> using compact stalls (which are narrower) to offset accessible stalls (which are wider).</w:t>
      </w:r>
    </w:p>
    <w:p w:rsidR="00E97909" w:rsidRDefault="00E97909" w:rsidP="00E97909">
      <w:pPr>
        <w:pStyle w:val="Heading2"/>
      </w:pPr>
      <w:r>
        <w:t>Alternative Designs</w:t>
      </w:r>
    </w:p>
    <w:p w:rsidR="00E15FE7" w:rsidRDefault="00E97909" w:rsidP="00E97909">
      <w:r>
        <w:t xml:space="preserve">All of the following designs </w:t>
      </w:r>
      <w:r w:rsidR="008D368C">
        <w:t>were</w:t>
      </w:r>
      <w:r>
        <w:t xml:space="preserve"> analyzed for a nominal 90 foot long by 62 foot wide parking garage with an 8’ flat ceiling, clean natural concrete ceiling, floors and walls, 70% lumen maintenance factor. </w:t>
      </w:r>
      <w:r w:rsidRPr="00F94347">
        <w:rPr>
          <w:b/>
        </w:rPr>
        <w:t>Note that the lighting power density is for the parking and aisle areas only.</w:t>
      </w:r>
      <w:r>
        <w:t xml:space="preserve">  </w:t>
      </w:r>
    </w:p>
    <w:p w:rsidR="008D368C" w:rsidRDefault="008D368C" w:rsidP="00E97909"/>
    <w:p w:rsidR="00E97909" w:rsidRDefault="00E97909" w:rsidP="00E97909">
      <w:r>
        <w:t>The overall power density of the entire garage floor is larger due to the need for higher light levels around elevator and lobby cores</w:t>
      </w:r>
      <w:r w:rsidRPr="00926ABE">
        <w:t xml:space="preserve"> </w:t>
      </w:r>
      <w:r w:rsidR="008D368C">
        <w:t xml:space="preserve">and circulation areas. </w:t>
      </w:r>
      <w:r>
        <w:t>Title 24-2016 Area Category Method allows 0.14 w/sf lighting power density (LPD) for the garage floor, not including transition zones, stairs or enclosed sp</w:t>
      </w:r>
      <w:r w:rsidR="008D368C">
        <w:t xml:space="preserve">aces such as mechanical rooms. </w:t>
      </w:r>
      <w:r>
        <w:t>The whole building LPD is 0.20 w/sf</w:t>
      </w:r>
      <w:r w:rsidR="008D368C">
        <w:t>. This approach</w:t>
      </w:r>
      <w:r>
        <w:t xml:space="preserve"> is adequate for most garages and requires fewer code compliance documents.</w:t>
      </w:r>
    </w:p>
    <w:p w:rsidR="008D368C" w:rsidRDefault="00E97909" w:rsidP="00E97909">
      <w:pPr>
        <w:rPr>
          <w:b/>
        </w:rPr>
      </w:pPr>
      <w:r w:rsidRPr="0063258C">
        <w:rPr>
          <w:b/>
        </w:rPr>
        <w:t xml:space="preserve">Also note:  these </w:t>
      </w:r>
      <w:r w:rsidR="005C052E">
        <w:rPr>
          <w:b/>
        </w:rPr>
        <w:t xml:space="preserve">designs assume a flat ceiling. </w:t>
      </w:r>
      <w:r w:rsidRPr="0063258C">
        <w:rPr>
          <w:b/>
        </w:rPr>
        <w:t xml:space="preserve">Beams can seriously reduce lighting levels and/or create dark spots, and will cause higher lighting power use. </w:t>
      </w:r>
    </w:p>
    <w:p w:rsidR="008D368C" w:rsidRDefault="008D368C" w:rsidP="00E97909">
      <w:pPr>
        <w:rPr>
          <w:b/>
        </w:rPr>
      </w:pPr>
    </w:p>
    <w:p w:rsidR="00E97909" w:rsidRDefault="00E97909" w:rsidP="00E97909">
      <w:r>
        <w:t>For this reason alone, the Title 24 allowance of .14 w/sf is necessary.</w:t>
      </w:r>
      <w:r w:rsidR="00E15FE7">
        <w:t xml:space="preserve"> </w:t>
      </w:r>
      <w:r>
        <w:t>The following designs illustrate different methods of complying with IES RP-20-14 and building energy efficiency standar</w:t>
      </w:r>
      <w:r w:rsidR="00472C01">
        <w:t xml:space="preserve">ds using fluorescent lighting. </w:t>
      </w:r>
      <w:r>
        <w:t>Designs 1a and 1b cannot use motion sensors per the energy code, and are not required to use daylight sensors.</w:t>
      </w:r>
    </w:p>
    <w:p w:rsidR="00E97909" w:rsidRDefault="0070400C" w:rsidP="00E97909">
      <w:pPr>
        <w:pStyle w:val="Heading3"/>
      </w:pPr>
      <w:r>
        <w:rPr>
          <w:noProof/>
        </w:rPr>
        <w:drawing>
          <wp:anchor distT="0" distB="0" distL="114300" distR="114300" simplePos="0" relativeHeight="251664384" behindDoc="0" locked="0" layoutInCell="1" allowOverlap="1" wp14:anchorId="45647039" wp14:editId="39320D3E">
            <wp:simplePos x="0" y="0"/>
            <wp:positionH relativeFrom="column">
              <wp:posOffset>4396105</wp:posOffset>
            </wp:positionH>
            <wp:positionV relativeFrom="paragraph">
              <wp:posOffset>572135</wp:posOffset>
            </wp:positionV>
            <wp:extent cx="1776095" cy="2643505"/>
            <wp:effectExtent l="0" t="0" r="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1386" t="1035" r="-45" b="8539"/>
                    <a:stretch/>
                  </pic:blipFill>
                  <pic:spPr bwMode="auto">
                    <a:xfrm>
                      <a:off x="0" y="0"/>
                      <a:ext cx="1776095" cy="2643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5032CD1A" wp14:editId="47F34685">
            <wp:simplePos x="0" y="0"/>
            <wp:positionH relativeFrom="column">
              <wp:posOffset>0</wp:posOffset>
            </wp:positionH>
            <wp:positionV relativeFrom="paragraph">
              <wp:posOffset>206375</wp:posOffset>
            </wp:positionV>
            <wp:extent cx="4337685" cy="3028315"/>
            <wp:effectExtent l="0" t="0" r="5715" b="6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37685" cy="3028315"/>
                    </a:xfrm>
                    <a:prstGeom prst="rect">
                      <a:avLst/>
                    </a:prstGeom>
                  </pic:spPr>
                </pic:pic>
              </a:graphicData>
            </a:graphic>
            <wp14:sizeRelH relativeFrom="page">
              <wp14:pctWidth>0</wp14:pctWidth>
            </wp14:sizeRelH>
            <wp14:sizeRelV relativeFrom="page">
              <wp14:pctHeight>0</wp14:pctHeight>
            </wp14:sizeRelV>
          </wp:anchor>
        </w:drawing>
      </w:r>
      <w:r w:rsidR="00E97909">
        <w:rPr>
          <w:noProof/>
        </w:rPr>
        <mc:AlternateContent>
          <mc:Choice Requires="wps">
            <w:drawing>
              <wp:anchor distT="0" distB="0" distL="114300" distR="114300" simplePos="0" relativeHeight="251669504" behindDoc="0" locked="0" layoutInCell="1" allowOverlap="1" wp14:anchorId="5AE5419E" wp14:editId="28133A6B">
                <wp:simplePos x="0" y="0"/>
                <wp:positionH relativeFrom="column">
                  <wp:posOffset>4884420</wp:posOffset>
                </wp:positionH>
                <wp:positionV relativeFrom="paragraph">
                  <wp:posOffset>1745615</wp:posOffset>
                </wp:positionV>
                <wp:extent cx="664845" cy="82550"/>
                <wp:effectExtent l="0" t="0" r="20955" b="12700"/>
                <wp:wrapNone/>
                <wp:docPr id="14" name="Rectangle 14"/>
                <wp:cNvGraphicFramePr/>
                <a:graphic xmlns:a="http://schemas.openxmlformats.org/drawingml/2006/main">
                  <a:graphicData uri="http://schemas.microsoft.com/office/word/2010/wordprocessingShape">
                    <wps:wsp>
                      <wps:cNvSpPr/>
                      <wps:spPr>
                        <a:xfrm>
                          <a:off x="0" y="0"/>
                          <a:ext cx="664845" cy="8255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384.6pt;margin-top:137.45pt;width:52.35pt;height: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" fillcolor="window" strokecolor="window" strokeweight="2pt"/>
            </w:pict>
          </mc:Fallback>
        </mc:AlternateContent>
      </w:r>
    </w:p>
    <w:p w:rsidR="0070400C" w:rsidRDefault="0070400C" w:rsidP="00E97909"/>
    <w:p w:rsidR="0070400C" w:rsidRPr="0070400C" w:rsidRDefault="0070400C" w:rsidP="0070400C"/>
    <w:p w:rsidR="00E97909" w:rsidRPr="0070400C" w:rsidRDefault="00472C01" w:rsidP="001879E2">
      <w:pPr>
        <w:tabs>
          <w:tab w:val="left" w:pos="3548"/>
        </w:tabs>
        <w:jc w:val="center"/>
      </w:pPr>
      <w:r>
        <w:rPr>
          <w:b/>
          <w:szCs w:val="22"/>
        </w:rPr>
        <w:t>Figure 4</w:t>
      </w:r>
      <w:r w:rsidR="00E15FE7">
        <w:rPr>
          <w:b/>
          <w:szCs w:val="22"/>
        </w:rPr>
        <w:t xml:space="preserve">. </w:t>
      </w:r>
      <w:r w:rsidR="00E15FE7" w:rsidRPr="0070400C">
        <w:rPr>
          <w:szCs w:val="22"/>
        </w:rPr>
        <w:t>Des</w:t>
      </w:r>
      <w:r w:rsidR="009B4977">
        <w:rPr>
          <w:szCs w:val="22"/>
        </w:rPr>
        <w:t xml:space="preserve">ign 1a – Lowest cost and power </w:t>
      </w:r>
      <w:r w:rsidR="00E15FE7" w:rsidRPr="0070400C">
        <w:rPr>
          <w:szCs w:val="22"/>
        </w:rPr>
        <w:t>with strip lights</w:t>
      </w:r>
    </w:p>
    <w:p w:rsidR="00E97909" w:rsidRDefault="00E97909" w:rsidP="00E97909">
      <w:pPr>
        <w:pStyle w:val="Heading3"/>
      </w:pPr>
      <w:r>
        <w:rPr>
          <w:noProof/>
        </w:rPr>
        <w:lastRenderedPageBreak/>
        <mc:AlternateContent>
          <mc:Choice Requires="wps">
            <w:drawing>
              <wp:anchor distT="0" distB="0" distL="114300" distR="114300" simplePos="0" relativeHeight="251668480" behindDoc="0" locked="0" layoutInCell="1" allowOverlap="1" wp14:anchorId="04B4E38E" wp14:editId="2A8A7968">
                <wp:simplePos x="0" y="0"/>
                <wp:positionH relativeFrom="column">
                  <wp:posOffset>4732317</wp:posOffset>
                </wp:positionH>
                <wp:positionV relativeFrom="paragraph">
                  <wp:posOffset>1740997</wp:posOffset>
                </wp:positionV>
                <wp:extent cx="665018" cy="83127"/>
                <wp:effectExtent l="0" t="0" r="20955" b="12700"/>
                <wp:wrapNone/>
                <wp:docPr id="13" name="Rectangle 13"/>
                <wp:cNvGraphicFramePr/>
                <a:graphic xmlns:a="http://schemas.openxmlformats.org/drawingml/2006/main">
                  <a:graphicData uri="http://schemas.microsoft.com/office/word/2010/wordprocessingShape">
                    <wps:wsp>
                      <wps:cNvSpPr/>
                      <wps:spPr>
                        <a:xfrm>
                          <a:off x="0" y="0"/>
                          <a:ext cx="665018" cy="831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372.6pt;margin-top:137.1pt;width:52.35pt;height:6.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" fillcolor="white [3212]" strokecolor="white [3212]" strokeweight="2pt"/>
            </w:pict>
          </mc:Fallback>
        </mc:AlternateContent>
      </w:r>
      <w:r>
        <w:rPr>
          <w:noProof/>
        </w:rPr>
        <w:drawing>
          <wp:anchor distT="0" distB="0" distL="114300" distR="114300" simplePos="0" relativeHeight="251665408" behindDoc="0" locked="0" layoutInCell="1" allowOverlap="1" wp14:anchorId="1D6054D0" wp14:editId="13A274B9">
            <wp:simplePos x="0" y="0"/>
            <wp:positionH relativeFrom="column">
              <wp:posOffset>0</wp:posOffset>
            </wp:positionH>
            <wp:positionV relativeFrom="paragraph">
              <wp:posOffset>453390</wp:posOffset>
            </wp:positionV>
            <wp:extent cx="4153535" cy="30289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53535" cy="3028950"/>
                    </a:xfrm>
                    <a:prstGeom prst="rect">
                      <a:avLst/>
                    </a:prstGeom>
                  </pic:spPr>
                </pic:pic>
              </a:graphicData>
            </a:graphic>
            <wp14:sizeRelH relativeFrom="page">
              <wp14:pctWidth>0</wp14:pctWidth>
            </wp14:sizeRelH>
            <wp14:sizeRelV relativeFrom="page">
              <wp14:pctHeight>0</wp14:pctHeight>
            </wp14:sizeRelV>
          </wp:anchor>
        </w:drawing>
      </w:r>
      <w:r w:rsidRPr="004C4E98">
        <w:rPr>
          <w:noProof/>
        </w:rPr>
        <w:t xml:space="preserve"> </w:t>
      </w:r>
    </w:p>
    <w:p w:rsidR="00E97909" w:rsidRDefault="00E97909" w:rsidP="00E97909"/>
    <w:p w:rsidR="001879E2" w:rsidRDefault="001879E2" w:rsidP="00E15FE7">
      <w:pPr>
        <w:jc w:val="center"/>
        <w:rPr>
          <w:b/>
          <w:noProof/>
        </w:rPr>
      </w:pPr>
      <w:r>
        <w:rPr>
          <w:noProof/>
        </w:rPr>
        <w:drawing>
          <wp:anchor distT="0" distB="0" distL="114300" distR="114300" simplePos="0" relativeHeight="251666432" behindDoc="0" locked="0" layoutInCell="1" allowOverlap="1" wp14:anchorId="5A64A9C8" wp14:editId="62D24FEC">
            <wp:simplePos x="0" y="0"/>
            <wp:positionH relativeFrom="column">
              <wp:posOffset>161290</wp:posOffset>
            </wp:positionH>
            <wp:positionV relativeFrom="paragraph">
              <wp:posOffset>54610</wp:posOffset>
            </wp:positionV>
            <wp:extent cx="1660525" cy="3028315"/>
            <wp:effectExtent l="0" t="0" r="0" b="63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660525" cy="3028315"/>
                    </a:xfrm>
                    <a:prstGeom prst="rect">
                      <a:avLst/>
                    </a:prstGeom>
                  </pic:spPr>
                </pic:pic>
              </a:graphicData>
            </a:graphic>
            <wp14:sizeRelH relativeFrom="page">
              <wp14:pctWidth>0</wp14:pctWidth>
            </wp14:sizeRelH>
            <wp14:sizeRelV relativeFrom="page">
              <wp14:pctHeight>0</wp14:pctHeight>
            </wp14:sizeRelV>
          </wp:anchor>
        </w:drawing>
      </w:r>
    </w:p>
    <w:p w:rsidR="00E15FE7" w:rsidRDefault="00472C01" w:rsidP="00E15FE7">
      <w:pPr>
        <w:jc w:val="center"/>
      </w:pPr>
      <w:r>
        <w:rPr>
          <w:b/>
          <w:noProof/>
        </w:rPr>
        <w:t>Figure 5</w:t>
      </w:r>
      <w:r w:rsidR="00E15FE7" w:rsidRPr="00E15FE7">
        <w:rPr>
          <w:b/>
          <w:noProof/>
        </w:rPr>
        <w:t>.</w:t>
      </w:r>
      <w:r w:rsidR="00E15FE7">
        <w:rPr>
          <w:noProof/>
        </w:rPr>
        <w:t xml:space="preserve"> Design 1b – Lowest cost and power with vaportight lights</w:t>
      </w:r>
    </w:p>
    <w:p w:rsidR="00E15FE7" w:rsidRDefault="00E15FE7" w:rsidP="00E97909"/>
    <w:p w:rsidR="00E15FE7" w:rsidRDefault="00E15FE7" w:rsidP="00E97909"/>
    <w:p w:rsidR="00E97909" w:rsidRDefault="00E97909" w:rsidP="00E97909">
      <w:r>
        <w:t>Designs 2a and 2b may use motion sensors and/or daylight sensors for the luminaires over the parking stalls but not over the drive aisles.</w:t>
      </w:r>
    </w:p>
    <w:p w:rsidR="00E15FE7" w:rsidRDefault="00E97909" w:rsidP="001879E2">
      <w:pPr>
        <w:pStyle w:val="Heading3"/>
      </w:pPr>
      <w:r>
        <w:t xml:space="preserve"> </w:t>
      </w:r>
      <w:r w:rsidR="00E15FE7">
        <w:rPr>
          <w:noProof/>
        </w:rPr>
        <w:drawing>
          <wp:anchor distT="0" distB="0" distL="114300" distR="114300" simplePos="0" relativeHeight="251673600" behindDoc="1" locked="0" layoutInCell="1" allowOverlap="1" wp14:anchorId="3950EAA6" wp14:editId="7046BAF1">
            <wp:simplePos x="0" y="0"/>
            <wp:positionH relativeFrom="column">
              <wp:posOffset>4286250</wp:posOffset>
            </wp:positionH>
            <wp:positionV relativeFrom="paragraph">
              <wp:posOffset>258445</wp:posOffset>
            </wp:positionV>
            <wp:extent cx="1424305" cy="2480945"/>
            <wp:effectExtent l="0" t="0" r="4445" b="0"/>
            <wp:wrapTight wrapText="bothSides">
              <wp:wrapPolygon edited="0">
                <wp:start x="0" y="0"/>
                <wp:lineTo x="0" y="21395"/>
                <wp:lineTo x="21379" y="21395"/>
                <wp:lineTo x="2137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424305" cy="2480945"/>
                    </a:xfrm>
                    <a:prstGeom prst="rect">
                      <a:avLst/>
                    </a:prstGeom>
                  </pic:spPr>
                </pic:pic>
              </a:graphicData>
            </a:graphic>
            <wp14:sizeRelH relativeFrom="page">
              <wp14:pctWidth>0</wp14:pctWidth>
            </wp14:sizeRelH>
            <wp14:sizeRelV relativeFrom="page">
              <wp14:pctHeight>0</wp14:pctHeight>
            </wp14:sizeRelV>
          </wp:anchor>
        </w:drawing>
      </w:r>
      <w:r w:rsidR="00E15FE7">
        <w:rPr>
          <w:noProof/>
        </w:rPr>
        <w:drawing>
          <wp:anchor distT="0" distB="0" distL="114300" distR="114300" simplePos="0" relativeHeight="251672576" behindDoc="1" locked="0" layoutInCell="1" allowOverlap="1" wp14:anchorId="647EAB2E" wp14:editId="6A79F8D2">
            <wp:simplePos x="0" y="0"/>
            <wp:positionH relativeFrom="column">
              <wp:posOffset>0</wp:posOffset>
            </wp:positionH>
            <wp:positionV relativeFrom="paragraph">
              <wp:posOffset>39370</wp:posOffset>
            </wp:positionV>
            <wp:extent cx="3583940" cy="2673350"/>
            <wp:effectExtent l="0" t="0" r="0" b="0"/>
            <wp:wrapTight wrapText="bothSides">
              <wp:wrapPolygon edited="0">
                <wp:start x="0" y="0"/>
                <wp:lineTo x="0" y="21395"/>
                <wp:lineTo x="21470" y="21395"/>
                <wp:lineTo x="2147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83940" cy="2673350"/>
                    </a:xfrm>
                    <a:prstGeom prst="rect">
                      <a:avLst/>
                    </a:prstGeom>
                  </pic:spPr>
                </pic:pic>
              </a:graphicData>
            </a:graphic>
            <wp14:sizeRelH relativeFrom="page">
              <wp14:pctWidth>0</wp14:pctWidth>
            </wp14:sizeRelH>
            <wp14:sizeRelV relativeFrom="page">
              <wp14:pctHeight>0</wp14:pctHeight>
            </wp14:sizeRelV>
          </wp:anchor>
        </w:drawing>
      </w:r>
    </w:p>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15FE7" w:rsidRPr="00E15FE7" w:rsidRDefault="00E15FE7" w:rsidP="00E15FE7"/>
    <w:p w:rsidR="00E97909" w:rsidRPr="00E15FE7" w:rsidRDefault="00472C01" w:rsidP="00E15FE7">
      <w:pPr>
        <w:tabs>
          <w:tab w:val="left" w:pos="3537"/>
        </w:tabs>
        <w:jc w:val="center"/>
      </w:pPr>
      <w:r>
        <w:rPr>
          <w:b/>
        </w:rPr>
        <w:t>Figure 6</w:t>
      </w:r>
      <w:r w:rsidR="00E15FE7" w:rsidRPr="00E15FE7">
        <w:rPr>
          <w:b/>
        </w:rPr>
        <w:t>.</w:t>
      </w:r>
      <w:r w:rsidR="00E15FE7">
        <w:t xml:space="preserve"> </w:t>
      </w:r>
      <w:r w:rsidR="00E15FE7" w:rsidRPr="00E15FE7">
        <w:t>Design 2a – 50% cost increase over Design 1a using strip lights but permits lighting controls for 2/3 of the luminaires</w:t>
      </w:r>
    </w:p>
    <w:p w:rsidR="00E97909" w:rsidRDefault="0070400C" w:rsidP="0070400C">
      <w:pPr>
        <w:pStyle w:val="Heading3"/>
        <w:tabs>
          <w:tab w:val="left" w:pos="3537"/>
        </w:tabs>
      </w:pPr>
      <w:r>
        <w:lastRenderedPageBreak/>
        <w:tab/>
      </w:r>
      <w:r w:rsidR="00E97909">
        <w:rPr>
          <w:noProof/>
        </w:rPr>
        <w:drawing>
          <wp:anchor distT="0" distB="0" distL="114300" distR="114300" simplePos="0" relativeHeight="251667456" behindDoc="1" locked="0" layoutInCell="1" allowOverlap="1" wp14:anchorId="644B8CD1" wp14:editId="416629C8">
            <wp:simplePos x="0" y="0"/>
            <wp:positionH relativeFrom="column">
              <wp:posOffset>0</wp:posOffset>
            </wp:positionH>
            <wp:positionV relativeFrom="paragraph">
              <wp:posOffset>215265</wp:posOffset>
            </wp:positionV>
            <wp:extent cx="3933825" cy="2910840"/>
            <wp:effectExtent l="0" t="0" r="9525" b="3810"/>
            <wp:wrapTight wrapText="bothSides">
              <wp:wrapPolygon edited="0">
                <wp:start x="0" y="0"/>
                <wp:lineTo x="0" y="21487"/>
                <wp:lineTo x="21548" y="21487"/>
                <wp:lineTo x="2154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933825" cy="2910840"/>
                    </a:xfrm>
                    <a:prstGeom prst="rect">
                      <a:avLst/>
                    </a:prstGeom>
                  </pic:spPr>
                </pic:pic>
              </a:graphicData>
            </a:graphic>
            <wp14:sizeRelH relativeFrom="page">
              <wp14:pctWidth>0</wp14:pctWidth>
            </wp14:sizeRelH>
            <wp14:sizeRelV relativeFrom="page">
              <wp14:pctHeight>0</wp14:pctHeight>
            </wp14:sizeRelV>
          </wp:anchor>
        </w:drawing>
      </w:r>
    </w:p>
    <w:p w:rsidR="00E97909" w:rsidRDefault="00E97909" w:rsidP="00E97909">
      <w:r>
        <w:rPr>
          <w:noProof/>
        </w:rPr>
        <w:drawing>
          <wp:anchor distT="0" distB="0" distL="114300" distR="114300" simplePos="0" relativeHeight="251670528" behindDoc="1" locked="0" layoutInCell="1" allowOverlap="1" wp14:anchorId="075DC12A" wp14:editId="32C82420">
            <wp:simplePos x="0" y="0"/>
            <wp:positionH relativeFrom="column">
              <wp:posOffset>137795</wp:posOffset>
            </wp:positionH>
            <wp:positionV relativeFrom="paragraph">
              <wp:posOffset>78740</wp:posOffset>
            </wp:positionV>
            <wp:extent cx="1459230" cy="2545080"/>
            <wp:effectExtent l="0" t="0" r="7620" b="7620"/>
            <wp:wrapTight wrapText="bothSides">
              <wp:wrapPolygon edited="0">
                <wp:start x="0" y="0"/>
                <wp:lineTo x="0" y="21503"/>
                <wp:lineTo x="21431" y="21503"/>
                <wp:lineTo x="2143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238" r="-13" b="3847"/>
                    <a:stretch/>
                  </pic:blipFill>
                  <pic:spPr bwMode="auto">
                    <a:xfrm>
                      <a:off x="0" y="0"/>
                      <a:ext cx="1459230" cy="254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909" w:rsidRDefault="00E97909" w:rsidP="00E97909"/>
    <w:p w:rsidR="00E97909" w:rsidRDefault="00E97909" w:rsidP="00E97909"/>
    <w:p w:rsidR="00E97909" w:rsidRDefault="00E97909" w:rsidP="00E97909"/>
    <w:p w:rsidR="00E97909" w:rsidRDefault="00E97909" w:rsidP="00E97909"/>
    <w:p w:rsidR="00E97909" w:rsidRDefault="00E97909" w:rsidP="00E97909"/>
    <w:p w:rsidR="00E97909" w:rsidRDefault="00E97909" w:rsidP="00E97909"/>
    <w:p w:rsidR="001879E2" w:rsidRDefault="001879E2" w:rsidP="00E97909"/>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Pr="001879E2" w:rsidRDefault="001879E2" w:rsidP="001879E2"/>
    <w:p w:rsidR="001879E2" w:rsidRDefault="001879E2" w:rsidP="001879E2"/>
    <w:p w:rsidR="00E15FE7" w:rsidRPr="001879E2" w:rsidRDefault="00472C01" w:rsidP="001879E2">
      <w:pPr>
        <w:tabs>
          <w:tab w:val="left" w:pos="5875"/>
        </w:tabs>
        <w:jc w:val="center"/>
        <w:rPr>
          <w:rFonts w:ascii="Arial" w:hAnsi="Arial"/>
          <w:sz w:val="26"/>
          <w:szCs w:val="26"/>
        </w:rPr>
      </w:pPr>
      <w:r>
        <w:rPr>
          <w:b/>
          <w:szCs w:val="22"/>
        </w:rPr>
        <w:t>Figure 7</w:t>
      </w:r>
      <w:r w:rsidR="00E15FE7" w:rsidRPr="001879E2">
        <w:rPr>
          <w:b/>
          <w:szCs w:val="22"/>
        </w:rPr>
        <w:t>.</w:t>
      </w:r>
      <w:r w:rsidR="00E15FE7" w:rsidRPr="001879E2">
        <w:rPr>
          <w:szCs w:val="22"/>
        </w:rPr>
        <w:t xml:space="preserve"> Design 2b – 50% cost increase over Design 1b using </w:t>
      </w:r>
      <w:r w:rsidR="00540EA9" w:rsidRPr="001879E2">
        <w:rPr>
          <w:szCs w:val="22"/>
        </w:rPr>
        <w:t>vapor tight</w:t>
      </w:r>
      <w:r w:rsidR="00E15FE7" w:rsidRPr="001879E2">
        <w:rPr>
          <w:szCs w:val="22"/>
        </w:rPr>
        <w:t xml:space="preserve"> lights but permits lighting controls for 2/3 of the luminaires</w:t>
      </w:r>
    </w:p>
    <w:p w:rsidR="0070400C" w:rsidRDefault="00E97909" w:rsidP="00E97909">
      <w:r>
        <w:rPr>
          <w:noProof/>
        </w:rPr>
        <w:drawing>
          <wp:anchor distT="0" distB="0" distL="114300" distR="114300" simplePos="0" relativeHeight="251671552" behindDoc="1" locked="0" layoutInCell="1" allowOverlap="1" wp14:anchorId="431EBE7C" wp14:editId="0D7E733E">
            <wp:simplePos x="0" y="0"/>
            <wp:positionH relativeFrom="column">
              <wp:posOffset>4096385</wp:posOffset>
            </wp:positionH>
            <wp:positionV relativeFrom="paragraph">
              <wp:posOffset>135255</wp:posOffset>
            </wp:positionV>
            <wp:extent cx="1680210" cy="2691765"/>
            <wp:effectExtent l="0" t="0" r="0" b="0"/>
            <wp:wrapTight wrapText="bothSides">
              <wp:wrapPolygon edited="0">
                <wp:start x="0" y="0"/>
                <wp:lineTo x="0" y="21401"/>
                <wp:lineTo x="21306" y="21401"/>
                <wp:lineTo x="2130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986"/>
                    <a:stretch/>
                  </pic:blipFill>
                  <pic:spPr bwMode="auto">
                    <a:xfrm>
                      <a:off x="0" y="0"/>
                      <a:ext cx="1680210" cy="2691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717BCFB" wp14:editId="74B9D082">
            <wp:extent cx="3928262" cy="283098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928521" cy="2831169"/>
                    </a:xfrm>
                    <a:prstGeom prst="rect">
                      <a:avLst/>
                    </a:prstGeom>
                  </pic:spPr>
                </pic:pic>
              </a:graphicData>
            </a:graphic>
          </wp:inline>
        </w:drawing>
      </w:r>
    </w:p>
    <w:p w:rsidR="00E15FE7" w:rsidRPr="00E15FE7" w:rsidRDefault="00472C01" w:rsidP="0070400C">
      <w:pPr>
        <w:tabs>
          <w:tab w:val="left" w:pos="3940"/>
        </w:tabs>
        <w:jc w:val="center"/>
        <w:rPr>
          <w:b/>
          <w:szCs w:val="22"/>
        </w:rPr>
      </w:pPr>
      <w:r>
        <w:rPr>
          <w:b/>
          <w:szCs w:val="22"/>
        </w:rPr>
        <w:t>Figure 8</w:t>
      </w:r>
      <w:r w:rsidR="00E15FE7" w:rsidRPr="0070400C">
        <w:rPr>
          <w:b/>
          <w:szCs w:val="22"/>
        </w:rPr>
        <w:t xml:space="preserve">. </w:t>
      </w:r>
      <w:r w:rsidR="00E15FE7" w:rsidRPr="0070400C">
        <w:rPr>
          <w:szCs w:val="22"/>
        </w:rPr>
        <w:t xml:space="preserve">Design 3– Design 1 with LED </w:t>
      </w:r>
      <w:r w:rsidR="00540EA9" w:rsidRPr="0070400C">
        <w:rPr>
          <w:szCs w:val="22"/>
        </w:rPr>
        <w:t>Vapor tights</w:t>
      </w:r>
    </w:p>
    <w:p w:rsidR="00E97909" w:rsidRDefault="00E97909" w:rsidP="00E97909">
      <w:pPr>
        <w:pStyle w:val="Heading2"/>
      </w:pPr>
      <w:r>
        <w:t xml:space="preserve">Other </w:t>
      </w:r>
      <w:r w:rsidR="004C145B">
        <w:t>Design Considerations</w:t>
      </w:r>
    </w:p>
    <w:p w:rsidR="00E97909" w:rsidRDefault="00E97909" w:rsidP="00E97909">
      <w:r>
        <w:t>It is important to avoid drawing conclusions from these model calculations. In reality, any number of factors could increase or decrease the actual lighting power needed to meet IES RP-20-14 and the CBC.  Also, the lighting needed for other parts of the parking garage generally serve to increase the lighting power density significantly.</w:t>
      </w:r>
      <w:r w:rsidR="00E15FE7">
        <w:t xml:space="preserve"> The Benya Burnett Consultancy document</w:t>
      </w:r>
      <w:r>
        <w:t xml:space="preserve"> also examined the impact of </w:t>
      </w:r>
      <w:r>
        <w:lastRenderedPageBreak/>
        <w:t xml:space="preserve">painting the ceiling white as compared to raw concrete. It appears to create 20-21% increased light levels and therefore, potential energy savings. </w:t>
      </w:r>
    </w:p>
    <w:p w:rsidR="008D368C" w:rsidRDefault="008D368C" w:rsidP="00E97909"/>
    <w:p w:rsidR="008D368C" w:rsidRDefault="008D368C" w:rsidP="008D368C">
      <w:pPr>
        <w:jc w:val="center"/>
      </w:pPr>
      <w:r>
        <w:rPr>
          <w:noProof/>
        </w:rPr>
        <w:drawing>
          <wp:inline distT="0" distB="0" distL="0" distR="0" wp14:anchorId="1780F793" wp14:editId="49A68F0E">
            <wp:extent cx="2150669" cy="1612503"/>
            <wp:effectExtent l="0" t="0" r="2540" b="6985"/>
            <wp:docPr id="21" name="Picture 21" descr="C:\Users\Benya\Documents\Projects\Santa Monica\Santa Monica\102_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ya\Documents\Projects\Santa Monica\Santa Monica\102_574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4506" cy="1622877"/>
                    </a:xfrm>
                    <a:prstGeom prst="rect">
                      <a:avLst/>
                    </a:prstGeom>
                    <a:noFill/>
                    <a:ln>
                      <a:noFill/>
                    </a:ln>
                  </pic:spPr>
                </pic:pic>
              </a:graphicData>
            </a:graphic>
          </wp:inline>
        </w:drawing>
      </w:r>
    </w:p>
    <w:p w:rsidR="008D368C" w:rsidRDefault="00472C01" w:rsidP="008D368C">
      <w:pPr>
        <w:jc w:val="center"/>
        <w:rPr>
          <w:rFonts w:cs="Arial"/>
          <w:szCs w:val="22"/>
        </w:rPr>
      </w:pPr>
      <w:r>
        <w:rPr>
          <w:rFonts w:cs="Arial"/>
          <w:b/>
          <w:szCs w:val="22"/>
        </w:rPr>
        <w:t>Figure 9</w:t>
      </w:r>
      <w:r w:rsidR="008D368C" w:rsidRPr="008D368C">
        <w:rPr>
          <w:rFonts w:cs="Arial"/>
          <w:b/>
          <w:szCs w:val="22"/>
        </w:rPr>
        <w:t>.</w:t>
      </w:r>
      <w:r w:rsidR="008D368C">
        <w:rPr>
          <w:rFonts w:cs="Arial"/>
          <w:szCs w:val="22"/>
        </w:rPr>
        <w:t xml:space="preserve"> </w:t>
      </w:r>
      <w:r w:rsidR="008D368C" w:rsidRPr="008D368C">
        <w:rPr>
          <w:rFonts w:cs="Arial"/>
          <w:szCs w:val="22"/>
        </w:rPr>
        <w:t xml:space="preserve">Parking Garage with </w:t>
      </w:r>
      <w:r w:rsidR="008D368C">
        <w:rPr>
          <w:rFonts w:cs="Arial"/>
          <w:szCs w:val="22"/>
        </w:rPr>
        <w:t>N</w:t>
      </w:r>
      <w:r w:rsidR="008D368C" w:rsidRPr="008D368C">
        <w:rPr>
          <w:rFonts w:cs="Arial"/>
          <w:szCs w:val="22"/>
        </w:rPr>
        <w:t xml:space="preserve">ew </w:t>
      </w:r>
      <w:r w:rsidR="008D368C">
        <w:rPr>
          <w:rFonts w:cs="Arial"/>
          <w:szCs w:val="22"/>
        </w:rPr>
        <w:t>Coat of W</w:t>
      </w:r>
      <w:r w:rsidR="008D368C" w:rsidRPr="008D368C">
        <w:rPr>
          <w:rFonts w:cs="Arial"/>
          <w:szCs w:val="22"/>
        </w:rPr>
        <w:t xml:space="preserve">hite </w:t>
      </w:r>
      <w:r w:rsidR="008D368C">
        <w:rPr>
          <w:rFonts w:cs="Arial"/>
          <w:szCs w:val="22"/>
        </w:rPr>
        <w:t xml:space="preserve">Paint on Ceilings and Walls. </w:t>
      </w:r>
    </w:p>
    <w:p w:rsidR="00427E7A" w:rsidRDefault="00427E7A" w:rsidP="00427E7A">
      <w:pPr>
        <w:rPr>
          <w:b/>
        </w:rPr>
      </w:pPr>
    </w:p>
    <w:p w:rsidR="002C0F8F" w:rsidRDefault="002C0F8F" w:rsidP="000E5A48">
      <w:pPr>
        <w:pStyle w:val="Heading5"/>
      </w:pPr>
      <w:r>
        <w:t>Daylighting</w:t>
      </w:r>
    </w:p>
    <w:p w:rsidR="002C0F8F" w:rsidRDefault="002C0F8F" w:rsidP="002C0F8F">
      <w:r>
        <w:t>Garages can be totally enclosed, but open garages are more common because they are less costly, employ natural ventilation and reducing the cost of enclosing walls. For this reason, most garages are open on at least a part of two side</w:t>
      </w:r>
      <w:r w:rsidR="00472C01">
        <w:t xml:space="preserve">s to enable cross ventilation. </w:t>
      </w:r>
      <w:r>
        <w:t xml:space="preserve">Often the end walls are at least partly enclosed in order to fit into a block or streetscape next to neighboring structures, although in very open areas they are often open on most sides.  </w:t>
      </w:r>
    </w:p>
    <w:p w:rsidR="00472C01" w:rsidRDefault="00472C01" w:rsidP="002C0F8F"/>
    <w:p w:rsidR="002C0F8F" w:rsidRDefault="002C0F8F" w:rsidP="002C0F8F">
      <w:r>
        <w:t>Daylighting can be useful in parking garages, but it important to remember that direct sunlight is often not available and</w:t>
      </w:r>
      <w:r w:rsidR="00472C01">
        <w:t xml:space="preserve"> it is certainly not constant. </w:t>
      </w:r>
      <w:r>
        <w:t>Title 24-2016 has a very explicit section, §130.1(d</w:t>
      </w:r>
      <w:r w:rsidR="00E77E1A">
        <w:t>) 3</w:t>
      </w:r>
      <w:r>
        <w:t xml:space="preserve">, describing specific daylighting controls for lights in the primary or secondary </w:t>
      </w:r>
      <w:r w:rsidR="000E5A48">
        <w:t>day lit</w:t>
      </w:r>
      <w:r>
        <w:t xml:space="preserve"> zone. It is common for the head height of the aperture to be between 6’ and 8’, resulting in a primary </w:t>
      </w:r>
      <w:r w:rsidR="00051A38">
        <w:t>side lit</w:t>
      </w:r>
      <w:r>
        <w:t xml:space="preserve"> zone extending about 6’ to 8’ into the structure and a secondary </w:t>
      </w:r>
      <w:r w:rsidR="00051A38">
        <w:t>side lit</w:t>
      </w:r>
      <w:r>
        <w:t xml:space="preserve"> zone about 14’ to 18’ into the structure. There are seldom any luminaires in either zone, but automatic daylighting controls may still be beneficial.</w:t>
      </w:r>
    </w:p>
    <w:p w:rsidR="002C0F8F" w:rsidRDefault="002C0F8F" w:rsidP="002C0F8F">
      <w:pPr>
        <w:jc w:val="center"/>
      </w:pPr>
      <w:r>
        <w:rPr>
          <w:noProof/>
        </w:rPr>
        <w:drawing>
          <wp:inline distT="0" distB="0" distL="0" distR="0" wp14:anchorId="15CADEF6" wp14:editId="22D832CD">
            <wp:extent cx="2713939" cy="1474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5755.JPG"/>
                    <pic:cNvPicPr/>
                  </pic:nvPicPr>
                  <pic:blipFill rotWithShape="1">
                    <a:blip r:embed="rId40" cstate="print">
                      <a:extLst>
                        <a:ext uri="{28A0092B-C50C-407E-A947-70E740481C1C}">
                          <a14:useLocalDpi xmlns:a14="http://schemas.microsoft.com/office/drawing/2010/main" val="0"/>
                        </a:ext>
                      </a:extLst>
                    </a:blip>
                    <a:srcRect t="11539" b="16025"/>
                    <a:stretch/>
                  </pic:blipFill>
                  <pic:spPr bwMode="auto">
                    <a:xfrm>
                      <a:off x="0" y="0"/>
                      <a:ext cx="2714690" cy="1474808"/>
                    </a:xfrm>
                    <a:prstGeom prst="rect">
                      <a:avLst/>
                    </a:prstGeom>
                    <a:ln>
                      <a:noFill/>
                    </a:ln>
                    <a:extLst>
                      <a:ext uri="{53640926-AAD7-44D8-BBD7-CCE9431645EC}">
                        <a14:shadowObscured xmlns:a14="http://schemas.microsoft.com/office/drawing/2010/main"/>
                      </a:ext>
                    </a:extLst>
                  </pic:spPr>
                </pic:pic>
              </a:graphicData>
            </a:graphic>
          </wp:inline>
        </w:drawing>
      </w:r>
    </w:p>
    <w:p w:rsidR="002C0F8F" w:rsidRPr="002C0F8F" w:rsidRDefault="00472C01" w:rsidP="000E5A48">
      <w:pPr>
        <w:jc w:val="center"/>
      </w:pPr>
      <w:r>
        <w:rPr>
          <w:b/>
        </w:rPr>
        <w:t>Figure 10</w:t>
      </w:r>
      <w:r w:rsidR="002C0F8F" w:rsidRPr="000E5A48">
        <w:rPr>
          <w:b/>
        </w:rPr>
        <w:t>.</w:t>
      </w:r>
      <w:r w:rsidR="002C0F8F">
        <w:t xml:space="preserve"> </w:t>
      </w:r>
      <w:r w:rsidR="000E5A48">
        <w:t xml:space="preserve"> </w:t>
      </w:r>
      <w:r w:rsidR="002C0F8F" w:rsidRPr="002C0F8F">
        <w:t>Garage</w:t>
      </w:r>
      <w:r w:rsidR="002C0F8F">
        <w:t xml:space="preserve"> with o</w:t>
      </w:r>
      <w:r w:rsidR="002C0F8F" w:rsidRPr="002C0F8F">
        <w:t>pening head height is 7’6” and the primary side</w:t>
      </w:r>
      <w:r w:rsidR="00051A38">
        <w:t xml:space="preserve"> </w:t>
      </w:r>
      <w:r w:rsidR="002C0F8F" w:rsidRPr="002C0F8F">
        <w:t>lit zone consists of parking stalls</w:t>
      </w:r>
      <w:r w:rsidR="000E5A48">
        <w:t xml:space="preserve">. </w:t>
      </w:r>
      <w:r w:rsidR="002C0F8F" w:rsidRPr="002C0F8F">
        <w:t>The lighting system is not in the primary side</w:t>
      </w:r>
      <w:r w:rsidR="00051A38">
        <w:t xml:space="preserve"> </w:t>
      </w:r>
      <w:r w:rsidR="002C0F8F" w:rsidRPr="002C0F8F">
        <w:t>lit zone</w:t>
      </w:r>
      <w:r w:rsidR="000E5A48">
        <w:t xml:space="preserve"> but</w:t>
      </w:r>
      <w:r w:rsidR="002C0F8F" w:rsidRPr="002C0F8F">
        <w:t xml:space="preserve"> daylighting controls were employed.</w:t>
      </w:r>
    </w:p>
    <w:p w:rsidR="00E00701" w:rsidRDefault="00E00701" w:rsidP="00E00701">
      <w:pPr>
        <w:pStyle w:val="Heading5"/>
      </w:pPr>
      <w:r>
        <w:t>Correlated Color Temperature (CCT)</w:t>
      </w:r>
    </w:p>
    <w:p w:rsidR="002C0F8F" w:rsidRDefault="00E00701" w:rsidP="00E00701">
      <w:r>
        <w:t>The American Medical Association released an article</w:t>
      </w:r>
      <w:r w:rsidR="00340A3D">
        <w:rPr>
          <w:rStyle w:val="EndnoteReference"/>
        </w:rPr>
        <w:endnoteReference w:id="3"/>
      </w:r>
      <w:r>
        <w:t xml:space="preserve"> claiming that </w:t>
      </w:r>
    </w:p>
    <w:p w:rsidR="00E00701" w:rsidRPr="00E00701" w:rsidRDefault="00E00701" w:rsidP="00E00701">
      <w:pPr>
        <w:ind w:left="720"/>
        <w:rPr>
          <w:i/>
        </w:rPr>
      </w:pPr>
      <w:r w:rsidRPr="00E00701">
        <w:rPr>
          <w:i/>
        </w:rPr>
        <w:t>High-intensity LED lighting designs emit a large amount of blue light that appears white to the naked eye and create worse nighttime glare than conventional lighting. Discomfort and disability from intense, blue-rich LED lighting can decrease visual acuity and safety, resulting in concerns and creating a road hazard.</w:t>
      </w:r>
    </w:p>
    <w:p w:rsidR="00E00701" w:rsidRDefault="00E00701" w:rsidP="00E00701">
      <w:r w:rsidRPr="00E00701">
        <w:rPr>
          <w:i/>
        </w:rPr>
        <w:lastRenderedPageBreak/>
        <w:t>In addition to its impact on drivers, blue-rich LED streetlights operate at a wavelength that most adversely suppresses melatonin during night. It is estimated that white LED lamps have five times greater impact on circadian sleep rhythms than conventional street lamps. Recent large surveys found that brighter residential nighttime lighting is associated with reduced sleep times, dissatisfaction with sleep quality, excessive sleepiness, impaired daytime functioning and obesity</w:t>
      </w:r>
      <w:r>
        <w:t>.</w:t>
      </w:r>
    </w:p>
    <w:p w:rsidR="00E00701" w:rsidRDefault="00E00701" w:rsidP="00E00701"/>
    <w:p w:rsidR="00E00701" w:rsidRDefault="00340A3D" w:rsidP="00E00701">
      <w:pPr>
        <w:rPr>
          <w:b/>
        </w:rPr>
      </w:pPr>
      <w:r>
        <w:t>The AMA article clearly focuses on street lighting applications. Further studies need to be done before any conclusions can be drawn. However, t</w:t>
      </w:r>
      <w:r w:rsidR="00E00701">
        <w:t xml:space="preserve">he wp </w:t>
      </w:r>
      <w:r>
        <w:t>is mindful of these evolving issues and addresses this potential concern in section 1.1 under the eligibility requirements. S</w:t>
      </w:r>
      <w:r w:rsidR="00E00701">
        <w:t>e</w:t>
      </w:r>
      <w:r>
        <w:t xml:space="preserve">ction 1.1 </w:t>
      </w:r>
      <w:r w:rsidR="00E00701">
        <w:t>indicate</w:t>
      </w:r>
      <w:r>
        <w:t>s</w:t>
      </w:r>
      <w:r w:rsidR="00E00701">
        <w:t xml:space="preserve"> that Linear LED retrofit kit fixtures must have &lt; 5,000K to be eligible for incentives. Based on the DLC filtered list for </w:t>
      </w:r>
      <w:r>
        <w:t>Linear LED External Driver Lamp-Style R</w:t>
      </w:r>
      <w:r w:rsidRPr="00340A3D">
        <w:t xml:space="preserve">etrofit </w:t>
      </w:r>
      <w:r>
        <w:t>K</w:t>
      </w:r>
      <w:r w:rsidRPr="00340A3D">
        <w:t>its (UL Type C)</w:t>
      </w:r>
      <w:r>
        <w:t xml:space="preserve">, the CCT for qualified products in this product category range from 3,089K and 4,950K with an average CCT of 2,620K. </w:t>
      </w:r>
    </w:p>
    <w:p w:rsidR="000E5A48" w:rsidRDefault="000E5A48" w:rsidP="00427E7A">
      <w:pPr>
        <w:rPr>
          <w:b/>
        </w:rPr>
      </w:pPr>
    </w:p>
    <w:p w:rsidR="00427E7A" w:rsidRDefault="00427E7A" w:rsidP="00427E7A">
      <w:pPr>
        <w:rPr>
          <w:b/>
        </w:rPr>
      </w:pPr>
      <w:r w:rsidRPr="006E01F8">
        <w:rPr>
          <w:b/>
        </w:rPr>
        <w:t>1.</w:t>
      </w:r>
      <w:r>
        <w:rPr>
          <w:b/>
        </w:rPr>
        <w:t>5.9</w:t>
      </w:r>
      <w:r w:rsidRPr="006E01F8">
        <w:rPr>
          <w:b/>
        </w:rPr>
        <w:t xml:space="preserve"> </w:t>
      </w:r>
      <w:r>
        <w:rPr>
          <w:b/>
        </w:rPr>
        <w:t xml:space="preserve">Southern California Edison (SCE) 2013-2015 Custom Project Files </w:t>
      </w:r>
    </w:p>
    <w:p w:rsidR="00427E7A" w:rsidRDefault="00427E7A" w:rsidP="00427E7A">
      <w:r>
        <w:t xml:space="preserve">SCE’s custom project files were reviewed </w:t>
      </w:r>
      <w:r w:rsidR="00472C01">
        <w:t xml:space="preserve">to </w:t>
      </w:r>
      <w:r>
        <w:t xml:space="preserve">assess </w:t>
      </w:r>
      <w:r w:rsidR="00472C01">
        <w:t>baseline conditions based on pre</w:t>
      </w:r>
      <w:r w:rsidR="00811E1D">
        <w:t xml:space="preserve">-installation </w:t>
      </w:r>
      <w:r w:rsidR="00472C01">
        <w:t>inspections verifying b</w:t>
      </w:r>
      <w:r>
        <w:t xml:space="preserve">ase case fixtures for customers who pursued an incentive. </w:t>
      </w:r>
      <w:r w:rsidR="00811E1D">
        <w:t>The f</w:t>
      </w:r>
      <w:r>
        <w:t>ive highest energy savings impact</w:t>
      </w:r>
      <w:r w:rsidR="00811E1D">
        <w:t xml:space="preserve"> custom projects that</w:t>
      </w:r>
      <w:r>
        <w:t xml:space="preserve"> </w:t>
      </w:r>
      <w:r w:rsidR="00472C01">
        <w:t>used</w:t>
      </w:r>
      <w:r>
        <w:t xml:space="preserve"> SCE’s Solution Code </w:t>
      </w:r>
      <w:r w:rsidRPr="00427E7A">
        <w:t>LT-47463</w:t>
      </w:r>
      <w:r>
        <w:t xml:space="preserve"> (Interior Parking Garage)</w:t>
      </w:r>
      <w:r w:rsidR="00811E1D">
        <w:t xml:space="preserve"> were sampled</w:t>
      </w:r>
      <w:r>
        <w:t xml:space="preserve">. As shown in the subsequent </w:t>
      </w:r>
      <w:r w:rsidR="00811E1D">
        <w:t>f</w:t>
      </w:r>
      <w:r>
        <w:t xml:space="preserve">igures, three of the five custom projects had </w:t>
      </w:r>
      <w:r w:rsidR="00702146">
        <w:t xml:space="preserve">2-lamp or 4-lamp </w:t>
      </w:r>
      <w:r>
        <w:t>F32T8 Linear Fluorescent Fixtures as the base case. The other two projects consisted of 219W</w:t>
      </w:r>
      <w:r w:rsidR="00702146">
        <w:t xml:space="preserve"> (connected load)</w:t>
      </w:r>
      <w:r>
        <w:t xml:space="preserve"> high pressure sodium </w:t>
      </w:r>
      <w:r w:rsidR="00702146">
        <w:t xml:space="preserve">fixtures or 215W (connected load) pulse-start metal halide fixtures. None of the </w:t>
      </w:r>
      <w:r w:rsidR="00811E1D">
        <w:t xml:space="preserve">five </w:t>
      </w:r>
      <w:r w:rsidR="00702146">
        <w:t>custom projects sampled had baselines that had LED or lower wattage (28W or 25W) T8 Linear Fluorescent Fixtures as the base case.</w:t>
      </w:r>
    </w:p>
    <w:p w:rsidR="00702146" w:rsidRDefault="00702146" w:rsidP="00427E7A"/>
    <w:p w:rsidR="00702146" w:rsidRDefault="00702146" w:rsidP="00702146">
      <w:pPr>
        <w:jc w:val="center"/>
      </w:pPr>
      <w:r>
        <w:rPr>
          <w:noProof/>
        </w:rPr>
        <mc:AlternateContent>
          <mc:Choice Requires="wps">
            <w:drawing>
              <wp:anchor distT="0" distB="0" distL="114300" distR="114300" simplePos="0" relativeHeight="251678720" behindDoc="0" locked="0" layoutInCell="1" allowOverlap="1" wp14:anchorId="5B21951F" wp14:editId="3262BE5F">
                <wp:simplePos x="0" y="0"/>
                <wp:positionH relativeFrom="column">
                  <wp:posOffset>1426464</wp:posOffset>
                </wp:positionH>
                <wp:positionV relativeFrom="paragraph">
                  <wp:posOffset>119583</wp:posOffset>
                </wp:positionV>
                <wp:extent cx="654050" cy="440944"/>
                <wp:effectExtent l="0" t="0" r="12700" b="16510"/>
                <wp:wrapNone/>
                <wp:docPr id="37" name="Rectangle 37"/>
                <wp:cNvGraphicFramePr/>
                <a:graphic xmlns:a="http://schemas.openxmlformats.org/drawingml/2006/main">
                  <a:graphicData uri="http://schemas.microsoft.com/office/word/2010/wordprocessingShape">
                    <wps:wsp>
                      <wps:cNvSpPr/>
                      <wps:spPr>
                        <a:xfrm>
                          <a:off x="0" y="0"/>
                          <a:ext cx="654050" cy="440944"/>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7" o:spid="_x0000_s1026" style="position:absolute;margin-left:112.3pt;margin-top:9.4pt;width:51.5pt;height:34.7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" fillcolor="#4f81bd [3204]" strokecolor="red" strokeweight="2pt">
                <v:fill opacity="0"/>
              </v:rect>
            </w:pict>
          </mc:Fallback>
        </mc:AlternateContent>
      </w:r>
      <w:r>
        <w:rPr>
          <w:noProof/>
        </w:rPr>
        <w:drawing>
          <wp:inline distT="0" distB="0" distL="0" distR="0" wp14:anchorId="112E22DF" wp14:editId="31FC8F1E">
            <wp:extent cx="3587750" cy="9271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5283" t="32510" r="24330" b="39734"/>
                    <a:stretch/>
                  </pic:blipFill>
                  <pic:spPr bwMode="auto">
                    <a:xfrm>
                      <a:off x="0" y="0"/>
                      <a:ext cx="3589114" cy="927452"/>
                    </a:xfrm>
                    <a:prstGeom prst="rect">
                      <a:avLst/>
                    </a:prstGeom>
                    <a:ln>
                      <a:noFill/>
                    </a:ln>
                    <a:extLst>
                      <a:ext uri="{53640926-AAD7-44D8-BBD7-CCE9431645EC}">
                        <a14:shadowObscured xmlns:a14="http://schemas.microsoft.com/office/drawing/2010/main"/>
                      </a:ext>
                    </a:extLst>
                  </pic:spPr>
                </pic:pic>
              </a:graphicData>
            </a:graphic>
          </wp:inline>
        </w:drawing>
      </w:r>
    </w:p>
    <w:p w:rsidR="00702146" w:rsidRDefault="00702146" w:rsidP="00702146">
      <w:pPr>
        <w:tabs>
          <w:tab w:val="left" w:pos="2400"/>
        </w:tabs>
        <w:jc w:val="center"/>
      </w:pPr>
      <w:r>
        <w:rPr>
          <w:b/>
        </w:rPr>
        <w:t xml:space="preserve">Figure </w:t>
      </w:r>
      <w:r w:rsidR="00811E1D">
        <w:rPr>
          <w:b/>
        </w:rPr>
        <w:t>11</w:t>
      </w:r>
      <w:r w:rsidRPr="00AA5964">
        <w:rPr>
          <w:b/>
        </w:rPr>
        <w:t>.</w:t>
      </w:r>
      <w:r>
        <w:t xml:space="preserve"> SCE Custom Project 500552314 (360) 2-lamp T8 32W Base Case Fixtures </w:t>
      </w:r>
    </w:p>
    <w:p w:rsidR="00702146" w:rsidRDefault="00702146" w:rsidP="00702146">
      <w:pPr>
        <w:tabs>
          <w:tab w:val="left" w:pos="2400"/>
        </w:tabs>
        <w:jc w:val="center"/>
      </w:pPr>
    </w:p>
    <w:p w:rsidR="00702146" w:rsidRDefault="00702146" w:rsidP="00702146">
      <w:pPr>
        <w:tabs>
          <w:tab w:val="left" w:pos="2400"/>
        </w:tabs>
        <w:jc w:val="center"/>
      </w:pPr>
      <w:r>
        <w:rPr>
          <w:b/>
          <w:noProof/>
        </w:rPr>
        <mc:AlternateContent>
          <mc:Choice Requires="wps">
            <w:drawing>
              <wp:anchor distT="0" distB="0" distL="114300" distR="114300" simplePos="0" relativeHeight="251679744" behindDoc="0" locked="0" layoutInCell="1" allowOverlap="1" wp14:anchorId="410B3E07" wp14:editId="67575AFF">
                <wp:simplePos x="0" y="0"/>
                <wp:positionH relativeFrom="column">
                  <wp:posOffset>1426210</wp:posOffset>
                </wp:positionH>
                <wp:positionV relativeFrom="paragraph">
                  <wp:posOffset>53975</wp:posOffset>
                </wp:positionV>
                <wp:extent cx="654050" cy="299720"/>
                <wp:effectExtent l="0" t="0" r="12700" b="24130"/>
                <wp:wrapNone/>
                <wp:docPr id="38" name="Rectangle 38"/>
                <wp:cNvGraphicFramePr/>
                <a:graphic xmlns:a="http://schemas.openxmlformats.org/drawingml/2006/main">
                  <a:graphicData uri="http://schemas.microsoft.com/office/word/2010/wordprocessingShape">
                    <wps:wsp>
                      <wps:cNvSpPr/>
                      <wps:spPr>
                        <a:xfrm>
                          <a:off x="0" y="0"/>
                          <a:ext cx="654050" cy="29972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8" o:spid="_x0000_s1026" style="position:absolute;margin-left:112.3pt;margin-top:4.25pt;width:51.5pt;height:23.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" fillcolor="#4f81bd [3204]" strokecolor="red" strokeweight="2pt">
                <v:fill opacity="0"/>
              </v:rect>
            </w:pict>
          </mc:Fallback>
        </mc:AlternateContent>
      </w:r>
      <w:r>
        <w:rPr>
          <w:noProof/>
        </w:rPr>
        <w:drawing>
          <wp:inline distT="0" distB="0" distL="0" distR="0" wp14:anchorId="1D4ADB48" wp14:editId="5BCB092F">
            <wp:extent cx="3657600" cy="749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030" t="29658" r="36408" b="47909"/>
                    <a:stretch/>
                  </pic:blipFill>
                  <pic:spPr bwMode="auto">
                    <a:xfrm>
                      <a:off x="0" y="0"/>
                      <a:ext cx="3658990" cy="749585"/>
                    </a:xfrm>
                    <a:prstGeom prst="rect">
                      <a:avLst/>
                    </a:prstGeom>
                    <a:ln>
                      <a:noFill/>
                    </a:ln>
                    <a:extLst>
                      <a:ext uri="{53640926-AAD7-44D8-BBD7-CCE9431645EC}">
                        <a14:shadowObscured xmlns:a14="http://schemas.microsoft.com/office/drawing/2010/main"/>
                      </a:ext>
                    </a:extLst>
                  </pic:spPr>
                </pic:pic>
              </a:graphicData>
            </a:graphic>
          </wp:inline>
        </w:drawing>
      </w:r>
    </w:p>
    <w:p w:rsidR="000E5A48" w:rsidRDefault="000E5A48" w:rsidP="000E5A48">
      <w:pPr>
        <w:tabs>
          <w:tab w:val="left" w:pos="2400"/>
        </w:tabs>
        <w:jc w:val="center"/>
      </w:pPr>
      <w:r>
        <w:rPr>
          <w:b/>
          <w:noProof/>
        </w:rPr>
        <mc:AlternateContent>
          <mc:Choice Requires="wps">
            <w:drawing>
              <wp:anchor distT="0" distB="0" distL="114300" distR="114300" simplePos="0" relativeHeight="251680768" behindDoc="0" locked="0" layoutInCell="1" allowOverlap="1" wp14:anchorId="172C3A7A" wp14:editId="16CC0B1A">
                <wp:simplePos x="0" y="0"/>
                <wp:positionH relativeFrom="column">
                  <wp:posOffset>994410</wp:posOffset>
                </wp:positionH>
                <wp:positionV relativeFrom="paragraph">
                  <wp:posOffset>676910</wp:posOffset>
                </wp:positionV>
                <wp:extent cx="1968500" cy="211455"/>
                <wp:effectExtent l="0" t="0" r="12700" b="17145"/>
                <wp:wrapNone/>
                <wp:docPr id="39" name="Rectangle 39"/>
                <wp:cNvGraphicFramePr/>
                <a:graphic xmlns:a="http://schemas.openxmlformats.org/drawingml/2006/main">
                  <a:graphicData uri="http://schemas.microsoft.com/office/word/2010/wordprocessingShape">
                    <wps:wsp>
                      <wps:cNvSpPr/>
                      <wps:spPr>
                        <a:xfrm>
                          <a:off x="0" y="0"/>
                          <a:ext cx="1968500" cy="2114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9" o:spid="_x0000_s1026" style="position:absolute;margin-left:78.3pt;margin-top:53.3pt;width:155pt;height:16.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" fillcolor="#4f81bd [3204]" strokecolor="red" strokeweight="2pt">
                <v:fill opacity="0"/>
              </v:rect>
            </w:pict>
          </mc:Fallback>
        </mc:AlternateContent>
      </w:r>
      <w:r w:rsidR="00702146">
        <w:rPr>
          <w:b/>
        </w:rPr>
        <w:t xml:space="preserve">Figure </w:t>
      </w:r>
      <w:r w:rsidR="00811E1D">
        <w:rPr>
          <w:b/>
        </w:rPr>
        <w:t>12</w:t>
      </w:r>
      <w:r w:rsidR="00702146" w:rsidRPr="00AA5964">
        <w:rPr>
          <w:b/>
        </w:rPr>
        <w:t>.</w:t>
      </w:r>
      <w:r w:rsidR="00702146">
        <w:t xml:space="preserve"> SCE Custom Project 500591777 (902) 4-lamp T8 32W Base Case</w:t>
      </w:r>
    </w:p>
    <w:p w:rsidR="000E5A48" w:rsidRDefault="000E5A48" w:rsidP="000E5A48">
      <w:pPr>
        <w:tabs>
          <w:tab w:val="left" w:pos="2400"/>
        </w:tabs>
        <w:jc w:val="center"/>
      </w:pPr>
    </w:p>
    <w:p w:rsidR="00702146" w:rsidRDefault="00702146" w:rsidP="000E5A48">
      <w:pPr>
        <w:tabs>
          <w:tab w:val="left" w:pos="2400"/>
        </w:tabs>
        <w:jc w:val="center"/>
      </w:pPr>
      <w:r w:rsidRPr="00936883">
        <w:rPr>
          <w:noProof/>
        </w:rPr>
        <w:drawing>
          <wp:inline distT="0" distB="0" distL="0" distR="0" wp14:anchorId="2CD2A170" wp14:editId="278819FC">
            <wp:extent cx="5943600" cy="848090"/>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48090"/>
                    </a:xfrm>
                    <a:prstGeom prst="rect">
                      <a:avLst/>
                    </a:prstGeom>
                    <a:noFill/>
                    <a:ln>
                      <a:noFill/>
                    </a:ln>
                  </pic:spPr>
                </pic:pic>
              </a:graphicData>
            </a:graphic>
          </wp:inline>
        </w:drawing>
      </w:r>
    </w:p>
    <w:p w:rsidR="00702146" w:rsidRDefault="00702146" w:rsidP="00702146">
      <w:pPr>
        <w:tabs>
          <w:tab w:val="left" w:pos="2400"/>
        </w:tabs>
        <w:jc w:val="center"/>
      </w:pPr>
      <w:r>
        <w:rPr>
          <w:b/>
        </w:rPr>
        <w:t xml:space="preserve">Figure </w:t>
      </w:r>
      <w:r w:rsidR="00811E1D">
        <w:rPr>
          <w:b/>
        </w:rPr>
        <w:t>13</w:t>
      </w:r>
      <w:r w:rsidRPr="00AA5964">
        <w:rPr>
          <w:b/>
        </w:rPr>
        <w:t>.</w:t>
      </w:r>
      <w:r>
        <w:t xml:space="preserve"> SCE Custom Project 500413678 (960) 219W HPS Base Case</w:t>
      </w:r>
    </w:p>
    <w:p w:rsidR="00702146" w:rsidRDefault="00702146" w:rsidP="00702146">
      <w:pPr>
        <w:tabs>
          <w:tab w:val="left" w:pos="2400"/>
        </w:tabs>
        <w:jc w:val="center"/>
      </w:pPr>
    </w:p>
    <w:p w:rsidR="00702146" w:rsidRDefault="00702146" w:rsidP="00702146">
      <w:pPr>
        <w:tabs>
          <w:tab w:val="left" w:pos="2400"/>
        </w:tabs>
        <w:jc w:val="center"/>
      </w:pPr>
      <w:r>
        <w:rPr>
          <w:noProof/>
        </w:rPr>
        <w:lastRenderedPageBreak/>
        <mc:AlternateContent>
          <mc:Choice Requires="wps">
            <w:drawing>
              <wp:anchor distT="0" distB="0" distL="114300" distR="114300" simplePos="0" relativeHeight="251681792" behindDoc="0" locked="0" layoutInCell="1" allowOverlap="1" wp14:anchorId="2B599949" wp14:editId="275A5CF6">
                <wp:simplePos x="0" y="0"/>
                <wp:positionH relativeFrom="column">
                  <wp:posOffset>0</wp:posOffset>
                </wp:positionH>
                <wp:positionV relativeFrom="paragraph">
                  <wp:posOffset>2818</wp:posOffset>
                </wp:positionV>
                <wp:extent cx="2375459" cy="1236269"/>
                <wp:effectExtent l="0" t="0" r="25400" b="21590"/>
                <wp:wrapNone/>
                <wp:docPr id="40" name="Rectangle 40"/>
                <wp:cNvGraphicFramePr/>
                <a:graphic xmlns:a="http://schemas.openxmlformats.org/drawingml/2006/main">
                  <a:graphicData uri="http://schemas.microsoft.com/office/word/2010/wordprocessingShape">
                    <wps:wsp>
                      <wps:cNvSpPr/>
                      <wps:spPr>
                        <a:xfrm>
                          <a:off x="0" y="0"/>
                          <a:ext cx="2375459" cy="1236269"/>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0;margin-top:.2pt;width:187.05pt;height:97.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" fillcolor="#4f81bd [3204]" strokecolor="red" strokeweight="2pt">
                <v:fill opacity="0"/>
              </v:rect>
            </w:pict>
          </mc:Fallback>
        </mc:AlternateContent>
      </w:r>
      <w:r w:rsidRPr="00090E69">
        <w:rPr>
          <w:noProof/>
        </w:rPr>
        <w:drawing>
          <wp:inline distT="0" distB="0" distL="0" distR="0" wp14:anchorId="50AD223B" wp14:editId="1D071B9C">
            <wp:extent cx="5943600" cy="1767651"/>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767651"/>
                    </a:xfrm>
                    <a:prstGeom prst="rect">
                      <a:avLst/>
                    </a:prstGeom>
                    <a:noFill/>
                    <a:ln>
                      <a:noFill/>
                    </a:ln>
                  </pic:spPr>
                </pic:pic>
              </a:graphicData>
            </a:graphic>
          </wp:inline>
        </w:drawing>
      </w:r>
    </w:p>
    <w:p w:rsidR="00702146" w:rsidRDefault="00702146" w:rsidP="00702146">
      <w:pPr>
        <w:tabs>
          <w:tab w:val="left" w:pos="2400"/>
        </w:tabs>
        <w:jc w:val="center"/>
      </w:pPr>
      <w:r>
        <w:rPr>
          <w:b/>
        </w:rPr>
        <w:t xml:space="preserve">Figure </w:t>
      </w:r>
      <w:r w:rsidR="00811E1D">
        <w:rPr>
          <w:b/>
        </w:rPr>
        <w:t>14</w:t>
      </w:r>
      <w:r w:rsidRPr="00AA5964">
        <w:rPr>
          <w:b/>
        </w:rPr>
        <w:t>.</w:t>
      </w:r>
      <w:r>
        <w:t xml:space="preserve"> SCE Custom Project 500358294 (3,251) 32W T-83 Base Case Fixtures</w:t>
      </w:r>
    </w:p>
    <w:p w:rsidR="00702146" w:rsidRDefault="00702146" w:rsidP="00702146">
      <w:pPr>
        <w:tabs>
          <w:tab w:val="left" w:pos="2400"/>
        </w:tabs>
        <w:jc w:val="center"/>
      </w:pPr>
    </w:p>
    <w:p w:rsidR="00702146" w:rsidRDefault="00702146" w:rsidP="00702146">
      <w:pPr>
        <w:tabs>
          <w:tab w:val="left" w:pos="2400"/>
        </w:tabs>
        <w:jc w:val="center"/>
      </w:pPr>
      <w:r>
        <w:rPr>
          <w:b/>
          <w:noProof/>
        </w:rPr>
        <mc:AlternateContent>
          <mc:Choice Requires="wps">
            <w:drawing>
              <wp:anchor distT="0" distB="0" distL="114300" distR="114300" simplePos="0" relativeHeight="251682816" behindDoc="0" locked="0" layoutInCell="1" allowOverlap="1" wp14:anchorId="34BAF1E9" wp14:editId="02DF4101">
                <wp:simplePos x="0" y="0"/>
                <wp:positionH relativeFrom="column">
                  <wp:posOffset>0</wp:posOffset>
                </wp:positionH>
                <wp:positionV relativeFrom="paragraph">
                  <wp:posOffset>-1118</wp:posOffset>
                </wp:positionV>
                <wp:extent cx="4176979" cy="768096"/>
                <wp:effectExtent l="0" t="0" r="14605" b="13335"/>
                <wp:wrapNone/>
                <wp:docPr id="41" name="Rectangle 41"/>
                <wp:cNvGraphicFramePr/>
                <a:graphic xmlns:a="http://schemas.openxmlformats.org/drawingml/2006/main">
                  <a:graphicData uri="http://schemas.microsoft.com/office/word/2010/wordprocessingShape">
                    <wps:wsp>
                      <wps:cNvSpPr/>
                      <wps:spPr>
                        <a:xfrm>
                          <a:off x="0" y="0"/>
                          <a:ext cx="4176979" cy="768096"/>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26" style="position:absolute;margin-left:0;margin-top:-.1pt;width:328.9pt;height:6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" fillcolor="#4f81bd [3204]" strokecolor="red" strokeweight="2pt">
                <v:fill opacity="0"/>
              </v:rect>
            </w:pict>
          </mc:Fallback>
        </mc:AlternateContent>
      </w:r>
      <w:r w:rsidRPr="00090E69">
        <w:rPr>
          <w:noProof/>
        </w:rPr>
        <w:drawing>
          <wp:inline distT="0" distB="0" distL="0" distR="0" wp14:anchorId="49CD702C" wp14:editId="6955134A">
            <wp:extent cx="5943600" cy="84389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43896"/>
                    </a:xfrm>
                    <a:prstGeom prst="rect">
                      <a:avLst/>
                    </a:prstGeom>
                    <a:noFill/>
                    <a:ln>
                      <a:noFill/>
                    </a:ln>
                  </pic:spPr>
                </pic:pic>
              </a:graphicData>
            </a:graphic>
          </wp:inline>
        </w:drawing>
      </w:r>
    </w:p>
    <w:p w:rsidR="00702146" w:rsidRPr="00590946" w:rsidRDefault="00702146" w:rsidP="00702146">
      <w:pPr>
        <w:tabs>
          <w:tab w:val="left" w:pos="2400"/>
        </w:tabs>
        <w:jc w:val="center"/>
      </w:pPr>
      <w:r>
        <w:rPr>
          <w:b/>
        </w:rPr>
        <w:t xml:space="preserve">Figure </w:t>
      </w:r>
      <w:r w:rsidR="00811E1D">
        <w:rPr>
          <w:b/>
        </w:rPr>
        <w:t>15</w:t>
      </w:r>
      <w:r w:rsidRPr="00AA5964">
        <w:rPr>
          <w:b/>
        </w:rPr>
        <w:t>.</w:t>
      </w:r>
      <w:r>
        <w:t xml:space="preserve"> SCE Custom Project 500244613 (296) 175W PSMH Base Case Fixtures</w:t>
      </w:r>
    </w:p>
    <w:p w:rsidR="00702146" w:rsidRDefault="00702146" w:rsidP="00427E7A"/>
    <w:p w:rsidR="009844A1" w:rsidRPr="004C145B" w:rsidRDefault="009844A1" w:rsidP="004C145B">
      <w:pPr>
        <w:pStyle w:val="Heading3"/>
        <w:rPr>
          <w:rFonts w:asciiTheme="minorHAnsi" w:hAnsiTheme="minorHAnsi" w:cstheme="minorHAnsi"/>
          <w:iCs/>
          <w:smallCaps/>
          <w:sz w:val="28"/>
          <w:szCs w:val="28"/>
        </w:rPr>
      </w:pPr>
      <w:r w:rsidRPr="009844A1">
        <w:rPr>
          <w:rFonts w:asciiTheme="minorHAnsi" w:hAnsiTheme="minorHAnsi" w:cstheme="minorHAnsi"/>
        </w:rPr>
        <w:t xml:space="preserve">1.6 Data </w:t>
      </w:r>
      <w:r w:rsidR="00602F18">
        <w:rPr>
          <w:rFonts w:asciiTheme="minorHAnsi" w:hAnsiTheme="minorHAnsi" w:cstheme="minorHAnsi"/>
        </w:rPr>
        <w:t xml:space="preserve">Quality </w:t>
      </w:r>
      <w:r w:rsidR="00602F18" w:rsidRPr="004C145B">
        <w:rPr>
          <w:rFonts w:asciiTheme="minorHAnsi" w:hAnsiTheme="minorHAnsi"/>
        </w:rPr>
        <w:t>and</w:t>
      </w:r>
      <w:r w:rsidR="00602F18">
        <w:rPr>
          <w:rFonts w:asciiTheme="minorHAnsi" w:hAnsiTheme="minorHAnsi" w:cstheme="minorHAnsi"/>
        </w:rPr>
        <w:t xml:space="preserve"> Future Data Needs</w:t>
      </w:r>
    </w:p>
    <w:p w:rsidR="009B4977" w:rsidRPr="006E01F8" w:rsidRDefault="009B4977" w:rsidP="009B4977">
      <w:pPr>
        <w:rPr>
          <w:b/>
        </w:rPr>
      </w:pPr>
      <w:r w:rsidRPr="006E01F8">
        <w:rPr>
          <w:b/>
        </w:rPr>
        <w:t>1.</w:t>
      </w:r>
      <w:r>
        <w:rPr>
          <w:b/>
        </w:rPr>
        <w:t>6.1</w:t>
      </w:r>
      <w:r w:rsidRPr="006E01F8">
        <w:rPr>
          <w:b/>
        </w:rPr>
        <w:t xml:space="preserve"> Commission Staff Observations for Interior Parking Garage Linear Fluorescent to LED Luminaires or Retrofit Kits </w:t>
      </w:r>
      <w:r>
        <w:rPr>
          <w:b/>
        </w:rPr>
        <w:t>– July 13, 2016 Email</w:t>
      </w:r>
    </w:p>
    <w:p w:rsidR="00E70A91" w:rsidRDefault="00E70A91" w:rsidP="00E70A91">
      <w:pPr>
        <w:rPr>
          <w:rFonts w:cs="Arial"/>
          <w:i/>
          <w:color w:val="FF0000"/>
          <w:szCs w:val="22"/>
        </w:rPr>
      </w:pPr>
      <w:r w:rsidRPr="009B19D5">
        <w:rPr>
          <w:rFonts w:cs="Arial"/>
          <w:szCs w:val="22"/>
        </w:rPr>
        <w:t xml:space="preserve">Although this </w:t>
      </w:r>
      <w:r>
        <w:rPr>
          <w:rFonts w:cs="Arial"/>
          <w:szCs w:val="22"/>
        </w:rPr>
        <w:t xml:space="preserve">workpaper </w:t>
      </w:r>
      <w:r w:rsidRPr="009B19D5">
        <w:rPr>
          <w:rFonts w:cs="Arial"/>
          <w:szCs w:val="22"/>
        </w:rPr>
        <w:t xml:space="preserve">focuses only on </w:t>
      </w:r>
      <w:r>
        <w:rPr>
          <w:rFonts w:cs="Arial"/>
          <w:szCs w:val="22"/>
        </w:rPr>
        <w:t>replace on burnout (</w:t>
      </w:r>
      <w:r w:rsidRPr="009B19D5">
        <w:rPr>
          <w:rFonts w:cs="Arial"/>
          <w:szCs w:val="22"/>
        </w:rPr>
        <w:t>ROB</w:t>
      </w:r>
      <w:r>
        <w:rPr>
          <w:rFonts w:cs="Arial"/>
          <w:szCs w:val="22"/>
        </w:rPr>
        <w:t>)</w:t>
      </w:r>
      <w:r w:rsidRPr="009B19D5">
        <w:rPr>
          <w:rFonts w:cs="Arial"/>
          <w:szCs w:val="22"/>
        </w:rPr>
        <w:t xml:space="preserve"> applications, early retirement </w:t>
      </w:r>
      <w:r>
        <w:rPr>
          <w:rFonts w:cs="Arial"/>
          <w:szCs w:val="22"/>
        </w:rPr>
        <w:t xml:space="preserve">(ER) </w:t>
      </w:r>
      <w:r w:rsidRPr="009B19D5">
        <w:rPr>
          <w:rFonts w:cs="Arial"/>
          <w:szCs w:val="22"/>
        </w:rPr>
        <w:t xml:space="preserve">would be a realistic application because the </w:t>
      </w:r>
      <w:r>
        <w:rPr>
          <w:rFonts w:cs="Arial"/>
          <w:szCs w:val="22"/>
        </w:rPr>
        <w:t xml:space="preserve">studies referenced in this workpaper evidence that the </w:t>
      </w:r>
      <w:r w:rsidRPr="009B19D5">
        <w:rPr>
          <w:rFonts w:cs="Arial"/>
          <w:szCs w:val="22"/>
        </w:rPr>
        <w:t xml:space="preserve">baseline </w:t>
      </w:r>
      <w:r>
        <w:rPr>
          <w:rFonts w:cs="Arial"/>
          <w:szCs w:val="22"/>
        </w:rPr>
        <w:t xml:space="preserve">mixture primarily consist of </w:t>
      </w:r>
      <w:r w:rsidRPr="009B19D5">
        <w:rPr>
          <w:rFonts w:cs="Arial"/>
          <w:szCs w:val="22"/>
        </w:rPr>
        <w:t xml:space="preserve">1st generation </w:t>
      </w:r>
      <w:r w:rsidR="0002313E">
        <w:rPr>
          <w:rFonts w:cs="Arial"/>
          <w:szCs w:val="22"/>
        </w:rPr>
        <w:t>F32T</w:t>
      </w:r>
      <w:r w:rsidRPr="009B19D5">
        <w:rPr>
          <w:rFonts w:cs="Arial"/>
          <w:szCs w:val="22"/>
        </w:rPr>
        <w:t>8 fluorescent fixtures</w:t>
      </w:r>
      <w:r w:rsidR="0002313E">
        <w:rPr>
          <w:rFonts w:cs="Arial"/>
          <w:szCs w:val="22"/>
        </w:rPr>
        <w:t xml:space="preserve"> and</w:t>
      </w:r>
      <w:r w:rsidRPr="009B19D5">
        <w:rPr>
          <w:rFonts w:cs="Arial"/>
          <w:szCs w:val="22"/>
        </w:rPr>
        <w:t xml:space="preserve"> HID fixtures. </w:t>
      </w:r>
    </w:p>
    <w:p w:rsidR="00E70A91" w:rsidRDefault="00E70A91" w:rsidP="009B4977"/>
    <w:p w:rsidR="009B4977" w:rsidRDefault="00E70A91" w:rsidP="009B4977">
      <w:r>
        <w:t>However, i</w:t>
      </w:r>
      <w:r w:rsidR="009B4977">
        <w:t>n an email from the EAR team to CalTF staff on July 13, 2016, a</w:t>
      </w:r>
      <w:r w:rsidR="0002313E">
        <w:t>n EAR team</w:t>
      </w:r>
      <w:r w:rsidR="009B4977">
        <w:t xml:space="preserve"> representative indicated </w:t>
      </w:r>
      <w:r w:rsidR="0002313E">
        <w:t xml:space="preserve">that </w:t>
      </w:r>
      <w:r w:rsidR="009B4977">
        <w:t>the EAR team observes the standard practice is changing extremely rapidly on this technology. The EAR team representative indicated that when determining industry standard practice, to consider limiting the time frame to the last ~1 year</w:t>
      </w:r>
      <w:r>
        <w:t xml:space="preserve"> (summer of 2015</w:t>
      </w:r>
      <w:r w:rsidR="004C145B">
        <w:t xml:space="preserve"> to present day</w:t>
      </w:r>
      <w:r>
        <w:t>)</w:t>
      </w:r>
      <w:r w:rsidR="009B4977">
        <w:t xml:space="preserve"> due to the uncertainty of whether a project designed or retrofit today would normally install T8s or LEDs.  </w:t>
      </w:r>
    </w:p>
    <w:p w:rsidR="0002313E" w:rsidRDefault="0002313E" w:rsidP="009B4977">
      <w:r>
        <w:t>Therefore, to help substantiate the energy savings for an early retirement option, baseline data can be collected during program implementation as a future data collection effort.</w:t>
      </w:r>
    </w:p>
    <w:p w:rsidR="009B4977" w:rsidRDefault="009B4977" w:rsidP="009B4977"/>
    <w:p w:rsidR="002D189D" w:rsidRPr="00D23156" w:rsidRDefault="002D189D" w:rsidP="002D189D">
      <w:pPr>
        <w:rPr>
          <w:rFonts w:cs="Arial"/>
          <w:b/>
          <w:szCs w:val="22"/>
        </w:rPr>
      </w:pPr>
      <w:r>
        <w:rPr>
          <w:rFonts w:cs="Arial"/>
          <w:b/>
          <w:szCs w:val="22"/>
        </w:rPr>
        <w:t xml:space="preserve">1.6.1 </w:t>
      </w:r>
      <w:r w:rsidRPr="00D23156">
        <w:rPr>
          <w:rFonts w:cs="Arial"/>
          <w:b/>
          <w:szCs w:val="22"/>
        </w:rPr>
        <w:t>DOE’s July 2015 Adoption of Light-Emitting Diodes in Common Lighting Applications</w:t>
      </w:r>
    </w:p>
    <w:p w:rsidR="002D189D" w:rsidRDefault="00E70A91" w:rsidP="002D189D">
      <w:pPr>
        <w:rPr>
          <w:rFonts w:cs="Arial"/>
          <w:szCs w:val="22"/>
        </w:rPr>
      </w:pPr>
      <w:r>
        <w:rPr>
          <w:rFonts w:cs="Arial"/>
          <w:szCs w:val="22"/>
        </w:rPr>
        <w:t>Although the study does not fall in the ideal time frame between the summer of 2015 to present day, t</w:t>
      </w:r>
      <w:r w:rsidR="002D189D">
        <w:rPr>
          <w:rFonts w:cs="Arial"/>
          <w:szCs w:val="22"/>
        </w:rPr>
        <w:t xml:space="preserve">he </w:t>
      </w:r>
      <w:r w:rsidR="006855C9" w:rsidRPr="008D1722">
        <w:rPr>
          <w:rFonts w:cs="Arial"/>
          <w:szCs w:val="22"/>
        </w:rPr>
        <w:t xml:space="preserve">DOE’s </w:t>
      </w:r>
      <w:r w:rsidR="006855C9">
        <w:rPr>
          <w:rFonts w:cs="Arial"/>
          <w:szCs w:val="22"/>
        </w:rPr>
        <w:t>July 2015</w:t>
      </w:r>
      <w:r w:rsidR="006855C9" w:rsidRPr="008D1722">
        <w:rPr>
          <w:rFonts w:cs="Arial"/>
          <w:szCs w:val="22"/>
        </w:rPr>
        <w:t xml:space="preserve"> </w:t>
      </w:r>
      <w:r w:rsidR="006855C9" w:rsidRPr="00D23156">
        <w:rPr>
          <w:rFonts w:cs="Arial"/>
          <w:szCs w:val="22"/>
        </w:rPr>
        <w:t>Adoption of Light-Emitting Diodes in Common Lighting Applications</w:t>
      </w:r>
      <w:r w:rsidR="006855C9">
        <w:rPr>
          <w:rFonts w:cs="Arial"/>
          <w:szCs w:val="22"/>
        </w:rPr>
        <w:t xml:space="preserve"> </w:t>
      </w:r>
      <w:r w:rsidR="002D189D">
        <w:rPr>
          <w:rFonts w:cs="Arial"/>
          <w:szCs w:val="22"/>
        </w:rPr>
        <w:t xml:space="preserve">study </w:t>
      </w:r>
      <w:r>
        <w:rPr>
          <w:rFonts w:cs="Arial"/>
          <w:szCs w:val="22"/>
        </w:rPr>
        <w:t xml:space="preserve">is the closet data point to this desired time frame and </w:t>
      </w:r>
      <w:r w:rsidR="002D189D">
        <w:rPr>
          <w:rFonts w:cs="Arial"/>
          <w:szCs w:val="22"/>
        </w:rPr>
        <w:t xml:space="preserve">found that </w:t>
      </w:r>
      <w:r w:rsidR="002D189D" w:rsidRPr="007733B6">
        <w:rPr>
          <w:rFonts w:cs="Arial"/>
          <w:szCs w:val="22"/>
        </w:rPr>
        <w:t>there were 37 million parking garage installa</w:t>
      </w:r>
      <w:r w:rsidR="002D189D">
        <w:rPr>
          <w:rFonts w:cs="Arial"/>
          <w:szCs w:val="22"/>
        </w:rPr>
        <w:t>tions in the U.S. of which</w:t>
      </w:r>
      <w:r w:rsidR="002D189D" w:rsidRPr="007733B6">
        <w:rPr>
          <w:rFonts w:cs="Arial"/>
          <w:szCs w:val="22"/>
        </w:rPr>
        <w:t xml:space="preserve"> 1.8 million were LED</w:t>
      </w:r>
      <w:r w:rsidR="002D189D">
        <w:rPr>
          <w:rFonts w:cs="Arial"/>
          <w:szCs w:val="22"/>
        </w:rPr>
        <w:t xml:space="preserve"> installation</w:t>
      </w:r>
      <w:r w:rsidR="002D189D" w:rsidRPr="007733B6">
        <w:rPr>
          <w:rFonts w:cs="Arial"/>
          <w:szCs w:val="22"/>
        </w:rPr>
        <w:t>s.</w:t>
      </w:r>
      <w:r>
        <w:rPr>
          <w:rFonts w:cs="Arial"/>
          <w:szCs w:val="22"/>
        </w:rPr>
        <w:t xml:space="preserve"> </w:t>
      </w:r>
      <w:r w:rsidR="002D189D">
        <w:rPr>
          <w:rFonts w:cs="Arial"/>
          <w:szCs w:val="22"/>
        </w:rPr>
        <w:t xml:space="preserve">Based on this 2014 study, LED parking garage installations represented less than 5% of all parking garage installations. </w:t>
      </w:r>
    </w:p>
    <w:p w:rsidR="0002313E" w:rsidRDefault="0002313E" w:rsidP="002D189D">
      <w:pPr>
        <w:rPr>
          <w:rFonts w:cs="Arial"/>
          <w:szCs w:val="22"/>
        </w:rPr>
      </w:pPr>
    </w:p>
    <w:p w:rsidR="002D189D" w:rsidRDefault="002D189D" w:rsidP="002D189D">
      <w:pPr>
        <w:rPr>
          <w:rFonts w:cs="Arial"/>
          <w:szCs w:val="22"/>
        </w:rPr>
      </w:pPr>
      <w:r>
        <w:rPr>
          <w:rFonts w:cs="Arial"/>
          <w:szCs w:val="22"/>
        </w:rPr>
        <w:t>The study estimated that i</w:t>
      </w:r>
      <w:r w:rsidRPr="007733B6">
        <w:rPr>
          <w:rFonts w:cs="Arial"/>
          <w:szCs w:val="22"/>
        </w:rPr>
        <w:t xml:space="preserve">f all 37 million installations were to switch to LEDs </w:t>
      </w:r>
      <w:r>
        <w:rPr>
          <w:rFonts w:cs="Arial"/>
          <w:szCs w:val="22"/>
        </w:rPr>
        <w:t>overnight</w:t>
      </w:r>
      <w:r w:rsidRPr="007733B6">
        <w:rPr>
          <w:rFonts w:cs="Arial"/>
          <w:szCs w:val="22"/>
        </w:rPr>
        <w:t>, it would</w:t>
      </w:r>
      <w:r>
        <w:rPr>
          <w:rFonts w:cs="Arial"/>
          <w:szCs w:val="22"/>
        </w:rPr>
        <w:t xml:space="preserve"> save 14 TWh of site electricity nationwide (Table 3.9 from the DOE’s Study).</w:t>
      </w:r>
      <w:r>
        <w:rPr>
          <w:rStyle w:val="EndnoteReference"/>
          <w:rFonts w:cs="Arial"/>
          <w:szCs w:val="22"/>
        </w:rPr>
        <w:endnoteReference w:id="4"/>
      </w:r>
      <w:r>
        <w:rPr>
          <w:rFonts w:cs="Arial"/>
          <w:szCs w:val="22"/>
        </w:rPr>
        <w:t xml:space="preserve">  This would correspond to 1.68</w:t>
      </w:r>
      <w:r w:rsidRPr="008D1722">
        <w:rPr>
          <w:rFonts w:cs="Arial"/>
          <w:szCs w:val="22"/>
        </w:rPr>
        <w:t xml:space="preserve"> TWh statewide and </w:t>
      </w:r>
      <w:r>
        <w:rPr>
          <w:rFonts w:cs="Arial"/>
          <w:szCs w:val="22"/>
        </w:rPr>
        <w:t>1.26</w:t>
      </w:r>
      <w:r w:rsidRPr="008D1722">
        <w:rPr>
          <w:rFonts w:cs="Arial"/>
          <w:szCs w:val="22"/>
        </w:rPr>
        <w:t xml:space="preserve"> TWh in </w:t>
      </w:r>
      <w:r>
        <w:rPr>
          <w:rFonts w:cs="Arial"/>
          <w:szCs w:val="22"/>
        </w:rPr>
        <w:t>IOU</w:t>
      </w:r>
      <w:r w:rsidRPr="008D1722">
        <w:rPr>
          <w:rFonts w:cs="Arial"/>
          <w:szCs w:val="22"/>
        </w:rPr>
        <w:t xml:space="preserve"> service territor</w:t>
      </w:r>
      <w:r>
        <w:rPr>
          <w:rFonts w:cs="Arial"/>
          <w:szCs w:val="22"/>
        </w:rPr>
        <w:t>ies</w:t>
      </w:r>
      <w:r w:rsidRPr="008D1722">
        <w:rPr>
          <w:rFonts w:cs="Arial"/>
          <w:szCs w:val="22"/>
        </w:rPr>
        <w:t xml:space="preserve">. </w:t>
      </w:r>
      <w:r>
        <w:rPr>
          <w:rFonts w:cs="Arial"/>
          <w:szCs w:val="22"/>
        </w:rPr>
        <w:t>A</w:t>
      </w:r>
      <w:r w:rsidRPr="008D1722">
        <w:rPr>
          <w:rFonts w:cs="Arial"/>
          <w:szCs w:val="22"/>
        </w:rPr>
        <w:t xml:space="preserve">t </w:t>
      </w:r>
      <w:r>
        <w:rPr>
          <w:rFonts w:cs="Arial"/>
          <w:szCs w:val="22"/>
        </w:rPr>
        <w:t>5</w:t>
      </w:r>
      <w:r w:rsidRPr="008D1722">
        <w:rPr>
          <w:rFonts w:cs="Arial"/>
          <w:szCs w:val="22"/>
        </w:rPr>
        <w:t xml:space="preserve">% </w:t>
      </w:r>
      <w:r>
        <w:rPr>
          <w:rFonts w:cs="Arial"/>
          <w:szCs w:val="22"/>
        </w:rPr>
        <w:t xml:space="preserve">fixture </w:t>
      </w:r>
      <w:r w:rsidRPr="008D1722">
        <w:rPr>
          <w:rFonts w:cs="Arial"/>
          <w:szCs w:val="22"/>
        </w:rPr>
        <w:t xml:space="preserve">stock turnover annually, this market could generate savings of </w:t>
      </w:r>
      <w:r>
        <w:rPr>
          <w:rFonts w:cs="Arial"/>
          <w:szCs w:val="22"/>
        </w:rPr>
        <w:t>63</w:t>
      </w:r>
      <w:r w:rsidRPr="008D1722">
        <w:rPr>
          <w:rFonts w:cs="Arial"/>
          <w:szCs w:val="22"/>
        </w:rPr>
        <w:t xml:space="preserve"> GWh.</w:t>
      </w:r>
    </w:p>
    <w:p w:rsidR="001879E2" w:rsidRDefault="001879E2" w:rsidP="002D189D">
      <w:pPr>
        <w:rPr>
          <w:rFonts w:cs="Arial"/>
          <w:szCs w:val="22"/>
        </w:rPr>
      </w:pPr>
    </w:p>
    <w:p w:rsidR="002D189D" w:rsidRPr="008E3621" w:rsidRDefault="002D189D" w:rsidP="002D189D">
      <w:pPr>
        <w:jc w:val="center"/>
        <w:rPr>
          <w:rFonts w:cs="Arial"/>
          <w:i/>
          <w:color w:val="FF0000"/>
        </w:rPr>
      </w:pPr>
      <w:r>
        <w:rPr>
          <w:rFonts w:cs="Arial"/>
          <w:i/>
          <w:noProof/>
          <w:color w:val="FF0000"/>
        </w:rPr>
        <w:drawing>
          <wp:inline distT="0" distB="0" distL="0" distR="0" wp14:anchorId="7FD1DD6A" wp14:editId="31281C0D">
            <wp:extent cx="3716122" cy="11886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1149" cy="1190272"/>
                    </a:xfrm>
                    <a:prstGeom prst="rect">
                      <a:avLst/>
                    </a:prstGeom>
                    <a:noFill/>
                    <a:ln>
                      <a:noFill/>
                    </a:ln>
                  </pic:spPr>
                </pic:pic>
              </a:graphicData>
            </a:graphic>
          </wp:inline>
        </w:drawing>
      </w:r>
    </w:p>
    <w:p w:rsidR="002D189D" w:rsidRPr="00D23156" w:rsidRDefault="0002313E" w:rsidP="001879E2">
      <w:pPr>
        <w:jc w:val="center"/>
      </w:pPr>
      <w:r>
        <w:rPr>
          <w:b/>
        </w:rPr>
        <w:t>Figure 16</w:t>
      </w:r>
      <w:r w:rsidR="002D189D" w:rsidRPr="00020571">
        <w:rPr>
          <w:b/>
        </w:rPr>
        <w:t>.</w:t>
      </w:r>
      <w:r w:rsidR="002D189D">
        <w:t xml:space="preserve"> DOE’s </w:t>
      </w:r>
      <w:r w:rsidR="002D189D" w:rsidRPr="00020571">
        <w:t xml:space="preserve">Adoption of Light-Emitting Diodes in Common Lighting Applications </w:t>
      </w:r>
      <w:r w:rsidR="002D189D">
        <w:t>Study LED Parking Garage Energy Savings Summary</w:t>
      </w:r>
    </w:p>
    <w:p w:rsidR="008973FB" w:rsidRDefault="008973FB" w:rsidP="006E01F8">
      <w:pPr>
        <w:rPr>
          <w:b/>
        </w:rPr>
      </w:pPr>
    </w:p>
    <w:p w:rsidR="004C145B" w:rsidRDefault="00FB73FD" w:rsidP="00CE127B">
      <w:pPr>
        <w:spacing w:after="240"/>
        <w:rPr>
          <w:rFonts w:cs="Arial"/>
          <w:szCs w:val="22"/>
        </w:rPr>
      </w:pPr>
      <w:r>
        <w:t xml:space="preserve">Because the 2013 Title 24 Code </w:t>
      </w:r>
      <w:r w:rsidR="006855C9">
        <w:t>became</w:t>
      </w:r>
      <w:r>
        <w:t xml:space="preserve"> effective on July 1, 2014, t</w:t>
      </w:r>
      <w:r w:rsidR="006E01F8" w:rsidRPr="00FB73FD">
        <w:t>he summer of 2015 was the beginning of the turning point for new construction in park</w:t>
      </w:r>
      <w:r>
        <w:t xml:space="preserve">ing garages. </w:t>
      </w:r>
      <w:r w:rsidR="006855C9">
        <w:t xml:space="preserve">Based on the </w:t>
      </w:r>
      <w:r w:rsidR="006855C9" w:rsidRPr="008D1722">
        <w:rPr>
          <w:rFonts w:cs="Arial"/>
          <w:szCs w:val="22"/>
        </w:rPr>
        <w:t xml:space="preserve">DOE’s </w:t>
      </w:r>
      <w:r w:rsidR="006855C9">
        <w:rPr>
          <w:rFonts w:cs="Arial"/>
          <w:szCs w:val="22"/>
        </w:rPr>
        <w:t>July 2015</w:t>
      </w:r>
      <w:r w:rsidR="006855C9" w:rsidRPr="008D1722">
        <w:rPr>
          <w:rFonts w:cs="Arial"/>
          <w:szCs w:val="22"/>
        </w:rPr>
        <w:t xml:space="preserve"> </w:t>
      </w:r>
      <w:r w:rsidR="006855C9" w:rsidRPr="00D23156">
        <w:rPr>
          <w:rFonts w:cs="Arial"/>
          <w:szCs w:val="22"/>
        </w:rPr>
        <w:t>Adoption of Light-Emitting Diodes in Common Lighting Applications</w:t>
      </w:r>
      <w:r w:rsidR="006855C9">
        <w:rPr>
          <w:rFonts w:cs="Arial"/>
          <w:szCs w:val="22"/>
        </w:rPr>
        <w:t xml:space="preserve"> study, LED parking garage installations represented less than 5% of al</w:t>
      </w:r>
      <w:r w:rsidR="001879E2">
        <w:rPr>
          <w:rFonts w:cs="Arial"/>
          <w:szCs w:val="22"/>
        </w:rPr>
        <w:t xml:space="preserve">l parking garage installations. </w:t>
      </w:r>
    </w:p>
    <w:p w:rsidR="002D189D" w:rsidRPr="001879E2" w:rsidRDefault="006855C9" w:rsidP="00CE127B">
      <w:pPr>
        <w:spacing w:after="240"/>
        <w:rPr>
          <w:rFonts w:cs="Arial"/>
          <w:szCs w:val="22"/>
        </w:rPr>
      </w:pPr>
      <w:r>
        <w:rPr>
          <w:rFonts w:cs="Arial"/>
          <w:szCs w:val="22"/>
        </w:rPr>
        <w:t>However, it was not clear on whether these LED installations were a part of new construction parking garage projects or in existing parking garages. T</w:t>
      </w:r>
      <w:r w:rsidR="00307B8A">
        <w:t xml:space="preserve">he major energy savings opportunities are found in existing parking garages where the cost effectiveness of </w:t>
      </w:r>
      <w:r w:rsidR="006E01F8" w:rsidRPr="00FB73FD">
        <w:t xml:space="preserve">LED </w:t>
      </w:r>
      <w:r w:rsidR="00307B8A">
        <w:t xml:space="preserve">fixtures </w:t>
      </w:r>
      <w:r w:rsidR="006E01F8" w:rsidRPr="00FB73FD">
        <w:t xml:space="preserve">instead of fluorescent </w:t>
      </w:r>
      <w:r w:rsidR="00307B8A">
        <w:t>have yet to be determined</w:t>
      </w:r>
      <w:r w:rsidR="006E01F8" w:rsidRPr="00FB73FD">
        <w:t>.</w:t>
      </w:r>
      <w:r>
        <w:t xml:space="preserve"> Consequently, t</w:t>
      </w:r>
      <w:r w:rsidR="00CE127B">
        <w:t>he CalTF recommend</w:t>
      </w:r>
      <w:r>
        <w:t>ed</w:t>
      </w:r>
      <w:r w:rsidR="00CE127B">
        <w:t xml:space="preserve"> collect</w:t>
      </w:r>
      <w:r>
        <w:t>ing</w:t>
      </w:r>
      <w:r w:rsidR="00CE127B">
        <w:t xml:space="preserve"> baseline data </w:t>
      </w:r>
      <w:r w:rsidR="00E70A91">
        <w:t xml:space="preserve">during program implementation </w:t>
      </w:r>
      <w:r w:rsidR="00CE127B">
        <w:t>to support a future early retirement (ER) application type for consideration in a future workpaper update</w:t>
      </w:r>
      <w:r>
        <w:t xml:space="preserve"> to address </w:t>
      </w:r>
      <w:r w:rsidR="00E70A91">
        <w:t xml:space="preserve">current industry standard practice and because of the higher energy savings opportunity. </w:t>
      </w:r>
    </w:p>
    <w:p w:rsidR="00E16609" w:rsidRPr="00500C4E" w:rsidRDefault="00E16609" w:rsidP="00560934">
      <w:pPr>
        <w:pStyle w:val="Heading1"/>
        <w:keepNext w:val="0"/>
        <w:rPr>
          <w:rFonts w:cstheme="minorHAnsi"/>
        </w:rPr>
      </w:pPr>
      <w:r w:rsidRPr="00500C4E">
        <w:rPr>
          <w:rFonts w:cstheme="minorHAnsi"/>
        </w:rPr>
        <w:t>Section 2</w:t>
      </w:r>
      <w:r w:rsidR="00317970">
        <w:rPr>
          <w:rFonts w:cstheme="minorHAnsi"/>
        </w:rPr>
        <w:t>.</w:t>
      </w:r>
      <w:r w:rsidR="00317970" w:rsidRPr="00500C4E">
        <w:rPr>
          <w:rFonts w:cstheme="minorHAnsi"/>
        </w:rPr>
        <w:t xml:space="preserve"> </w:t>
      </w:r>
      <w:r w:rsidRPr="00500C4E">
        <w:rPr>
          <w:rFonts w:cstheme="minorHAnsi"/>
        </w:rPr>
        <w:t>Calculation</w:t>
      </w:r>
      <w:bookmarkEnd w:id="21"/>
      <w:r w:rsidR="00755A45" w:rsidRPr="00500C4E">
        <w:rPr>
          <w:rFonts w:cstheme="minorHAnsi"/>
        </w:rPr>
        <w:t xml:space="preserve"> Methodology</w:t>
      </w:r>
    </w:p>
    <w:p w:rsidR="006009E7" w:rsidRDefault="006009E7" w:rsidP="001466FC">
      <w:pPr>
        <w:pStyle w:val="Heading2"/>
      </w:pPr>
      <w:r>
        <w:t>Base Case</w:t>
      </w:r>
    </w:p>
    <w:p w:rsidR="00A8254B" w:rsidRDefault="001466FC" w:rsidP="006009E7">
      <w:pPr>
        <w:pStyle w:val="Reminders"/>
        <w:rPr>
          <w:rFonts w:asciiTheme="minorHAnsi" w:hAnsiTheme="minorHAnsi" w:cstheme="minorHAnsi"/>
          <w:i w:val="0"/>
          <w:color w:val="auto"/>
          <w:szCs w:val="22"/>
        </w:rPr>
      </w:pPr>
      <w:r>
        <w:rPr>
          <w:rFonts w:asciiTheme="minorHAnsi" w:hAnsiTheme="minorHAnsi" w:cstheme="minorHAnsi"/>
          <w:i w:val="0"/>
          <w:color w:val="auto"/>
          <w:szCs w:val="22"/>
        </w:rPr>
        <w:t xml:space="preserve">Based on the studies referenced in Section 1.5 of this workpaper, the two </w:t>
      </w:r>
      <w:r w:rsidR="00E331AF" w:rsidRPr="00E331AF">
        <w:rPr>
          <w:rFonts w:asciiTheme="minorHAnsi" w:hAnsiTheme="minorHAnsi" w:cstheme="minorHAnsi"/>
          <w:i w:val="0"/>
          <w:color w:val="auto"/>
          <w:szCs w:val="22"/>
        </w:rPr>
        <w:t>commonly used fluorescent luminaires in garages</w:t>
      </w:r>
      <w:r w:rsidR="00A8254B">
        <w:rPr>
          <w:rFonts w:asciiTheme="minorHAnsi" w:hAnsiTheme="minorHAnsi" w:cstheme="minorHAnsi"/>
          <w:i w:val="0"/>
          <w:color w:val="auto"/>
          <w:szCs w:val="22"/>
        </w:rPr>
        <w:t xml:space="preserve"> are: </w:t>
      </w:r>
    </w:p>
    <w:p w:rsidR="00A8254B" w:rsidRDefault="00A8254B" w:rsidP="00DD2BB9">
      <w:pPr>
        <w:pStyle w:val="Reminders"/>
        <w:numPr>
          <w:ilvl w:val="0"/>
          <w:numId w:val="16"/>
        </w:numPr>
        <w:rPr>
          <w:rFonts w:asciiTheme="minorHAnsi" w:hAnsiTheme="minorHAnsi" w:cstheme="minorHAnsi"/>
          <w:i w:val="0"/>
          <w:color w:val="auto"/>
          <w:szCs w:val="22"/>
        </w:rPr>
      </w:pPr>
      <w:r>
        <w:rPr>
          <w:rFonts w:asciiTheme="minorHAnsi" w:hAnsiTheme="minorHAnsi" w:cstheme="minorHAnsi"/>
          <w:i w:val="0"/>
          <w:color w:val="auto"/>
          <w:szCs w:val="22"/>
        </w:rPr>
        <w:t>s</w:t>
      </w:r>
      <w:r w:rsidRPr="00A8254B">
        <w:rPr>
          <w:rFonts w:asciiTheme="minorHAnsi" w:hAnsiTheme="minorHAnsi" w:cstheme="minorHAnsi"/>
          <w:i w:val="0"/>
          <w:color w:val="auto"/>
          <w:szCs w:val="22"/>
        </w:rPr>
        <w:t>trip fluorescent luminaires</w:t>
      </w:r>
      <w:r>
        <w:rPr>
          <w:rFonts w:asciiTheme="minorHAnsi" w:hAnsiTheme="minorHAnsi" w:cstheme="minorHAnsi"/>
          <w:i w:val="0"/>
          <w:color w:val="auto"/>
          <w:szCs w:val="22"/>
        </w:rPr>
        <w:t xml:space="preserve"> (two </w:t>
      </w:r>
      <w:r w:rsidRPr="00A8254B">
        <w:rPr>
          <w:rFonts w:asciiTheme="minorHAnsi" w:hAnsiTheme="minorHAnsi" w:cstheme="minorHAnsi"/>
          <w:i w:val="0"/>
          <w:color w:val="auto"/>
          <w:szCs w:val="22"/>
        </w:rPr>
        <w:t>4’ single la</w:t>
      </w:r>
      <w:r>
        <w:rPr>
          <w:rFonts w:asciiTheme="minorHAnsi" w:hAnsiTheme="minorHAnsi" w:cstheme="minorHAnsi"/>
          <w:i w:val="0"/>
          <w:color w:val="auto"/>
          <w:szCs w:val="22"/>
        </w:rPr>
        <w:t xml:space="preserve">mp installed in 8’ long tandem sharing one ballast) and  </w:t>
      </w:r>
      <w:r w:rsidRPr="00A8254B">
        <w:rPr>
          <w:rFonts w:asciiTheme="minorHAnsi" w:hAnsiTheme="minorHAnsi" w:cstheme="minorHAnsi"/>
          <w:i w:val="0"/>
          <w:color w:val="auto"/>
          <w:szCs w:val="22"/>
        </w:rPr>
        <w:t xml:space="preserve"> </w:t>
      </w:r>
    </w:p>
    <w:p w:rsidR="00A8254B" w:rsidRDefault="00A8254B" w:rsidP="00DD2BB9">
      <w:pPr>
        <w:pStyle w:val="Reminders"/>
        <w:numPr>
          <w:ilvl w:val="0"/>
          <w:numId w:val="16"/>
        </w:numPr>
        <w:rPr>
          <w:rFonts w:asciiTheme="minorHAnsi" w:hAnsiTheme="minorHAnsi" w:cstheme="minorHAnsi"/>
          <w:i w:val="0"/>
          <w:color w:val="auto"/>
          <w:szCs w:val="22"/>
        </w:rPr>
      </w:pPr>
      <w:r>
        <w:rPr>
          <w:rFonts w:asciiTheme="minorHAnsi" w:hAnsiTheme="minorHAnsi" w:cstheme="minorHAnsi"/>
          <w:i w:val="0"/>
          <w:color w:val="auto"/>
          <w:szCs w:val="22"/>
        </w:rPr>
        <w:t>v</w:t>
      </w:r>
      <w:r w:rsidRPr="00A8254B">
        <w:rPr>
          <w:rFonts w:asciiTheme="minorHAnsi" w:hAnsiTheme="minorHAnsi" w:cstheme="minorHAnsi"/>
          <w:i w:val="0"/>
          <w:color w:val="auto"/>
          <w:szCs w:val="22"/>
        </w:rPr>
        <w:t>apor tight wraparound T8 fluorescent luminaires</w:t>
      </w:r>
      <w:r>
        <w:rPr>
          <w:rFonts w:asciiTheme="minorHAnsi" w:hAnsiTheme="minorHAnsi" w:cstheme="minorHAnsi"/>
          <w:i w:val="0"/>
          <w:color w:val="auto"/>
          <w:szCs w:val="22"/>
        </w:rPr>
        <w:t xml:space="preserve"> (two </w:t>
      </w:r>
      <w:r w:rsidRPr="00A8254B">
        <w:rPr>
          <w:rFonts w:asciiTheme="minorHAnsi" w:hAnsiTheme="minorHAnsi" w:cstheme="minorHAnsi"/>
          <w:i w:val="0"/>
          <w:color w:val="auto"/>
          <w:szCs w:val="22"/>
        </w:rPr>
        <w:t xml:space="preserve">4’ lamps </w:t>
      </w:r>
      <w:r>
        <w:rPr>
          <w:rFonts w:asciiTheme="minorHAnsi" w:hAnsiTheme="minorHAnsi" w:cstheme="minorHAnsi"/>
          <w:i w:val="0"/>
          <w:color w:val="auto"/>
          <w:szCs w:val="22"/>
        </w:rPr>
        <w:t xml:space="preserve">installed side by side within the fixture housing </w:t>
      </w:r>
      <w:r w:rsidRPr="00A8254B">
        <w:rPr>
          <w:rFonts w:asciiTheme="minorHAnsi" w:hAnsiTheme="minorHAnsi" w:cstheme="minorHAnsi"/>
          <w:i w:val="0"/>
          <w:color w:val="auto"/>
          <w:szCs w:val="22"/>
        </w:rPr>
        <w:t>sharing a single ballast</w:t>
      </w:r>
      <w:r>
        <w:rPr>
          <w:rFonts w:asciiTheme="minorHAnsi" w:hAnsiTheme="minorHAnsi" w:cstheme="minorHAnsi"/>
          <w:i w:val="0"/>
          <w:color w:val="auto"/>
          <w:szCs w:val="22"/>
        </w:rPr>
        <w:t>).</w:t>
      </w:r>
      <w:r w:rsidRPr="00A8254B">
        <w:rPr>
          <w:rFonts w:asciiTheme="minorHAnsi" w:hAnsiTheme="minorHAnsi" w:cstheme="minorHAnsi"/>
          <w:i w:val="0"/>
          <w:color w:val="auto"/>
          <w:szCs w:val="22"/>
        </w:rPr>
        <w:t xml:space="preserve"> </w:t>
      </w:r>
    </w:p>
    <w:p w:rsidR="00A8254B" w:rsidRDefault="00A8254B" w:rsidP="00A8254B">
      <w:pPr>
        <w:pStyle w:val="Reminders"/>
        <w:rPr>
          <w:rFonts w:asciiTheme="minorHAnsi" w:hAnsiTheme="minorHAnsi" w:cstheme="minorHAnsi"/>
          <w:i w:val="0"/>
          <w:color w:val="auto"/>
          <w:szCs w:val="22"/>
        </w:rPr>
      </w:pPr>
    </w:p>
    <w:p w:rsidR="001466FC" w:rsidRDefault="00AE49A7" w:rsidP="00A8254B">
      <w:pPr>
        <w:pStyle w:val="Reminders"/>
        <w:rPr>
          <w:rFonts w:asciiTheme="minorHAnsi" w:hAnsiTheme="minorHAnsi" w:cstheme="minorHAnsi"/>
          <w:i w:val="0"/>
          <w:color w:val="auto"/>
          <w:szCs w:val="22"/>
        </w:rPr>
      </w:pPr>
      <w:r>
        <w:rPr>
          <w:rFonts w:asciiTheme="minorHAnsi" w:hAnsiTheme="minorHAnsi" w:cstheme="minorHAnsi"/>
          <w:i w:val="0"/>
          <w:color w:val="auto"/>
          <w:szCs w:val="22"/>
        </w:rPr>
        <w:t xml:space="preserve">Base Case wattages were taken from the </w:t>
      </w:r>
      <w:r w:rsidR="00E331AF" w:rsidRPr="00E331AF">
        <w:rPr>
          <w:rFonts w:asciiTheme="minorHAnsi" w:hAnsiTheme="minorHAnsi" w:cstheme="minorHAnsi"/>
          <w:i w:val="0"/>
          <w:color w:val="auto"/>
          <w:szCs w:val="22"/>
        </w:rPr>
        <w:t xml:space="preserve">IOU Table of </w:t>
      </w:r>
      <w:r w:rsidR="00E331AF">
        <w:rPr>
          <w:rFonts w:asciiTheme="minorHAnsi" w:hAnsiTheme="minorHAnsi" w:cstheme="minorHAnsi"/>
          <w:i w:val="0"/>
          <w:color w:val="auto"/>
          <w:szCs w:val="22"/>
        </w:rPr>
        <w:t>S</w:t>
      </w:r>
      <w:r w:rsidR="00E331AF" w:rsidRPr="00E331AF">
        <w:rPr>
          <w:rFonts w:asciiTheme="minorHAnsi" w:hAnsiTheme="minorHAnsi" w:cstheme="minorHAnsi"/>
          <w:i w:val="0"/>
          <w:color w:val="auto"/>
          <w:szCs w:val="22"/>
        </w:rPr>
        <w:t xml:space="preserve">tandard </w:t>
      </w:r>
      <w:r w:rsidR="00E331AF">
        <w:rPr>
          <w:rFonts w:asciiTheme="minorHAnsi" w:hAnsiTheme="minorHAnsi" w:cstheme="minorHAnsi"/>
          <w:i w:val="0"/>
          <w:color w:val="auto"/>
          <w:szCs w:val="22"/>
        </w:rPr>
        <w:t>F</w:t>
      </w:r>
      <w:r w:rsidR="00E331AF" w:rsidRPr="00E331AF">
        <w:rPr>
          <w:rFonts w:asciiTheme="minorHAnsi" w:hAnsiTheme="minorHAnsi" w:cstheme="minorHAnsi"/>
          <w:i w:val="0"/>
          <w:color w:val="auto"/>
          <w:szCs w:val="22"/>
        </w:rPr>
        <w:t xml:space="preserve">ixture </w:t>
      </w:r>
      <w:r w:rsidR="00E331AF">
        <w:rPr>
          <w:rFonts w:asciiTheme="minorHAnsi" w:hAnsiTheme="minorHAnsi" w:cstheme="minorHAnsi"/>
          <w:i w:val="0"/>
          <w:color w:val="auto"/>
          <w:szCs w:val="22"/>
        </w:rPr>
        <w:t>W</w:t>
      </w:r>
      <w:r w:rsidR="00E331AF" w:rsidRPr="00E331AF">
        <w:rPr>
          <w:rFonts w:asciiTheme="minorHAnsi" w:hAnsiTheme="minorHAnsi" w:cstheme="minorHAnsi"/>
          <w:i w:val="0"/>
          <w:color w:val="auto"/>
          <w:szCs w:val="22"/>
        </w:rPr>
        <w:t>attages</w:t>
      </w:r>
      <w:r w:rsidR="0002313E">
        <w:rPr>
          <w:rFonts w:asciiTheme="minorHAnsi" w:hAnsiTheme="minorHAnsi" w:cstheme="minorHAnsi"/>
          <w:i w:val="0"/>
          <w:color w:val="auto"/>
          <w:szCs w:val="22"/>
        </w:rPr>
        <w:t>. As shown in Figure 17,</w:t>
      </w:r>
      <w:r w:rsidR="00A8254B">
        <w:rPr>
          <w:rFonts w:asciiTheme="minorHAnsi" w:hAnsiTheme="minorHAnsi" w:cstheme="minorHAnsi"/>
          <w:i w:val="0"/>
          <w:color w:val="auto"/>
          <w:szCs w:val="22"/>
        </w:rPr>
        <w:t xml:space="preserve"> </w:t>
      </w:r>
      <w:r w:rsidR="00E331AF" w:rsidRPr="00E331AF">
        <w:rPr>
          <w:rFonts w:asciiTheme="minorHAnsi" w:hAnsiTheme="minorHAnsi" w:cstheme="minorHAnsi"/>
          <w:i w:val="0"/>
          <w:color w:val="auto"/>
          <w:szCs w:val="22"/>
        </w:rPr>
        <w:t xml:space="preserve">the connected load for a </w:t>
      </w:r>
      <w:r w:rsidR="00E331AF">
        <w:rPr>
          <w:rFonts w:asciiTheme="minorHAnsi" w:hAnsiTheme="minorHAnsi" w:cstheme="minorHAnsi"/>
          <w:i w:val="0"/>
          <w:color w:val="auto"/>
          <w:szCs w:val="22"/>
        </w:rPr>
        <w:t xml:space="preserve">four foot </w:t>
      </w:r>
      <w:r w:rsidR="00E331AF" w:rsidRPr="00E331AF">
        <w:rPr>
          <w:rFonts w:asciiTheme="minorHAnsi" w:hAnsiTheme="minorHAnsi" w:cstheme="minorHAnsi"/>
          <w:i w:val="0"/>
          <w:color w:val="auto"/>
          <w:szCs w:val="22"/>
        </w:rPr>
        <w:t xml:space="preserve">2-lamp </w:t>
      </w:r>
      <w:r w:rsidR="00E331AF">
        <w:rPr>
          <w:rFonts w:asciiTheme="minorHAnsi" w:hAnsiTheme="minorHAnsi" w:cstheme="minorHAnsi"/>
          <w:i w:val="0"/>
          <w:color w:val="auto"/>
          <w:szCs w:val="22"/>
        </w:rPr>
        <w:t>2</w:t>
      </w:r>
      <w:r w:rsidR="00E331AF" w:rsidRPr="00E331AF">
        <w:rPr>
          <w:rFonts w:asciiTheme="minorHAnsi" w:hAnsiTheme="minorHAnsi" w:cstheme="minorHAnsi"/>
          <w:i w:val="0"/>
          <w:color w:val="auto"/>
          <w:szCs w:val="22"/>
          <w:vertAlign w:val="superscript"/>
        </w:rPr>
        <w:t>nd</w:t>
      </w:r>
      <w:r w:rsidR="00E331AF">
        <w:rPr>
          <w:rFonts w:asciiTheme="minorHAnsi" w:hAnsiTheme="minorHAnsi" w:cstheme="minorHAnsi"/>
          <w:i w:val="0"/>
          <w:color w:val="auto"/>
          <w:szCs w:val="22"/>
        </w:rPr>
        <w:t xml:space="preserve"> generation F32</w:t>
      </w:r>
      <w:r w:rsidR="00E331AF" w:rsidRPr="00E331AF">
        <w:rPr>
          <w:rFonts w:asciiTheme="minorHAnsi" w:hAnsiTheme="minorHAnsi" w:cstheme="minorHAnsi"/>
          <w:i w:val="0"/>
          <w:color w:val="auto"/>
          <w:szCs w:val="22"/>
        </w:rPr>
        <w:t xml:space="preserve">T8 NLO fixture </w:t>
      </w:r>
      <w:r w:rsidR="00E331AF">
        <w:rPr>
          <w:rFonts w:asciiTheme="minorHAnsi" w:hAnsiTheme="minorHAnsi" w:cstheme="minorHAnsi"/>
          <w:i w:val="0"/>
          <w:color w:val="auto"/>
          <w:szCs w:val="22"/>
        </w:rPr>
        <w:t>consum</w:t>
      </w:r>
      <w:r w:rsidR="00A8254B">
        <w:rPr>
          <w:rFonts w:asciiTheme="minorHAnsi" w:hAnsiTheme="minorHAnsi" w:cstheme="minorHAnsi"/>
          <w:i w:val="0"/>
          <w:color w:val="auto"/>
          <w:szCs w:val="22"/>
        </w:rPr>
        <w:t>es</w:t>
      </w:r>
      <w:r w:rsidR="00E331AF">
        <w:rPr>
          <w:rFonts w:asciiTheme="minorHAnsi" w:hAnsiTheme="minorHAnsi" w:cstheme="minorHAnsi"/>
          <w:i w:val="0"/>
          <w:color w:val="auto"/>
          <w:szCs w:val="22"/>
        </w:rPr>
        <w:t xml:space="preserve"> 0.059 kW</w:t>
      </w:r>
      <w:r>
        <w:rPr>
          <w:rFonts w:asciiTheme="minorHAnsi" w:hAnsiTheme="minorHAnsi" w:cstheme="minorHAnsi"/>
          <w:i w:val="0"/>
          <w:color w:val="auto"/>
          <w:szCs w:val="22"/>
        </w:rPr>
        <w:t xml:space="preserve">. </w:t>
      </w:r>
      <w:r w:rsidR="00A8254B">
        <w:rPr>
          <w:rFonts w:asciiTheme="minorHAnsi" w:hAnsiTheme="minorHAnsi" w:cstheme="minorHAnsi"/>
          <w:i w:val="0"/>
          <w:color w:val="auto"/>
          <w:szCs w:val="22"/>
        </w:rPr>
        <w:t xml:space="preserve">Because of code, base case fixtures are assumed to be controlled with bi-level </w:t>
      </w:r>
      <w:r w:rsidR="0002313E">
        <w:rPr>
          <w:rFonts w:asciiTheme="minorHAnsi" w:hAnsiTheme="minorHAnsi" w:cstheme="minorHAnsi"/>
          <w:i w:val="0"/>
          <w:color w:val="auto"/>
          <w:szCs w:val="22"/>
        </w:rPr>
        <w:t xml:space="preserve">occupancy sensing </w:t>
      </w:r>
      <w:r w:rsidR="00A8254B">
        <w:rPr>
          <w:rFonts w:asciiTheme="minorHAnsi" w:hAnsiTheme="minorHAnsi" w:cstheme="minorHAnsi"/>
          <w:i w:val="0"/>
          <w:color w:val="auto"/>
          <w:szCs w:val="22"/>
        </w:rPr>
        <w:t>controls for non-</w:t>
      </w:r>
      <w:r w:rsidR="00540EA9">
        <w:rPr>
          <w:rFonts w:asciiTheme="minorHAnsi" w:hAnsiTheme="minorHAnsi" w:cstheme="minorHAnsi"/>
          <w:i w:val="0"/>
          <w:color w:val="auto"/>
          <w:szCs w:val="22"/>
        </w:rPr>
        <w:t>day</w:t>
      </w:r>
      <w:r w:rsidR="00051A38">
        <w:rPr>
          <w:rFonts w:asciiTheme="minorHAnsi" w:hAnsiTheme="minorHAnsi" w:cstheme="minorHAnsi"/>
          <w:i w:val="0"/>
          <w:color w:val="auto"/>
          <w:szCs w:val="22"/>
        </w:rPr>
        <w:t xml:space="preserve"> </w:t>
      </w:r>
      <w:r w:rsidR="00540EA9">
        <w:rPr>
          <w:rFonts w:asciiTheme="minorHAnsi" w:hAnsiTheme="minorHAnsi" w:cstheme="minorHAnsi"/>
          <w:i w:val="0"/>
          <w:color w:val="auto"/>
          <w:szCs w:val="22"/>
        </w:rPr>
        <w:t>lit</w:t>
      </w:r>
      <w:r w:rsidR="00A8254B">
        <w:rPr>
          <w:rFonts w:asciiTheme="minorHAnsi" w:hAnsiTheme="minorHAnsi" w:cstheme="minorHAnsi"/>
          <w:i w:val="0"/>
          <w:color w:val="auto"/>
          <w:szCs w:val="22"/>
        </w:rPr>
        <w:t xml:space="preserve"> zones and </w:t>
      </w:r>
      <w:r w:rsidR="0002313E">
        <w:rPr>
          <w:rFonts w:asciiTheme="minorHAnsi" w:hAnsiTheme="minorHAnsi" w:cstheme="minorHAnsi"/>
          <w:i w:val="0"/>
          <w:color w:val="auto"/>
          <w:szCs w:val="22"/>
        </w:rPr>
        <w:t xml:space="preserve">bi-level </w:t>
      </w:r>
      <w:r w:rsidR="00BB6FD9">
        <w:rPr>
          <w:rFonts w:asciiTheme="minorHAnsi" w:hAnsiTheme="minorHAnsi" w:cstheme="minorHAnsi"/>
          <w:i w:val="0"/>
          <w:color w:val="auto"/>
          <w:szCs w:val="22"/>
        </w:rPr>
        <w:t xml:space="preserve">occupancy sensing and photocell controls for </w:t>
      </w:r>
      <w:r w:rsidR="00540EA9">
        <w:rPr>
          <w:rFonts w:asciiTheme="minorHAnsi" w:hAnsiTheme="minorHAnsi" w:cstheme="minorHAnsi"/>
          <w:i w:val="0"/>
          <w:color w:val="auto"/>
          <w:szCs w:val="22"/>
        </w:rPr>
        <w:t>day</w:t>
      </w:r>
      <w:r w:rsidR="00051A38">
        <w:rPr>
          <w:rFonts w:asciiTheme="minorHAnsi" w:hAnsiTheme="minorHAnsi" w:cstheme="minorHAnsi"/>
          <w:i w:val="0"/>
          <w:color w:val="auto"/>
          <w:szCs w:val="22"/>
        </w:rPr>
        <w:t xml:space="preserve"> </w:t>
      </w:r>
      <w:r w:rsidR="00540EA9">
        <w:rPr>
          <w:rFonts w:asciiTheme="minorHAnsi" w:hAnsiTheme="minorHAnsi" w:cstheme="minorHAnsi"/>
          <w:i w:val="0"/>
          <w:color w:val="auto"/>
          <w:szCs w:val="22"/>
        </w:rPr>
        <w:t>lit</w:t>
      </w:r>
      <w:r w:rsidR="00BB6FD9">
        <w:rPr>
          <w:rFonts w:asciiTheme="minorHAnsi" w:hAnsiTheme="minorHAnsi" w:cstheme="minorHAnsi"/>
          <w:i w:val="0"/>
          <w:color w:val="auto"/>
          <w:szCs w:val="22"/>
        </w:rPr>
        <w:t xml:space="preserve"> zones. As described in Section 1.5 of this workaper, bi-level occupancy sensing controls would put existing fixtures in low power mode when the parking garage is unoccupied.</w:t>
      </w:r>
    </w:p>
    <w:p w:rsidR="00E331AF" w:rsidRDefault="00E331AF" w:rsidP="00AE49A7">
      <w:pPr>
        <w:rPr>
          <w:b/>
        </w:rPr>
      </w:pPr>
      <w:r>
        <w:rPr>
          <w:b/>
          <w:noProof/>
        </w:rPr>
        <w:drawing>
          <wp:inline distT="0" distB="0" distL="0" distR="0">
            <wp:extent cx="5943600" cy="588526"/>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588526"/>
                    </a:xfrm>
                    <a:prstGeom prst="rect">
                      <a:avLst/>
                    </a:prstGeom>
                    <a:noFill/>
                    <a:ln>
                      <a:noFill/>
                    </a:ln>
                  </pic:spPr>
                </pic:pic>
              </a:graphicData>
            </a:graphic>
          </wp:inline>
        </w:drawing>
      </w:r>
    </w:p>
    <w:p w:rsidR="00A8254B" w:rsidRDefault="0002313E" w:rsidP="00A8254B">
      <w:pPr>
        <w:jc w:val="center"/>
        <w:rPr>
          <w:rFonts w:cstheme="minorHAnsi"/>
          <w:szCs w:val="22"/>
        </w:rPr>
      </w:pPr>
      <w:r>
        <w:rPr>
          <w:b/>
        </w:rPr>
        <w:t>Figure 17</w:t>
      </w:r>
      <w:r w:rsidR="00A8254B">
        <w:rPr>
          <w:b/>
        </w:rPr>
        <w:t xml:space="preserve">. </w:t>
      </w:r>
      <w:r w:rsidR="00A8254B" w:rsidRPr="00E331AF">
        <w:rPr>
          <w:rFonts w:cstheme="minorHAnsi"/>
          <w:szCs w:val="22"/>
        </w:rPr>
        <w:t xml:space="preserve">IOU Table of </w:t>
      </w:r>
      <w:r w:rsidR="00A8254B">
        <w:rPr>
          <w:rFonts w:cstheme="minorHAnsi"/>
          <w:i/>
          <w:szCs w:val="22"/>
        </w:rPr>
        <w:t>S</w:t>
      </w:r>
      <w:r w:rsidR="00A8254B" w:rsidRPr="00E331AF">
        <w:rPr>
          <w:rFonts w:cstheme="minorHAnsi"/>
          <w:szCs w:val="22"/>
        </w:rPr>
        <w:t xml:space="preserve">tandard </w:t>
      </w:r>
      <w:r w:rsidR="00A8254B" w:rsidRPr="00A8254B">
        <w:rPr>
          <w:rFonts w:cstheme="minorHAnsi"/>
          <w:szCs w:val="22"/>
        </w:rPr>
        <w:t>Fixture</w:t>
      </w:r>
      <w:r w:rsidR="00A8254B" w:rsidRPr="00E331AF">
        <w:rPr>
          <w:rFonts w:cstheme="minorHAnsi"/>
          <w:szCs w:val="22"/>
        </w:rPr>
        <w:t xml:space="preserve"> </w:t>
      </w:r>
      <w:r w:rsidR="00A8254B" w:rsidRPr="00A8254B">
        <w:rPr>
          <w:rFonts w:cstheme="minorHAnsi"/>
          <w:szCs w:val="22"/>
        </w:rPr>
        <w:t>W</w:t>
      </w:r>
      <w:r w:rsidR="00A8254B" w:rsidRPr="00E331AF">
        <w:rPr>
          <w:rFonts w:cstheme="minorHAnsi"/>
          <w:szCs w:val="22"/>
        </w:rPr>
        <w:t>attages</w:t>
      </w:r>
    </w:p>
    <w:p w:rsidR="00A8254B" w:rsidRDefault="00A8254B" w:rsidP="00A8254B">
      <w:pPr>
        <w:rPr>
          <w:rFonts w:cstheme="minorHAnsi"/>
          <w:szCs w:val="22"/>
        </w:rPr>
      </w:pPr>
    </w:p>
    <w:p w:rsidR="00BB6FD9" w:rsidRDefault="00A8254B" w:rsidP="00A8254B">
      <w:pPr>
        <w:rPr>
          <w:rFonts w:cstheme="minorHAnsi"/>
          <w:szCs w:val="22"/>
        </w:rPr>
      </w:pPr>
      <w:r w:rsidRPr="00A8254B">
        <w:rPr>
          <w:rFonts w:cstheme="minorHAnsi"/>
          <w:szCs w:val="22"/>
        </w:rPr>
        <w:lastRenderedPageBreak/>
        <w:t xml:space="preserve">Based on </w:t>
      </w:r>
      <w:r w:rsidR="00BB6FD9">
        <w:rPr>
          <w:rFonts w:cstheme="minorHAnsi"/>
          <w:szCs w:val="22"/>
        </w:rPr>
        <w:t>2012 ETAP Report</w:t>
      </w:r>
      <w:r w:rsidRPr="00A8254B">
        <w:rPr>
          <w:rFonts w:cstheme="minorHAnsi"/>
          <w:szCs w:val="22"/>
        </w:rPr>
        <w:t xml:space="preserve">, this workpaper </w:t>
      </w:r>
      <w:r>
        <w:rPr>
          <w:rFonts w:cstheme="minorHAnsi"/>
          <w:szCs w:val="22"/>
        </w:rPr>
        <w:t>estimates</w:t>
      </w:r>
      <w:r w:rsidRPr="00A8254B">
        <w:rPr>
          <w:rFonts w:cstheme="minorHAnsi"/>
          <w:szCs w:val="22"/>
        </w:rPr>
        <w:t xml:space="preserve"> that existing fixtures </w:t>
      </w:r>
      <w:r w:rsidR="003A635C">
        <w:rPr>
          <w:rFonts w:cstheme="minorHAnsi"/>
          <w:szCs w:val="22"/>
        </w:rPr>
        <w:t xml:space="preserve">located </w:t>
      </w:r>
      <w:r w:rsidR="00BB6FD9">
        <w:rPr>
          <w:rFonts w:cstheme="minorHAnsi"/>
          <w:szCs w:val="22"/>
        </w:rPr>
        <w:t>in non-</w:t>
      </w:r>
      <w:r w:rsidR="00540EA9">
        <w:rPr>
          <w:rFonts w:cstheme="minorHAnsi"/>
          <w:szCs w:val="22"/>
        </w:rPr>
        <w:t>day</w:t>
      </w:r>
      <w:r w:rsidR="00051A38">
        <w:rPr>
          <w:rFonts w:cstheme="minorHAnsi"/>
          <w:szCs w:val="22"/>
        </w:rPr>
        <w:t xml:space="preserve"> </w:t>
      </w:r>
      <w:r w:rsidR="00540EA9">
        <w:rPr>
          <w:rFonts w:cstheme="minorHAnsi"/>
          <w:szCs w:val="22"/>
        </w:rPr>
        <w:t>lit</w:t>
      </w:r>
      <w:r w:rsidR="00BB6FD9">
        <w:rPr>
          <w:rFonts w:cstheme="minorHAnsi"/>
          <w:szCs w:val="22"/>
        </w:rPr>
        <w:t xml:space="preserve"> zones are </w:t>
      </w:r>
      <w:r w:rsidRPr="00A8254B">
        <w:rPr>
          <w:rFonts w:cstheme="minorHAnsi"/>
          <w:szCs w:val="22"/>
        </w:rPr>
        <w:t xml:space="preserve">in low power mode </w:t>
      </w:r>
      <w:r w:rsidR="00BB6FD9">
        <w:rPr>
          <w:rFonts w:cstheme="minorHAnsi"/>
          <w:szCs w:val="22"/>
        </w:rPr>
        <w:t>62% of the time. Low power mode is estimated to be</w:t>
      </w:r>
      <w:r w:rsidRPr="00A8254B">
        <w:rPr>
          <w:rFonts w:cstheme="minorHAnsi"/>
          <w:szCs w:val="22"/>
        </w:rPr>
        <w:t xml:space="preserve"> 50% of full power.</w:t>
      </w:r>
      <w:r w:rsidR="00BB6FD9">
        <w:rPr>
          <w:rFonts w:cstheme="minorHAnsi"/>
          <w:szCs w:val="22"/>
        </w:rPr>
        <w:t xml:space="preserve"> The fixture is in high power mode for 38% at full power. Equation 1 exhibits the calculation for estimating annual baseline energy consumption</w:t>
      </w:r>
      <w:r w:rsidR="00540EA9">
        <w:rPr>
          <w:rFonts w:cstheme="minorHAnsi"/>
          <w:szCs w:val="22"/>
        </w:rPr>
        <w:t xml:space="preserve"> for a fixture located in a non-day lit</w:t>
      </w:r>
      <w:r w:rsidR="00BB6FD9">
        <w:rPr>
          <w:rFonts w:cstheme="minorHAnsi"/>
          <w:szCs w:val="22"/>
        </w:rPr>
        <w:t xml:space="preserve"> zone. </w:t>
      </w:r>
    </w:p>
    <w:p w:rsidR="00BB6FD9" w:rsidRDefault="00BB6FD9" w:rsidP="00A8254B">
      <w:pPr>
        <w:rPr>
          <w:rFonts w:cstheme="minorHAnsi"/>
          <w:szCs w:val="22"/>
        </w:rPr>
      </w:pPr>
    </w:p>
    <w:p w:rsidR="00BB6FD9" w:rsidRDefault="00BB6FD9" w:rsidP="00BB6FD9">
      <w:pPr>
        <w:jc w:val="center"/>
        <w:rPr>
          <w:rFonts w:cs="Arial"/>
          <w:szCs w:val="22"/>
        </w:rPr>
      </w:pPr>
      <w:r>
        <w:rPr>
          <w:rFonts w:cs="Arial"/>
          <w:szCs w:val="22"/>
        </w:rPr>
        <w:t xml:space="preserve"> </w:t>
      </w:r>
      <w:r w:rsidR="003A635C">
        <w:rPr>
          <w:rFonts w:cs="Arial"/>
          <w:szCs w:val="22"/>
        </w:rPr>
        <w:t>[(0.059 k</w:t>
      </w:r>
      <w:r>
        <w:rPr>
          <w:rFonts w:cs="Arial"/>
          <w:szCs w:val="22"/>
        </w:rPr>
        <w:t>W*0.5*8760*0.62</w:t>
      </w:r>
      <w:r w:rsidR="00540EA9">
        <w:rPr>
          <w:rFonts w:cs="Arial"/>
          <w:szCs w:val="22"/>
        </w:rPr>
        <w:t>) + (</w:t>
      </w:r>
      <w:r w:rsidR="003A635C">
        <w:rPr>
          <w:rFonts w:cs="Arial"/>
          <w:szCs w:val="22"/>
        </w:rPr>
        <w:t>0.0</w:t>
      </w:r>
      <w:r>
        <w:rPr>
          <w:rFonts w:cs="Arial"/>
          <w:szCs w:val="22"/>
        </w:rPr>
        <w:t>59</w:t>
      </w:r>
      <w:r w:rsidR="003A635C">
        <w:rPr>
          <w:rFonts w:cs="Arial"/>
          <w:szCs w:val="22"/>
        </w:rPr>
        <w:t xml:space="preserve"> k</w:t>
      </w:r>
      <w:r>
        <w:rPr>
          <w:rFonts w:cs="Arial"/>
          <w:szCs w:val="22"/>
        </w:rPr>
        <w:t>W*1.0*8760*0.38)] = 357 kWh</w:t>
      </w:r>
    </w:p>
    <w:p w:rsidR="00BB6FD9" w:rsidRDefault="00BB6FD9" w:rsidP="00BB6FD9">
      <w:pPr>
        <w:jc w:val="center"/>
        <w:rPr>
          <w:rFonts w:cs="Arial"/>
          <w:szCs w:val="22"/>
        </w:rPr>
      </w:pPr>
      <w:r w:rsidRPr="00BB6FD9">
        <w:rPr>
          <w:rFonts w:cs="Arial"/>
          <w:b/>
          <w:szCs w:val="22"/>
        </w:rPr>
        <w:t>Equation 1.</w:t>
      </w:r>
      <w:r>
        <w:rPr>
          <w:rFonts w:cs="Arial"/>
          <w:szCs w:val="22"/>
        </w:rPr>
        <w:t xml:space="preserve"> Baseline kWh for </w:t>
      </w:r>
      <w:r w:rsidRPr="00BB6FD9">
        <w:rPr>
          <w:rFonts w:cs="Arial"/>
          <w:szCs w:val="22"/>
        </w:rPr>
        <w:t>a four foot 2-lamp 2nd generation F32T8 NLO fixture</w:t>
      </w:r>
      <w:r w:rsidR="003A635C">
        <w:rPr>
          <w:rFonts w:cs="Arial"/>
          <w:szCs w:val="22"/>
        </w:rPr>
        <w:t xml:space="preserve"> in non-</w:t>
      </w:r>
      <w:r w:rsidR="00540EA9">
        <w:rPr>
          <w:rFonts w:cs="Arial"/>
          <w:szCs w:val="22"/>
        </w:rPr>
        <w:t>day</w:t>
      </w:r>
      <w:r w:rsidR="00051A38">
        <w:rPr>
          <w:rFonts w:cs="Arial"/>
          <w:szCs w:val="22"/>
        </w:rPr>
        <w:t xml:space="preserve"> </w:t>
      </w:r>
      <w:r w:rsidR="00540EA9">
        <w:rPr>
          <w:rFonts w:cs="Arial"/>
          <w:szCs w:val="22"/>
        </w:rPr>
        <w:t>lit</w:t>
      </w:r>
      <w:r w:rsidR="003A635C">
        <w:rPr>
          <w:rFonts w:cs="Arial"/>
          <w:szCs w:val="22"/>
        </w:rPr>
        <w:t xml:space="preserve"> zones</w:t>
      </w:r>
    </w:p>
    <w:p w:rsidR="00BB6FD9" w:rsidRDefault="00BB6FD9" w:rsidP="00BB6FD9">
      <w:pPr>
        <w:rPr>
          <w:rFonts w:cstheme="minorHAnsi"/>
          <w:szCs w:val="22"/>
        </w:rPr>
      </w:pPr>
    </w:p>
    <w:p w:rsidR="00BB6FD9" w:rsidRDefault="00BB6FD9" w:rsidP="00BB6FD9">
      <w:pPr>
        <w:rPr>
          <w:rFonts w:cstheme="minorHAnsi"/>
          <w:szCs w:val="22"/>
        </w:rPr>
      </w:pPr>
      <w:r>
        <w:rPr>
          <w:rFonts w:cstheme="minorHAnsi"/>
          <w:szCs w:val="22"/>
        </w:rPr>
        <w:t xml:space="preserve">As indicated in the 2012 ETAP Report, </w:t>
      </w:r>
      <w:r w:rsidRPr="00A8254B">
        <w:rPr>
          <w:rFonts w:cstheme="minorHAnsi"/>
          <w:szCs w:val="22"/>
        </w:rPr>
        <w:t xml:space="preserve">this workpaper </w:t>
      </w:r>
      <w:r>
        <w:rPr>
          <w:rFonts w:cstheme="minorHAnsi"/>
          <w:szCs w:val="22"/>
        </w:rPr>
        <w:t>estimates</w:t>
      </w:r>
      <w:r w:rsidRPr="00A8254B">
        <w:rPr>
          <w:rFonts w:cstheme="minorHAnsi"/>
          <w:szCs w:val="22"/>
        </w:rPr>
        <w:t xml:space="preserve"> that existing fixtures </w:t>
      </w:r>
      <w:r w:rsidR="003A635C">
        <w:rPr>
          <w:rFonts w:cstheme="minorHAnsi"/>
          <w:szCs w:val="22"/>
        </w:rPr>
        <w:t xml:space="preserve">located </w:t>
      </w:r>
      <w:r>
        <w:rPr>
          <w:rFonts w:cstheme="minorHAnsi"/>
          <w:szCs w:val="22"/>
        </w:rPr>
        <w:t xml:space="preserve">in </w:t>
      </w:r>
      <w:r w:rsidR="00540EA9">
        <w:rPr>
          <w:rFonts w:cstheme="minorHAnsi"/>
          <w:szCs w:val="22"/>
        </w:rPr>
        <w:t>day</w:t>
      </w:r>
      <w:r w:rsidR="00051A38">
        <w:rPr>
          <w:rFonts w:cstheme="minorHAnsi"/>
          <w:szCs w:val="22"/>
        </w:rPr>
        <w:t xml:space="preserve"> </w:t>
      </w:r>
      <w:r w:rsidR="00540EA9">
        <w:rPr>
          <w:rFonts w:cstheme="minorHAnsi"/>
          <w:szCs w:val="22"/>
        </w:rPr>
        <w:t>lit</w:t>
      </w:r>
      <w:r>
        <w:rPr>
          <w:rFonts w:cstheme="minorHAnsi"/>
          <w:szCs w:val="22"/>
        </w:rPr>
        <w:t xml:space="preserve"> zones are </w:t>
      </w:r>
      <w:r w:rsidRPr="00A8254B">
        <w:rPr>
          <w:rFonts w:cstheme="minorHAnsi"/>
          <w:szCs w:val="22"/>
        </w:rPr>
        <w:t xml:space="preserve">in low power mode </w:t>
      </w:r>
      <w:r>
        <w:rPr>
          <w:rFonts w:cstheme="minorHAnsi"/>
          <w:szCs w:val="22"/>
        </w:rPr>
        <w:t>74% of the time. Low power mode is estimated to be</w:t>
      </w:r>
      <w:r w:rsidRPr="00A8254B">
        <w:rPr>
          <w:rFonts w:cstheme="minorHAnsi"/>
          <w:szCs w:val="22"/>
        </w:rPr>
        <w:t xml:space="preserve"> 50% of full power.</w:t>
      </w:r>
      <w:r>
        <w:rPr>
          <w:rFonts w:cstheme="minorHAnsi"/>
          <w:szCs w:val="22"/>
        </w:rPr>
        <w:t xml:space="preserve"> The fixture is in high power mode for 26% at full power. Equation 2 exhibits the calculation for estimating annual baseline energy consumption for a fixture located in a </w:t>
      </w:r>
      <w:r w:rsidR="00540EA9">
        <w:rPr>
          <w:rFonts w:cstheme="minorHAnsi"/>
          <w:szCs w:val="22"/>
        </w:rPr>
        <w:t>day</w:t>
      </w:r>
      <w:r w:rsidR="00051A38">
        <w:rPr>
          <w:rFonts w:cstheme="minorHAnsi"/>
          <w:szCs w:val="22"/>
        </w:rPr>
        <w:t xml:space="preserve"> </w:t>
      </w:r>
      <w:r w:rsidR="00540EA9">
        <w:rPr>
          <w:rFonts w:cstheme="minorHAnsi"/>
          <w:szCs w:val="22"/>
        </w:rPr>
        <w:t>lit</w:t>
      </w:r>
      <w:r>
        <w:rPr>
          <w:rFonts w:cstheme="minorHAnsi"/>
          <w:szCs w:val="22"/>
        </w:rPr>
        <w:t xml:space="preserve"> zone.</w:t>
      </w:r>
    </w:p>
    <w:p w:rsidR="00BB6FD9" w:rsidRDefault="00BB6FD9" w:rsidP="00BB6FD9">
      <w:pPr>
        <w:jc w:val="center"/>
      </w:pPr>
    </w:p>
    <w:p w:rsidR="00BB6FD9" w:rsidRDefault="00BB6FD9" w:rsidP="00BB6FD9">
      <w:pPr>
        <w:jc w:val="center"/>
        <w:rPr>
          <w:rFonts w:cs="Arial"/>
          <w:szCs w:val="22"/>
        </w:rPr>
      </w:pPr>
      <w:r>
        <w:rPr>
          <w:rFonts w:cs="Arial"/>
          <w:szCs w:val="22"/>
        </w:rPr>
        <w:t>[(</w:t>
      </w:r>
      <w:r w:rsidR="003A635C">
        <w:rPr>
          <w:rFonts w:cs="Arial"/>
          <w:szCs w:val="22"/>
        </w:rPr>
        <w:t>0.0</w:t>
      </w:r>
      <w:r>
        <w:rPr>
          <w:rFonts w:cs="Arial"/>
          <w:szCs w:val="22"/>
        </w:rPr>
        <w:t>59</w:t>
      </w:r>
      <w:r w:rsidR="003A635C">
        <w:rPr>
          <w:rFonts w:cs="Arial"/>
          <w:szCs w:val="22"/>
        </w:rPr>
        <w:t xml:space="preserve"> k</w:t>
      </w:r>
      <w:r>
        <w:rPr>
          <w:rFonts w:cs="Arial"/>
          <w:szCs w:val="22"/>
        </w:rPr>
        <w:t>W*0.5*4380*0.74</w:t>
      </w:r>
      <w:r w:rsidR="00540EA9">
        <w:rPr>
          <w:rFonts w:cs="Arial"/>
          <w:szCs w:val="22"/>
        </w:rPr>
        <w:t>) + (</w:t>
      </w:r>
      <w:r w:rsidR="003A635C">
        <w:rPr>
          <w:rFonts w:cs="Arial"/>
          <w:szCs w:val="22"/>
        </w:rPr>
        <w:t>0.0</w:t>
      </w:r>
      <w:r>
        <w:rPr>
          <w:rFonts w:cs="Arial"/>
          <w:szCs w:val="22"/>
        </w:rPr>
        <w:t>59</w:t>
      </w:r>
      <w:r w:rsidR="003A635C">
        <w:rPr>
          <w:rFonts w:cs="Arial"/>
          <w:szCs w:val="22"/>
        </w:rPr>
        <w:t xml:space="preserve"> k</w:t>
      </w:r>
      <w:r>
        <w:rPr>
          <w:rFonts w:cs="Arial"/>
          <w:szCs w:val="22"/>
        </w:rPr>
        <w:t xml:space="preserve">W*1.0*4380*0.26)] = </w:t>
      </w:r>
      <w:r w:rsidR="003A635C">
        <w:rPr>
          <w:rFonts w:cs="Arial"/>
          <w:szCs w:val="22"/>
        </w:rPr>
        <w:t>160</w:t>
      </w:r>
      <w:r>
        <w:rPr>
          <w:rFonts w:cs="Arial"/>
          <w:szCs w:val="22"/>
        </w:rPr>
        <w:t xml:space="preserve"> kWh</w:t>
      </w:r>
    </w:p>
    <w:p w:rsidR="00BB6FD9" w:rsidRDefault="00BB6FD9" w:rsidP="00BB6FD9">
      <w:pPr>
        <w:jc w:val="center"/>
        <w:rPr>
          <w:rFonts w:cs="Arial"/>
          <w:szCs w:val="22"/>
        </w:rPr>
      </w:pPr>
      <w:r w:rsidRPr="00BB6FD9">
        <w:rPr>
          <w:rFonts w:cs="Arial"/>
          <w:b/>
          <w:szCs w:val="22"/>
        </w:rPr>
        <w:t>Eq</w:t>
      </w:r>
      <w:r>
        <w:rPr>
          <w:rFonts w:cs="Arial"/>
          <w:b/>
          <w:szCs w:val="22"/>
        </w:rPr>
        <w:t>uation 2</w:t>
      </w:r>
      <w:r w:rsidRPr="00BB6FD9">
        <w:rPr>
          <w:rFonts w:cs="Arial"/>
          <w:b/>
          <w:szCs w:val="22"/>
        </w:rPr>
        <w:t>.</w:t>
      </w:r>
      <w:r>
        <w:rPr>
          <w:rFonts w:cs="Arial"/>
          <w:szCs w:val="22"/>
        </w:rPr>
        <w:t xml:space="preserve"> Baseline kWh for </w:t>
      </w:r>
      <w:r w:rsidRPr="00BB6FD9">
        <w:rPr>
          <w:rFonts w:cs="Arial"/>
          <w:szCs w:val="22"/>
        </w:rPr>
        <w:t>a four foot 2-lamp 2nd generation F32T8 NLO fixture</w:t>
      </w:r>
      <w:r w:rsidR="003A635C">
        <w:rPr>
          <w:rFonts w:cs="Arial"/>
          <w:szCs w:val="22"/>
        </w:rPr>
        <w:t xml:space="preserve"> in </w:t>
      </w:r>
      <w:r w:rsidR="00540EA9">
        <w:rPr>
          <w:rFonts w:cs="Arial"/>
          <w:szCs w:val="22"/>
        </w:rPr>
        <w:t>day</w:t>
      </w:r>
      <w:r w:rsidR="00051A38">
        <w:rPr>
          <w:rFonts w:cs="Arial"/>
          <w:szCs w:val="22"/>
        </w:rPr>
        <w:t xml:space="preserve"> </w:t>
      </w:r>
      <w:r w:rsidR="00540EA9">
        <w:rPr>
          <w:rFonts w:cs="Arial"/>
          <w:szCs w:val="22"/>
        </w:rPr>
        <w:t>lit</w:t>
      </w:r>
      <w:r w:rsidR="003A635C">
        <w:rPr>
          <w:rFonts w:cs="Arial"/>
          <w:szCs w:val="22"/>
        </w:rPr>
        <w:t xml:space="preserve"> zones</w:t>
      </w:r>
    </w:p>
    <w:p w:rsidR="00AE49A7" w:rsidRDefault="00AE49A7" w:rsidP="00AE49A7">
      <w:pPr>
        <w:pStyle w:val="Heading2"/>
      </w:pPr>
      <w:r>
        <w:t>Measure Case</w:t>
      </w:r>
    </w:p>
    <w:p w:rsidR="00795049" w:rsidRDefault="00493AFB" w:rsidP="00920905">
      <w:pPr>
        <w:pStyle w:val="Reminders"/>
        <w:rPr>
          <w:rFonts w:asciiTheme="minorHAnsi" w:hAnsiTheme="minorHAnsi" w:cstheme="minorHAnsi"/>
          <w:i w:val="0"/>
          <w:color w:val="auto"/>
          <w:szCs w:val="22"/>
        </w:rPr>
      </w:pPr>
      <w:r>
        <w:rPr>
          <w:rFonts w:asciiTheme="minorHAnsi" w:hAnsiTheme="minorHAnsi" w:cstheme="minorHAnsi"/>
          <w:i w:val="0"/>
          <w:color w:val="auto"/>
          <w:szCs w:val="22"/>
        </w:rPr>
        <w:t>T</w:t>
      </w:r>
      <w:r w:rsidR="00795049" w:rsidRPr="00795049">
        <w:rPr>
          <w:rFonts w:asciiTheme="minorHAnsi" w:hAnsiTheme="minorHAnsi" w:cstheme="minorHAnsi"/>
          <w:i w:val="0"/>
          <w:color w:val="auto"/>
          <w:szCs w:val="22"/>
        </w:rPr>
        <w:t>he Northeast Energ</w:t>
      </w:r>
      <w:r>
        <w:rPr>
          <w:rFonts w:asciiTheme="minorHAnsi" w:hAnsiTheme="minorHAnsi" w:cstheme="minorHAnsi"/>
          <w:i w:val="0"/>
          <w:color w:val="auto"/>
          <w:szCs w:val="22"/>
        </w:rPr>
        <w:t>y Efficiency Partnership (NEEP) is</w:t>
      </w:r>
      <w:r w:rsidR="00795049" w:rsidRPr="00795049">
        <w:rPr>
          <w:rFonts w:asciiTheme="minorHAnsi" w:hAnsiTheme="minorHAnsi" w:cstheme="minorHAnsi"/>
          <w:i w:val="0"/>
          <w:color w:val="auto"/>
          <w:szCs w:val="22"/>
        </w:rPr>
        <w:t xml:space="preserve"> a multi-state consortium of agencies and utilities</w:t>
      </w:r>
      <w:r>
        <w:rPr>
          <w:rFonts w:asciiTheme="minorHAnsi" w:hAnsiTheme="minorHAnsi" w:cstheme="minorHAnsi"/>
          <w:i w:val="0"/>
          <w:color w:val="auto"/>
          <w:szCs w:val="22"/>
        </w:rPr>
        <w:t xml:space="preserve"> that</w:t>
      </w:r>
      <w:r w:rsidR="00795049" w:rsidRPr="00795049">
        <w:rPr>
          <w:rFonts w:asciiTheme="minorHAnsi" w:hAnsiTheme="minorHAnsi" w:cstheme="minorHAnsi"/>
          <w:i w:val="0"/>
          <w:color w:val="auto"/>
          <w:szCs w:val="22"/>
        </w:rPr>
        <w:t xml:space="preserve"> turned to its</w:t>
      </w:r>
      <w:r>
        <w:rPr>
          <w:rFonts w:asciiTheme="minorHAnsi" w:hAnsiTheme="minorHAnsi" w:cstheme="minorHAnsi"/>
          <w:i w:val="0"/>
          <w:color w:val="auto"/>
          <w:szCs w:val="22"/>
        </w:rPr>
        <w:t xml:space="preserve"> Design Lights Consortium (DLC)</w:t>
      </w:r>
      <w:r w:rsidR="00795049" w:rsidRPr="00795049">
        <w:rPr>
          <w:rFonts w:asciiTheme="minorHAnsi" w:hAnsiTheme="minorHAnsi" w:cstheme="minorHAnsi"/>
          <w:i w:val="0"/>
          <w:color w:val="auto"/>
          <w:szCs w:val="22"/>
        </w:rPr>
        <w:t>. DLC create</w:t>
      </w:r>
      <w:r>
        <w:rPr>
          <w:rFonts w:asciiTheme="minorHAnsi" w:hAnsiTheme="minorHAnsi" w:cstheme="minorHAnsi"/>
          <w:i w:val="0"/>
          <w:color w:val="auto"/>
          <w:szCs w:val="22"/>
        </w:rPr>
        <w:t>d</w:t>
      </w:r>
      <w:r w:rsidR="00795049" w:rsidRPr="00795049">
        <w:rPr>
          <w:rFonts w:asciiTheme="minorHAnsi" w:hAnsiTheme="minorHAnsi" w:cstheme="minorHAnsi"/>
          <w:i w:val="0"/>
          <w:color w:val="auto"/>
          <w:szCs w:val="22"/>
        </w:rPr>
        <w:t xml:space="preserve"> a Qualified Products List (QPL), </w:t>
      </w:r>
      <w:r>
        <w:rPr>
          <w:rFonts w:asciiTheme="minorHAnsi" w:hAnsiTheme="minorHAnsi" w:cstheme="minorHAnsi"/>
          <w:i w:val="0"/>
          <w:color w:val="auto"/>
          <w:szCs w:val="22"/>
        </w:rPr>
        <w:t xml:space="preserve">which is </w:t>
      </w:r>
      <w:r w:rsidR="00795049" w:rsidRPr="00795049">
        <w:rPr>
          <w:rFonts w:asciiTheme="minorHAnsi" w:hAnsiTheme="minorHAnsi" w:cstheme="minorHAnsi"/>
          <w:i w:val="0"/>
          <w:color w:val="auto"/>
          <w:szCs w:val="22"/>
        </w:rPr>
        <w:t xml:space="preserve">an up-to-date non-commercial listing service that confirms LED lighting products have </w:t>
      </w:r>
      <w:r>
        <w:rPr>
          <w:rFonts w:asciiTheme="minorHAnsi" w:hAnsiTheme="minorHAnsi" w:cstheme="minorHAnsi"/>
          <w:i w:val="0"/>
          <w:color w:val="auto"/>
          <w:szCs w:val="22"/>
        </w:rPr>
        <w:t xml:space="preserve">performance data </w:t>
      </w:r>
      <w:r w:rsidR="00795049" w:rsidRPr="00795049">
        <w:rPr>
          <w:rFonts w:asciiTheme="minorHAnsi" w:hAnsiTheme="minorHAnsi" w:cstheme="minorHAnsi"/>
          <w:i w:val="0"/>
          <w:color w:val="auto"/>
          <w:szCs w:val="22"/>
        </w:rPr>
        <w:t>tested by accredited laboratories</w:t>
      </w:r>
      <w:r w:rsidR="00A8254B">
        <w:rPr>
          <w:rFonts w:asciiTheme="minorHAnsi" w:hAnsiTheme="minorHAnsi" w:cstheme="minorHAnsi"/>
          <w:i w:val="0"/>
          <w:color w:val="auto"/>
          <w:szCs w:val="22"/>
        </w:rPr>
        <w:t xml:space="preserve">. </w:t>
      </w:r>
      <w:r w:rsidR="00795049" w:rsidRPr="00795049">
        <w:rPr>
          <w:rFonts w:asciiTheme="minorHAnsi" w:hAnsiTheme="minorHAnsi" w:cstheme="minorHAnsi"/>
          <w:i w:val="0"/>
          <w:color w:val="auto"/>
          <w:szCs w:val="22"/>
        </w:rPr>
        <w:t>Qualified products a</w:t>
      </w:r>
      <w:r w:rsidR="00795049">
        <w:rPr>
          <w:rFonts w:asciiTheme="minorHAnsi" w:hAnsiTheme="minorHAnsi" w:cstheme="minorHAnsi"/>
          <w:i w:val="0"/>
          <w:color w:val="auto"/>
          <w:szCs w:val="22"/>
        </w:rPr>
        <w:t xml:space="preserve">re listed on the QPL database. </w:t>
      </w:r>
      <w:r w:rsidR="00795049" w:rsidRPr="00795049">
        <w:rPr>
          <w:rFonts w:asciiTheme="minorHAnsi" w:hAnsiTheme="minorHAnsi" w:cstheme="minorHAnsi"/>
          <w:i w:val="0"/>
          <w:color w:val="auto"/>
          <w:szCs w:val="22"/>
        </w:rPr>
        <w:t>Being listed in the database is generally used throughout the USA as a minimum criterion to qualify for incentive programs.  DLC frequently reports manufacturer misrepresentations and maintains firm control over the us</w:t>
      </w:r>
      <w:r w:rsidR="00795049">
        <w:rPr>
          <w:rFonts w:asciiTheme="minorHAnsi" w:hAnsiTheme="minorHAnsi" w:cstheme="minorHAnsi"/>
          <w:i w:val="0"/>
          <w:color w:val="auto"/>
          <w:szCs w:val="22"/>
        </w:rPr>
        <w:t xml:space="preserve">e of its logo and claims of QPL </w:t>
      </w:r>
      <w:r w:rsidR="00795049" w:rsidRPr="00795049">
        <w:rPr>
          <w:rFonts w:asciiTheme="minorHAnsi" w:hAnsiTheme="minorHAnsi" w:cstheme="minorHAnsi"/>
          <w:i w:val="0"/>
          <w:color w:val="auto"/>
          <w:szCs w:val="22"/>
        </w:rPr>
        <w:t>listing.</w:t>
      </w:r>
    </w:p>
    <w:p w:rsidR="00795049" w:rsidRDefault="00795049" w:rsidP="00795049">
      <w:pPr>
        <w:pStyle w:val="Reminders"/>
        <w:rPr>
          <w:rFonts w:asciiTheme="minorHAnsi" w:hAnsiTheme="minorHAnsi" w:cstheme="minorHAnsi"/>
          <w:i w:val="0"/>
          <w:color w:val="auto"/>
          <w:szCs w:val="22"/>
        </w:rPr>
      </w:pPr>
    </w:p>
    <w:p w:rsidR="00702146" w:rsidRDefault="006009E7" w:rsidP="006009E7">
      <w:pPr>
        <w:pStyle w:val="Reminders"/>
        <w:rPr>
          <w:rFonts w:asciiTheme="minorHAnsi" w:hAnsiTheme="minorHAnsi" w:cstheme="minorHAnsi"/>
          <w:i w:val="0"/>
          <w:color w:val="auto"/>
          <w:szCs w:val="22"/>
        </w:rPr>
      </w:pPr>
      <w:r>
        <w:rPr>
          <w:rFonts w:asciiTheme="minorHAnsi" w:hAnsiTheme="minorHAnsi" w:cstheme="minorHAnsi"/>
          <w:i w:val="0"/>
          <w:color w:val="auto"/>
          <w:szCs w:val="22"/>
        </w:rPr>
        <w:t>T</w:t>
      </w:r>
      <w:r w:rsidRPr="00FB44DE">
        <w:rPr>
          <w:rFonts w:asciiTheme="minorHAnsi" w:hAnsiTheme="minorHAnsi" w:cstheme="minorHAnsi"/>
          <w:i w:val="0"/>
          <w:color w:val="auto"/>
          <w:szCs w:val="22"/>
        </w:rPr>
        <w:t xml:space="preserve">o ensure that the </w:t>
      </w:r>
      <w:r w:rsidR="00E00701">
        <w:rPr>
          <w:rFonts w:asciiTheme="minorHAnsi" w:hAnsiTheme="minorHAnsi" w:cstheme="minorHAnsi"/>
          <w:i w:val="0"/>
          <w:color w:val="auto"/>
          <w:szCs w:val="22"/>
        </w:rPr>
        <w:t xml:space="preserve">Linear </w:t>
      </w:r>
      <w:r>
        <w:rPr>
          <w:rFonts w:asciiTheme="minorHAnsi" w:hAnsiTheme="minorHAnsi" w:cstheme="minorHAnsi"/>
          <w:i w:val="0"/>
          <w:color w:val="auto"/>
          <w:szCs w:val="22"/>
        </w:rPr>
        <w:t xml:space="preserve">LED </w:t>
      </w:r>
      <w:r w:rsidRPr="00FB44DE">
        <w:rPr>
          <w:rFonts w:asciiTheme="minorHAnsi" w:hAnsiTheme="minorHAnsi" w:cstheme="minorHAnsi"/>
          <w:i w:val="0"/>
          <w:color w:val="auto"/>
          <w:szCs w:val="22"/>
        </w:rPr>
        <w:t xml:space="preserve">retrofit </w:t>
      </w:r>
      <w:r w:rsidR="00E00701">
        <w:rPr>
          <w:rFonts w:asciiTheme="minorHAnsi" w:hAnsiTheme="minorHAnsi" w:cstheme="minorHAnsi"/>
          <w:i w:val="0"/>
          <w:color w:val="auto"/>
          <w:szCs w:val="22"/>
        </w:rPr>
        <w:t xml:space="preserve">kit fixtures </w:t>
      </w:r>
      <w:r w:rsidRPr="00FB44DE">
        <w:rPr>
          <w:rFonts w:asciiTheme="minorHAnsi" w:hAnsiTheme="minorHAnsi" w:cstheme="minorHAnsi"/>
          <w:i w:val="0"/>
          <w:color w:val="auto"/>
          <w:szCs w:val="22"/>
        </w:rPr>
        <w:t xml:space="preserve">provides equal performance to the </w:t>
      </w:r>
      <w:r>
        <w:rPr>
          <w:rFonts w:asciiTheme="minorHAnsi" w:hAnsiTheme="minorHAnsi" w:cstheme="minorHAnsi"/>
          <w:i w:val="0"/>
          <w:color w:val="auto"/>
          <w:szCs w:val="22"/>
        </w:rPr>
        <w:t xml:space="preserve">fluorescent </w:t>
      </w:r>
      <w:r w:rsidRPr="00FB44DE">
        <w:rPr>
          <w:rFonts w:asciiTheme="minorHAnsi" w:hAnsiTheme="minorHAnsi" w:cstheme="minorHAnsi"/>
          <w:i w:val="0"/>
          <w:color w:val="auto"/>
          <w:szCs w:val="22"/>
        </w:rPr>
        <w:t>lighting being replaced</w:t>
      </w:r>
      <w:r>
        <w:rPr>
          <w:rFonts w:asciiTheme="minorHAnsi" w:hAnsiTheme="minorHAnsi" w:cstheme="minorHAnsi"/>
          <w:i w:val="0"/>
          <w:color w:val="auto"/>
          <w:szCs w:val="22"/>
        </w:rPr>
        <w:t>,</w:t>
      </w:r>
      <w:r w:rsidRPr="00FB44DE">
        <w:rPr>
          <w:rFonts w:asciiTheme="minorHAnsi" w:hAnsiTheme="minorHAnsi" w:cstheme="minorHAnsi"/>
          <w:i w:val="0"/>
          <w:color w:val="auto"/>
          <w:szCs w:val="22"/>
        </w:rPr>
        <w:t xml:space="preserve"> </w:t>
      </w:r>
      <w:r w:rsidRPr="00795049">
        <w:rPr>
          <w:rFonts w:asciiTheme="minorHAnsi" w:hAnsiTheme="minorHAnsi" w:cstheme="minorHAnsi"/>
          <w:i w:val="0"/>
          <w:color w:val="auto"/>
          <w:szCs w:val="22"/>
        </w:rPr>
        <w:t>External Driver Lamp-Style Retrofit Kits (UL Type C)</w:t>
      </w:r>
      <w:r>
        <w:rPr>
          <w:rFonts w:asciiTheme="minorHAnsi" w:hAnsiTheme="minorHAnsi" w:cstheme="minorHAnsi"/>
          <w:i w:val="0"/>
          <w:color w:val="auto"/>
          <w:szCs w:val="22"/>
        </w:rPr>
        <w:t xml:space="preserve"> filtered from the DLC’s QPL must provide</w:t>
      </w:r>
      <w:r w:rsidRPr="00795049">
        <w:rPr>
          <w:rFonts w:asciiTheme="minorHAnsi" w:hAnsiTheme="minorHAnsi" w:cstheme="minorHAnsi"/>
          <w:i w:val="0"/>
          <w:color w:val="auto"/>
          <w:szCs w:val="22"/>
        </w:rPr>
        <w:t xml:space="preserve"> at least 2</w:t>
      </w:r>
      <w:r w:rsidR="00DC0C8B">
        <w:rPr>
          <w:rFonts w:asciiTheme="minorHAnsi" w:hAnsiTheme="minorHAnsi" w:cstheme="minorHAnsi"/>
          <w:i w:val="0"/>
          <w:color w:val="auto"/>
          <w:szCs w:val="22"/>
        </w:rPr>
        <w:t>,</w:t>
      </w:r>
      <w:r w:rsidRPr="00795049">
        <w:rPr>
          <w:rFonts w:asciiTheme="minorHAnsi" w:hAnsiTheme="minorHAnsi" w:cstheme="minorHAnsi"/>
          <w:i w:val="0"/>
          <w:color w:val="auto"/>
          <w:szCs w:val="22"/>
        </w:rPr>
        <w:t>30</w:t>
      </w:r>
      <w:r>
        <w:rPr>
          <w:rFonts w:asciiTheme="minorHAnsi" w:hAnsiTheme="minorHAnsi" w:cstheme="minorHAnsi"/>
          <w:i w:val="0"/>
          <w:color w:val="auto"/>
          <w:szCs w:val="22"/>
        </w:rPr>
        <w:t>0 lumens (2-lamp configuration). From this filtered list, t</w:t>
      </w:r>
      <w:r w:rsidR="00795049" w:rsidRPr="00795049">
        <w:rPr>
          <w:rFonts w:asciiTheme="minorHAnsi" w:hAnsiTheme="minorHAnsi" w:cstheme="minorHAnsi"/>
          <w:i w:val="0"/>
          <w:color w:val="auto"/>
          <w:szCs w:val="22"/>
        </w:rPr>
        <w:t xml:space="preserve">he External Driver Lamp-Style Retrofit Kits (UL Type C) </w:t>
      </w:r>
      <w:r w:rsidR="004C145B">
        <w:rPr>
          <w:rFonts w:asciiTheme="minorHAnsi" w:hAnsiTheme="minorHAnsi" w:cstheme="minorHAnsi"/>
          <w:i w:val="0"/>
          <w:color w:val="auto"/>
          <w:szCs w:val="22"/>
        </w:rPr>
        <w:t xml:space="preserve">are </w:t>
      </w:r>
      <w:r w:rsidR="00795049" w:rsidRPr="00795049">
        <w:rPr>
          <w:rFonts w:asciiTheme="minorHAnsi" w:hAnsiTheme="minorHAnsi" w:cstheme="minorHAnsi"/>
          <w:i w:val="0"/>
          <w:color w:val="auto"/>
          <w:szCs w:val="22"/>
        </w:rPr>
        <w:t>about 20% more efficacious than Type A TLED’s or the most efficacious high performance fluorescent lamps and ballasts and are likely to save considerable energy in most applications.</w:t>
      </w:r>
      <w:r w:rsidR="00795049">
        <w:rPr>
          <w:rFonts w:asciiTheme="minorHAnsi" w:hAnsiTheme="minorHAnsi" w:cstheme="minorHAnsi"/>
          <w:i w:val="0"/>
          <w:color w:val="auto"/>
          <w:szCs w:val="22"/>
        </w:rPr>
        <w:t xml:space="preserve"> </w:t>
      </w:r>
      <w:r>
        <w:rPr>
          <w:rFonts w:asciiTheme="minorHAnsi" w:hAnsiTheme="minorHAnsi" w:cstheme="minorHAnsi"/>
          <w:i w:val="0"/>
          <w:color w:val="auto"/>
          <w:szCs w:val="22"/>
        </w:rPr>
        <w:t xml:space="preserve">As shown in Table </w:t>
      </w:r>
      <w:r w:rsidR="00E00701">
        <w:rPr>
          <w:rFonts w:asciiTheme="minorHAnsi" w:hAnsiTheme="minorHAnsi" w:cstheme="minorHAnsi"/>
          <w:i w:val="0"/>
          <w:color w:val="auto"/>
          <w:szCs w:val="22"/>
        </w:rPr>
        <w:t>13</w:t>
      </w:r>
      <w:r>
        <w:rPr>
          <w:rFonts w:asciiTheme="minorHAnsi" w:hAnsiTheme="minorHAnsi" w:cstheme="minorHAnsi"/>
          <w:i w:val="0"/>
          <w:color w:val="auto"/>
          <w:szCs w:val="22"/>
        </w:rPr>
        <w:t>, t</w:t>
      </w:r>
      <w:r w:rsidRPr="00795049">
        <w:rPr>
          <w:rFonts w:asciiTheme="minorHAnsi" w:hAnsiTheme="minorHAnsi" w:cstheme="minorHAnsi"/>
          <w:i w:val="0"/>
          <w:color w:val="auto"/>
          <w:szCs w:val="22"/>
        </w:rPr>
        <w:t xml:space="preserve">he average </w:t>
      </w:r>
      <w:r>
        <w:rPr>
          <w:rFonts w:asciiTheme="minorHAnsi" w:hAnsiTheme="minorHAnsi" w:cstheme="minorHAnsi"/>
          <w:i w:val="0"/>
          <w:color w:val="auto"/>
          <w:szCs w:val="22"/>
        </w:rPr>
        <w:t xml:space="preserve">LED </w:t>
      </w:r>
      <w:r w:rsidRPr="00795049">
        <w:rPr>
          <w:rFonts w:asciiTheme="minorHAnsi" w:hAnsiTheme="minorHAnsi" w:cstheme="minorHAnsi"/>
          <w:i w:val="0"/>
          <w:color w:val="auto"/>
          <w:szCs w:val="22"/>
        </w:rPr>
        <w:t>lamp generates 2</w:t>
      </w:r>
      <w:r w:rsidR="00DC0C8B">
        <w:rPr>
          <w:rFonts w:asciiTheme="minorHAnsi" w:hAnsiTheme="minorHAnsi" w:cstheme="minorHAnsi"/>
          <w:i w:val="0"/>
          <w:color w:val="auto"/>
          <w:szCs w:val="22"/>
        </w:rPr>
        <w:t>,</w:t>
      </w:r>
      <w:r w:rsidRPr="00795049">
        <w:rPr>
          <w:rFonts w:asciiTheme="minorHAnsi" w:hAnsiTheme="minorHAnsi" w:cstheme="minorHAnsi"/>
          <w:i w:val="0"/>
          <w:color w:val="auto"/>
          <w:szCs w:val="22"/>
        </w:rPr>
        <w:t>620 l</w:t>
      </w:r>
      <w:r w:rsidR="00E00701">
        <w:rPr>
          <w:rFonts w:asciiTheme="minorHAnsi" w:hAnsiTheme="minorHAnsi" w:cstheme="minorHAnsi"/>
          <w:i w:val="0"/>
          <w:color w:val="auto"/>
          <w:szCs w:val="22"/>
        </w:rPr>
        <w:t xml:space="preserve">umens and consumes 20.8 watts. </w:t>
      </w:r>
      <w:r w:rsidRPr="00795049">
        <w:rPr>
          <w:rFonts w:asciiTheme="minorHAnsi" w:hAnsiTheme="minorHAnsi" w:cstheme="minorHAnsi"/>
          <w:i w:val="0"/>
          <w:color w:val="auto"/>
          <w:szCs w:val="22"/>
        </w:rPr>
        <w:t xml:space="preserve">The driver loss is included in the system rating. Since there are no standards for TLEDs, </w:t>
      </w:r>
      <w:r w:rsidR="00E00701">
        <w:rPr>
          <w:rFonts w:asciiTheme="minorHAnsi" w:hAnsiTheme="minorHAnsi" w:cstheme="minorHAnsi"/>
          <w:i w:val="0"/>
          <w:color w:val="auto"/>
          <w:szCs w:val="22"/>
        </w:rPr>
        <w:t>Table 13</w:t>
      </w:r>
      <w:r w:rsidRPr="00795049">
        <w:rPr>
          <w:rFonts w:asciiTheme="minorHAnsi" w:hAnsiTheme="minorHAnsi" w:cstheme="minorHAnsi"/>
          <w:i w:val="0"/>
          <w:color w:val="auto"/>
          <w:szCs w:val="22"/>
        </w:rPr>
        <w:t xml:space="preserve"> provides a provisional reference table to aid in policy decisions. </w:t>
      </w:r>
    </w:p>
    <w:p w:rsidR="00DC0C8B" w:rsidRDefault="00DC0C8B" w:rsidP="00E331AF">
      <w:pPr>
        <w:pStyle w:val="Reminders"/>
        <w:jc w:val="center"/>
        <w:rPr>
          <w:rFonts w:asciiTheme="minorHAnsi" w:hAnsiTheme="minorHAnsi" w:cstheme="minorHAnsi"/>
          <w:b/>
          <w:i w:val="0"/>
          <w:color w:val="auto"/>
          <w:szCs w:val="22"/>
        </w:rPr>
      </w:pPr>
    </w:p>
    <w:p w:rsidR="00C81928" w:rsidRDefault="00E00701" w:rsidP="00E331AF">
      <w:pPr>
        <w:pStyle w:val="Reminders"/>
        <w:jc w:val="center"/>
        <w:rPr>
          <w:rFonts w:asciiTheme="minorHAnsi" w:hAnsiTheme="minorHAnsi" w:cstheme="minorHAnsi"/>
          <w:i w:val="0"/>
          <w:color w:val="auto"/>
          <w:szCs w:val="22"/>
        </w:rPr>
      </w:pPr>
      <w:r>
        <w:rPr>
          <w:rFonts w:asciiTheme="minorHAnsi" w:hAnsiTheme="minorHAnsi" w:cstheme="minorHAnsi"/>
          <w:b/>
          <w:i w:val="0"/>
          <w:color w:val="auto"/>
          <w:szCs w:val="22"/>
        </w:rPr>
        <w:t>Table 13</w:t>
      </w:r>
      <w:r w:rsidRPr="00E00701">
        <w:rPr>
          <w:rFonts w:asciiTheme="minorHAnsi" w:hAnsiTheme="minorHAnsi" w:cstheme="minorHAnsi"/>
          <w:b/>
          <w:i w:val="0"/>
          <w:color w:val="auto"/>
          <w:szCs w:val="22"/>
        </w:rPr>
        <w:t xml:space="preserve">. </w:t>
      </w:r>
      <w:r w:rsidR="00E331AF">
        <w:rPr>
          <w:rFonts w:asciiTheme="minorHAnsi" w:hAnsiTheme="minorHAnsi" w:cstheme="minorHAnsi"/>
          <w:i w:val="0"/>
          <w:color w:val="auto"/>
          <w:szCs w:val="22"/>
        </w:rPr>
        <w:t xml:space="preserve">Filtered DLC QPL </w:t>
      </w:r>
      <w:r w:rsidR="00E331AF" w:rsidRPr="00795049">
        <w:rPr>
          <w:rFonts w:asciiTheme="minorHAnsi" w:hAnsiTheme="minorHAnsi" w:cstheme="minorHAnsi"/>
          <w:i w:val="0"/>
          <w:color w:val="auto"/>
          <w:szCs w:val="22"/>
        </w:rPr>
        <w:t>External Driver Lamp-Style Retrofit Kits (UL Type C)</w:t>
      </w:r>
    </w:p>
    <w:tbl>
      <w:tblPr>
        <w:tblW w:w="6300" w:type="dxa"/>
        <w:jc w:val="center"/>
        <w:tblInd w:w="93" w:type="dxa"/>
        <w:tblLook w:val="04A0" w:firstRow="1" w:lastRow="0" w:firstColumn="1" w:lastColumn="0" w:noHBand="0" w:noVBand="1"/>
      </w:tblPr>
      <w:tblGrid>
        <w:gridCol w:w="2460"/>
        <w:gridCol w:w="960"/>
        <w:gridCol w:w="960"/>
        <w:gridCol w:w="960"/>
        <w:gridCol w:w="960"/>
      </w:tblGrid>
      <w:tr w:rsidR="00C81928" w:rsidRPr="00C81928" w:rsidTr="00C81928">
        <w:trPr>
          <w:trHeight w:val="300"/>
          <w:jc w:val="center"/>
        </w:trPr>
        <w:tc>
          <w:tcPr>
            <w:tcW w:w="2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81928" w:rsidRPr="00C81928" w:rsidRDefault="00E331AF" w:rsidP="00C81928">
            <w:pPr>
              <w:jc w:val="center"/>
              <w:rPr>
                <w:rFonts w:ascii="Calibri" w:hAnsi="Calibri"/>
                <w:b/>
                <w:color w:val="000000"/>
                <w:szCs w:val="22"/>
              </w:rPr>
            </w:pPr>
            <w:r>
              <w:rPr>
                <w:rFonts w:ascii="Calibri" w:hAnsi="Calibri"/>
                <w:b/>
                <w:color w:val="000000"/>
                <w:szCs w:val="22"/>
              </w:rPr>
              <w:t xml:space="preserve">Lamp Manufacturers </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81928" w:rsidRPr="00C81928" w:rsidRDefault="00C81928" w:rsidP="00C81928">
            <w:pPr>
              <w:jc w:val="center"/>
              <w:rPr>
                <w:rFonts w:ascii="Calibri" w:hAnsi="Calibri"/>
                <w:b/>
                <w:color w:val="000000"/>
                <w:szCs w:val="22"/>
              </w:rPr>
            </w:pPr>
            <w:r w:rsidRPr="00C81928">
              <w:rPr>
                <w:rFonts w:ascii="Calibri" w:hAnsi="Calibri"/>
                <w:b/>
                <w:color w:val="000000"/>
                <w:szCs w:val="22"/>
              </w:rPr>
              <w:t>CCT</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81928" w:rsidRPr="00C81928" w:rsidRDefault="00C81928" w:rsidP="00C81928">
            <w:pPr>
              <w:jc w:val="center"/>
              <w:rPr>
                <w:rFonts w:ascii="Calibri" w:hAnsi="Calibri"/>
                <w:b/>
                <w:color w:val="000000"/>
                <w:szCs w:val="22"/>
              </w:rPr>
            </w:pPr>
            <w:r w:rsidRPr="00C81928">
              <w:rPr>
                <w:rFonts w:ascii="Calibri" w:hAnsi="Calibri"/>
                <w:b/>
                <w:color w:val="000000"/>
                <w:szCs w:val="22"/>
              </w:rPr>
              <w:t>CRI</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81928" w:rsidRPr="00C81928" w:rsidRDefault="00C81928" w:rsidP="00C81928">
            <w:pPr>
              <w:jc w:val="center"/>
              <w:rPr>
                <w:rFonts w:ascii="Calibri" w:hAnsi="Calibri"/>
                <w:b/>
                <w:color w:val="000000"/>
                <w:szCs w:val="22"/>
              </w:rPr>
            </w:pPr>
            <w:r w:rsidRPr="00C81928">
              <w:rPr>
                <w:rFonts w:ascii="Calibri" w:hAnsi="Calibri"/>
                <w:b/>
                <w:color w:val="000000"/>
                <w:szCs w:val="22"/>
              </w:rPr>
              <w:t>Lumens</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81928" w:rsidRPr="00C81928" w:rsidRDefault="00C81928" w:rsidP="00C81928">
            <w:pPr>
              <w:jc w:val="center"/>
              <w:rPr>
                <w:rFonts w:ascii="Calibri" w:hAnsi="Calibri"/>
                <w:b/>
                <w:color w:val="000000"/>
                <w:szCs w:val="22"/>
              </w:rPr>
            </w:pPr>
            <w:r w:rsidRPr="00C81928">
              <w:rPr>
                <w:rFonts w:ascii="Calibri" w:hAnsi="Calibri"/>
                <w:b/>
                <w:color w:val="000000"/>
                <w:szCs w:val="22"/>
              </w:rPr>
              <w:t>Watts</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Teslights</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4952K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84</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3093</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21.3</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E331AF" w:rsidP="00C81928">
            <w:pPr>
              <w:rPr>
                <w:rFonts w:ascii="Calibri" w:hAnsi="Calibri"/>
                <w:color w:val="000000"/>
                <w:szCs w:val="22"/>
              </w:rPr>
            </w:pPr>
            <w:r>
              <w:rPr>
                <w:rFonts w:ascii="Calibri" w:hAnsi="Calibri"/>
                <w:color w:val="000000"/>
                <w:szCs w:val="22"/>
              </w:rPr>
              <w:t>LTF</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3959K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2493</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18.3</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Ecolight</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3943K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84</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2505</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18.2</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Benwei</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3089K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82</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2325</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18.6</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Green Bay</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3990K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2951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22</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Aura Light</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3987K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84</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2382</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18.2</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James</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3941K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2759</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18.1</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BTS</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4118K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84</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2451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24.2</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lastRenderedPageBreak/>
              <w:t>Topbrand</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4082K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83</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2676</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20.7</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Linmore</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3389K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83</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2801</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22.4</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ATG</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3995K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83</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2322</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23.2</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GE</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3485K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84</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2758</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20.6</w:t>
            </w:r>
          </w:p>
        </w:tc>
      </w:tr>
      <w:tr w:rsidR="00C81928" w:rsidRPr="00C81928" w:rsidTr="00E331AF">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C81928" w:rsidRPr="00C81928" w:rsidRDefault="00C81928" w:rsidP="00C81928">
            <w:pPr>
              <w:rPr>
                <w:rFonts w:ascii="Calibri" w:hAnsi="Calibri"/>
                <w:color w:val="000000"/>
                <w:szCs w:val="22"/>
              </w:rPr>
            </w:pPr>
            <w:r w:rsidRPr="00C81928">
              <w:rPr>
                <w:rFonts w:ascii="Calibri" w:hAnsi="Calibri"/>
                <w:color w:val="000000"/>
                <w:szCs w:val="22"/>
              </w:rPr>
              <w:t>Espen</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3399K</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86</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2549</w:t>
            </w:r>
          </w:p>
        </w:tc>
        <w:tc>
          <w:tcPr>
            <w:tcW w:w="960" w:type="dxa"/>
            <w:tcBorders>
              <w:top w:val="nil"/>
              <w:left w:val="nil"/>
              <w:bottom w:val="single" w:sz="4" w:space="0" w:color="auto"/>
              <w:right w:val="single" w:sz="4" w:space="0" w:color="auto"/>
            </w:tcBorders>
            <w:shd w:val="clear" w:color="auto" w:fill="auto"/>
            <w:noWrap/>
            <w:vAlign w:val="center"/>
            <w:hideMark/>
          </w:tcPr>
          <w:p w:rsidR="00C81928" w:rsidRPr="00C81928" w:rsidRDefault="00C81928" w:rsidP="00E331AF">
            <w:pPr>
              <w:jc w:val="center"/>
              <w:rPr>
                <w:rFonts w:ascii="Calibri" w:hAnsi="Calibri"/>
                <w:color w:val="000000"/>
                <w:szCs w:val="22"/>
              </w:rPr>
            </w:pPr>
            <w:r w:rsidRPr="00C81928">
              <w:rPr>
                <w:rFonts w:ascii="Calibri" w:hAnsi="Calibri"/>
                <w:color w:val="000000"/>
                <w:szCs w:val="22"/>
              </w:rPr>
              <w:t>24.2</w:t>
            </w:r>
          </w:p>
        </w:tc>
      </w:tr>
      <w:tr w:rsidR="00E331AF" w:rsidRPr="00C81928" w:rsidTr="00E331AF">
        <w:trPr>
          <w:trHeight w:val="300"/>
          <w:jc w:val="center"/>
        </w:trPr>
        <w:tc>
          <w:tcPr>
            <w:tcW w:w="4380" w:type="dxa"/>
            <w:gridSpan w:val="3"/>
            <w:tcBorders>
              <w:top w:val="nil"/>
              <w:left w:val="single" w:sz="4" w:space="0" w:color="auto"/>
              <w:bottom w:val="single" w:sz="4" w:space="0" w:color="auto"/>
              <w:right w:val="single" w:sz="4" w:space="0" w:color="auto"/>
            </w:tcBorders>
            <w:shd w:val="clear" w:color="auto" w:fill="auto"/>
            <w:noWrap/>
            <w:vAlign w:val="center"/>
            <w:hideMark/>
          </w:tcPr>
          <w:p w:rsidR="00E331AF" w:rsidRPr="006546B7" w:rsidRDefault="00E331AF" w:rsidP="00E331AF">
            <w:pPr>
              <w:jc w:val="center"/>
              <w:rPr>
                <w:rFonts w:ascii="Calibri" w:hAnsi="Calibri"/>
                <w:b/>
                <w:color w:val="000000"/>
                <w:szCs w:val="22"/>
              </w:rPr>
            </w:pPr>
          </w:p>
          <w:p w:rsidR="00E331AF" w:rsidRPr="006546B7" w:rsidRDefault="00E331AF" w:rsidP="00E331AF">
            <w:pPr>
              <w:jc w:val="center"/>
              <w:rPr>
                <w:rFonts w:ascii="Calibri" w:hAnsi="Calibri"/>
                <w:b/>
                <w:color w:val="000000"/>
                <w:szCs w:val="22"/>
              </w:rPr>
            </w:pPr>
            <w:r w:rsidRPr="006546B7">
              <w:rPr>
                <w:rFonts w:ascii="Calibri" w:hAnsi="Calibri"/>
                <w:b/>
                <w:color w:val="000000"/>
                <w:szCs w:val="22"/>
              </w:rPr>
              <w:t>Average</w:t>
            </w:r>
          </w:p>
          <w:p w:rsidR="00E331AF" w:rsidRPr="006546B7" w:rsidRDefault="00E331AF" w:rsidP="00E331AF">
            <w:pPr>
              <w:jc w:val="center"/>
              <w:rPr>
                <w:rFonts w:ascii="Calibri" w:hAnsi="Calibri"/>
                <w:b/>
                <w:color w:val="000000"/>
                <w:szCs w:val="22"/>
              </w:rPr>
            </w:pPr>
          </w:p>
        </w:tc>
        <w:tc>
          <w:tcPr>
            <w:tcW w:w="960" w:type="dxa"/>
            <w:tcBorders>
              <w:top w:val="nil"/>
              <w:left w:val="nil"/>
              <w:bottom w:val="single" w:sz="4" w:space="0" w:color="auto"/>
              <w:right w:val="single" w:sz="4" w:space="0" w:color="auto"/>
            </w:tcBorders>
            <w:shd w:val="clear" w:color="auto" w:fill="auto"/>
            <w:noWrap/>
            <w:vAlign w:val="center"/>
            <w:hideMark/>
          </w:tcPr>
          <w:p w:rsidR="00E331AF" w:rsidRPr="006546B7" w:rsidRDefault="00E331AF" w:rsidP="00E331AF">
            <w:pPr>
              <w:jc w:val="center"/>
              <w:rPr>
                <w:rFonts w:ascii="Calibri" w:hAnsi="Calibri"/>
                <w:b/>
                <w:color w:val="000000"/>
                <w:szCs w:val="22"/>
              </w:rPr>
            </w:pPr>
            <w:r w:rsidRPr="006546B7">
              <w:rPr>
                <w:rFonts w:ascii="Calibri" w:hAnsi="Calibri"/>
                <w:b/>
                <w:color w:val="000000"/>
                <w:szCs w:val="22"/>
              </w:rPr>
              <w:t>2620</w:t>
            </w:r>
          </w:p>
        </w:tc>
        <w:tc>
          <w:tcPr>
            <w:tcW w:w="960" w:type="dxa"/>
            <w:tcBorders>
              <w:top w:val="nil"/>
              <w:left w:val="nil"/>
              <w:bottom w:val="single" w:sz="4" w:space="0" w:color="auto"/>
              <w:right w:val="single" w:sz="4" w:space="0" w:color="auto"/>
            </w:tcBorders>
            <w:shd w:val="clear" w:color="auto" w:fill="auto"/>
            <w:noWrap/>
            <w:vAlign w:val="center"/>
            <w:hideMark/>
          </w:tcPr>
          <w:p w:rsidR="00E331AF" w:rsidRPr="006546B7" w:rsidRDefault="00E331AF" w:rsidP="00E331AF">
            <w:pPr>
              <w:jc w:val="center"/>
              <w:rPr>
                <w:rFonts w:ascii="Calibri" w:hAnsi="Calibri"/>
                <w:b/>
                <w:color w:val="000000"/>
                <w:szCs w:val="22"/>
              </w:rPr>
            </w:pPr>
            <w:r w:rsidRPr="006546B7">
              <w:rPr>
                <w:rFonts w:ascii="Calibri" w:hAnsi="Calibri"/>
                <w:b/>
                <w:color w:val="000000"/>
                <w:szCs w:val="22"/>
              </w:rPr>
              <w:t>20.8</w:t>
            </w:r>
          </w:p>
        </w:tc>
      </w:tr>
    </w:tbl>
    <w:p w:rsidR="00C81928" w:rsidRPr="00795049" w:rsidRDefault="00C81928" w:rsidP="00795049">
      <w:pPr>
        <w:pStyle w:val="Reminders"/>
        <w:rPr>
          <w:rFonts w:asciiTheme="minorHAnsi" w:hAnsiTheme="minorHAnsi" w:cstheme="minorHAnsi"/>
          <w:i w:val="0"/>
          <w:color w:val="auto"/>
          <w:szCs w:val="22"/>
        </w:rPr>
      </w:pPr>
    </w:p>
    <w:p w:rsidR="003A635C" w:rsidRDefault="003A635C" w:rsidP="003A635C">
      <w:pPr>
        <w:rPr>
          <w:rFonts w:cstheme="minorHAnsi"/>
          <w:szCs w:val="22"/>
        </w:rPr>
      </w:pPr>
      <w:r>
        <w:rPr>
          <w:rFonts w:cstheme="minorHAnsi"/>
          <w:szCs w:val="22"/>
        </w:rPr>
        <w:t>Similar to the baseline energy savings calculation estimates, b</w:t>
      </w:r>
      <w:r w:rsidRPr="00A8254B">
        <w:rPr>
          <w:rFonts w:cstheme="minorHAnsi"/>
          <w:szCs w:val="22"/>
        </w:rPr>
        <w:t xml:space="preserve">ased on </w:t>
      </w:r>
      <w:r>
        <w:rPr>
          <w:rFonts w:cstheme="minorHAnsi"/>
          <w:szCs w:val="22"/>
        </w:rPr>
        <w:t>2012 ETAP Report</w:t>
      </w:r>
      <w:r w:rsidRPr="00A8254B">
        <w:rPr>
          <w:rFonts w:cstheme="minorHAnsi"/>
          <w:szCs w:val="22"/>
        </w:rPr>
        <w:t xml:space="preserve">, this workpaper </w:t>
      </w:r>
      <w:r>
        <w:rPr>
          <w:rFonts w:cstheme="minorHAnsi"/>
          <w:szCs w:val="22"/>
        </w:rPr>
        <w:t>estimates</w:t>
      </w:r>
      <w:r w:rsidRPr="00A8254B">
        <w:rPr>
          <w:rFonts w:cstheme="minorHAnsi"/>
          <w:szCs w:val="22"/>
        </w:rPr>
        <w:t xml:space="preserve"> that </w:t>
      </w:r>
      <w:r>
        <w:rPr>
          <w:rFonts w:cstheme="minorHAnsi"/>
          <w:szCs w:val="22"/>
        </w:rPr>
        <w:t xml:space="preserve">new </w:t>
      </w:r>
      <w:r w:rsidR="00BB0179">
        <w:rPr>
          <w:rFonts w:cstheme="minorHAnsi"/>
          <w:szCs w:val="22"/>
        </w:rPr>
        <w:t xml:space="preserve">Linear </w:t>
      </w:r>
      <w:r w:rsidRPr="003A635C">
        <w:rPr>
          <w:rFonts w:cstheme="minorHAnsi"/>
          <w:szCs w:val="22"/>
        </w:rPr>
        <w:t>LED External Driver Lamp-Style Retrofit Kits (UL Type C)</w:t>
      </w:r>
      <w:r>
        <w:rPr>
          <w:rFonts w:cstheme="minorHAnsi"/>
          <w:szCs w:val="22"/>
        </w:rPr>
        <w:t xml:space="preserve"> located in non-</w:t>
      </w:r>
      <w:r w:rsidR="00540EA9">
        <w:rPr>
          <w:rFonts w:cstheme="minorHAnsi"/>
          <w:szCs w:val="22"/>
        </w:rPr>
        <w:t>day</w:t>
      </w:r>
      <w:r w:rsidR="00051A38">
        <w:rPr>
          <w:rFonts w:cstheme="minorHAnsi"/>
          <w:szCs w:val="22"/>
        </w:rPr>
        <w:t xml:space="preserve"> </w:t>
      </w:r>
      <w:r w:rsidR="00540EA9">
        <w:rPr>
          <w:rFonts w:cstheme="minorHAnsi"/>
          <w:szCs w:val="22"/>
        </w:rPr>
        <w:t>lit</w:t>
      </w:r>
      <w:r>
        <w:rPr>
          <w:rFonts w:cstheme="minorHAnsi"/>
          <w:szCs w:val="22"/>
        </w:rPr>
        <w:t xml:space="preserve"> zones are </w:t>
      </w:r>
      <w:r w:rsidRPr="00A8254B">
        <w:rPr>
          <w:rFonts w:cstheme="minorHAnsi"/>
          <w:szCs w:val="22"/>
        </w:rPr>
        <w:t xml:space="preserve">in low power mode </w:t>
      </w:r>
      <w:r>
        <w:rPr>
          <w:rFonts w:cstheme="minorHAnsi"/>
          <w:szCs w:val="22"/>
        </w:rPr>
        <w:t>62% of the time. Low power mode is estimated to be</w:t>
      </w:r>
      <w:r w:rsidRPr="00A8254B">
        <w:rPr>
          <w:rFonts w:cstheme="minorHAnsi"/>
          <w:szCs w:val="22"/>
        </w:rPr>
        <w:t xml:space="preserve"> 50% of full power.</w:t>
      </w:r>
      <w:r>
        <w:rPr>
          <w:rFonts w:cstheme="minorHAnsi"/>
          <w:szCs w:val="22"/>
        </w:rPr>
        <w:t xml:space="preserve"> The fixture is in high power mode for 38% at full power. </w:t>
      </w:r>
      <w:r w:rsidR="00D2025A">
        <w:rPr>
          <w:rFonts w:cstheme="minorHAnsi"/>
          <w:szCs w:val="22"/>
        </w:rPr>
        <w:t>Equation 3</w:t>
      </w:r>
      <w:r>
        <w:rPr>
          <w:rFonts w:cstheme="minorHAnsi"/>
          <w:szCs w:val="22"/>
        </w:rPr>
        <w:t xml:space="preserve"> exhibits the calculation for estimating annual measure case energy consumption</w:t>
      </w:r>
      <w:r w:rsidR="00540EA9">
        <w:rPr>
          <w:rFonts w:cstheme="minorHAnsi"/>
          <w:szCs w:val="22"/>
        </w:rPr>
        <w:t xml:space="preserve"> for a fixture located in a non-day lit</w:t>
      </w:r>
      <w:r>
        <w:rPr>
          <w:rFonts w:cstheme="minorHAnsi"/>
          <w:szCs w:val="22"/>
        </w:rPr>
        <w:t xml:space="preserve"> zone. </w:t>
      </w:r>
    </w:p>
    <w:p w:rsidR="003A635C" w:rsidRDefault="003A635C" w:rsidP="003A635C">
      <w:pPr>
        <w:rPr>
          <w:rFonts w:cstheme="minorHAnsi"/>
          <w:szCs w:val="22"/>
        </w:rPr>
      </w:pPr>
    </w:p>
    <w:p w:rsidR="003A635C" w:rsidRDefault="003A635C" w:rsidP="003A635C">
      <w:pPr>
        <w:jc w:val="center"/>
        <w:rPr>
          <w:rFonts w:cs="Arial"/>
          <w:szCs w:val="22"/>
        </w:rPr>
      </w:pPr>
      <w:r>
        <w:rPr>
          <w:rFonts w:cs="Arial"/>
          <w:szCs w:val="22"/>
        </w:rPr>
        <w:t xml:space="preserve"> [(0.042</w:t>
      </w:r>
      <w:r w:rsidR="00D2025A">
        <w:rPr>
          <w:rFonts w:cs="Arial"/>
          <w:szCs w:val="22"/>
        </w:rPr>
        <w:t xml:space="preserve"> </w:t>
      </w:r>
      <w:r>
        <w:rPr>
          <w:rFonts w:cs="Arial"/>
          <w:szCs w:val="22"/>
        </w:rPr>
        <w:t>kW*0.5*8760*0.62</w:t>
      </w:r>
      <w:r w:rsidR="00540EA9">
        <w:rPr>
          <w:rFonts w:cs="Arial"/>
          <w:szCs w:val="22"/>
        </w:rPr>
        <w:t>) + (</w:t>
      </w:r>
      <w:r>
        <w:rPr>
          <w:rFonts w:cs="Arial"/>
          <w:szCs w:val="22"/>
        </w:rPr>
        <w:t>0.042</w:t>
      </w:r>
      <w:r w:rsidR="00D2025A">
        <w:rPr>
          <w:rFonts w:cs="Arial"/>
          <w:szCs w:val="22"/>
        </w:rPr>
        <w:t xml:space="preserve"> </w:t>
      </w:r>
      <w:r>
        <w:rPr>
          <w:rFonts w:cs="Arial"/>
          <w:szCs w:val="22"/>
        </w:rPr>
        <w:t xml:space="preserve">kW*1.0*8760*0.38)] </w:t>
      </w:r>
      <w:r w:rsidR="00D2025A">
        <w:rPr>
          <w:rFonts w:cs="Arial"/>
          <w:szCs w:val="22"/>
        </w:rPr>
        <w:t>= 254</w:t>
      </w:r>
      <w:r>
        <w:rPr>
          <w:rFonts w:cs="Arial"/>
          <w:szCs w:val="22"/>
        </w:rPr>
        <w:t xml:space="preserve"> kWh</w:t>
      </w:r>
    </w:p>
    <w:p w:rsidR="003A635C" w:rsidRDefault="003A635C" w:rsidP="003A635C">
      <w:pPr>
        <w:jc w:val="center"/>
        <w:rPr>
          <w:rFonts w:cs="Arial"/>
          <w:szCs w:val="22"/>
        </w:rPr>
      </w:pPr>
      <w:r w:rsidRPr="00BB6FD9">
        <w:rPr>
          <w:rFonts w:cs="Arial"/>
          <w:b/>
          <w:szCs w:val="22"/>
        </w:rPr>
        <w:t>Eq</w:t>
      </w:r>
      <w:r w:rsidR="00D2025A">
        <w:rPr>
          <w:rFonts w:cs="Arial"/>
          <w:b/>
          <w:szCs w:val="22"/>
        </w:rPr>
        <w:t>uation 3</w:t>
      </w:r>
      <w:r w:rsidRPr="00BB6FD9">
        <w:rPr>
          <w:rFonts w:cs="Arial"/>
          <w:b/>
          <w:szCs w:val="22"/>
        </w:rPr>
        <w:t>.</w:t>
      </w:r>
      <w:r>
        <w:rPr>
          <w:rFonts w:cs="Arial"/>
          <w:szCs w:val="22"/>
        </w:rPr>
        <w:t xml:space="preserve"> </w:t>
      </w:r>
      <w:r w:rsidR="00D2025A">
        <w:rPr>
          <w:rFonts w:cs="Arial"/>
          <w:szCs w:val="22"/>
        </w:rPr>
        <w:t>Measure Case</w:t>
      </w:r>
      <w:r>
        <w:rPr>
          <w:rFonts w:cs="Arial"/>
          <w:szCs w:val="22"/>
        </w:rPr>
        <w:t xml:space="preserve"> kWh for </w:t>
      </w:r>
      <w:r w:rsidRPr="00BB6FD9">
        <w:rPr>
          <w:rFonts w:cs="Arial"/>
          <w:szCs w:val="22"/>
        </w:rPr>
        <w:t>a four foot 2-lamp 2nd generation F32T8 NLO fixture</w:t>
      </w:r>
      <w:r>
        <w:rPr>
          <w:rFonts w:cs="Arial"/>
          <w:szCs w:val="22"/>
        </w:rPr>
        <w:t xml:space="preserve"> in non-</w:t>
      </w:r>
      <w:r w:rsidR="00540EA9">
        <w:rPr>
          <w:rFonts w:cs="Arial"/>
          <w:szCs w:val="22"/>
        </w:rPr>
        <w:t>day</w:t>
      </w:r>
      <w:r w:rsidR="00051A38">
        <w:rPr>
          <w:rFonts w:cs="Arial"/>
          <w:szCs w:val="22"/>
        </w:rPr>
        <w:t xml:space="preserve"> </w:t>
      </w:r>
      <w:r w:rsidR="00540EA9">
        <w:rPr>
          <w:rFonts w:cs="Arial"/>
          <w:szCs w:val="22"/>
        </w:rPr>
        <w:t>lit</w:t>
      </w:r>
      <w:r>
        <w:rPr>
          <w:rFonts w:cs="Arial"/>
          <w:szCs w:val="22"/>
        </w:rPr>
        <w:t xml:space="preserve"> zones</w:t>
      </w:r>
    </w:p>
    <w:p w:rsidR="003A635C" w:rsidRDefault="003A635C" w:rsidP="003A635C">
      <w:pPr>
        <w:rPr>
          <w:rFonts w:cstheme="minorHAnsi"/>
          <w:szCs w:val="22"/>
        </w:rPr>
      </w:pPr>
    </w:p>
    <w:p w:rsidR="003A635C" w:rsidRDefault="003A635C" w:rsidP="003A635C">
      <w:pPr>
        <w:rPr>
          <w:rFonts w:cstheme="minorHAnsi"/>
          <w:szCs w:val="22"/>
        </w:rPr>
      </w:pPr>
      <w:r>
        <w:rPr>
          <w:rFonts w:cstheme="minorHAnsi"/>
          <w:szCs w:val="22"/>
        </w:rPr>
        <w:t xml:space="preserve">As indicated in the 2012 ETAP Report, </w:t>
      </w:r>
      <w:r w:rsidRPr="00A8254B">
        <w:rPr>
          <w:rFonts w:cstheme="minorHAnsi"/>
          <w:szCs w:val="22"/>
        </w:rPr>
        <w:t xml:space="preserve">this workpaper </w:t>
      </w:r>
      <w:r>
        <w:rPr>
          <w:rFonts w:cstheme="minorHAnsi"/>
          <w:szCs w:val="22"/>
        </w:rPr>
        <w:t>estimates</w:t>
      </w:r>
      <w:r w:rsidRPr="00A8254B">
        <w:rPr>
          <w:rFonts w:cstheme="minorHAnsi"/>
          <w:szCs w:val="22"/>
        </w:rPr>
        <w:t xml:space="preserve"> that </w:t>
      </w:r>
      <w:r w:rsidR="00D2025A">
        <w:rPr>
          <w:rFonts w:cstheme="minorHAnsi"/>
          <w:szCs w:val="22"/>
        </w:rPr>
        <w:t xml:space="preserve">new </w:t>
      </w:r>
      <w:r w:rsidR="00BB0179">
        <w:rPr>
          <w:rFonts w:cstheme="minorHAnsi"/>
          <w:szCs w:val="22"/>
        </w:rPr>
        <w:t>Linear</w:t>
      </w:r>
      <w:r w:rsidR="00D2025A" w:rsidRPr="003A635C">
        <w:rPr>
          <w:rFonts w:cstheme="minorHAnsi"/>
          <w:szCs w:val="22"/>
        </w:rPr>
        <w:t xml:space="preserve"> LED External Driver Lamp-Style Retrofit Kits (UL Type C)</w:t>
      </w:r>
      <w:r w:rsidR="00D2025A">
        <w:rPr>
          <w:rFonts w:cstheme="minorHAnsi"/>
          <w:szCs w:val="22"/>
        </w:rPr>
        <w:t xml:space="preserve"> fixtures located </w:t>
      </w:r>
      <w:r>
        <w:rPr>
          <w:rFonts w:cstheme="minorHAnsi"/>
          <w:szCs w:val="22"/>
        </w:rPr>
        <w:t xml:space="preserve">in </w:t>
      </w:r>
      <w:r w:rsidR="00540EA9">
        <w:rPr>
          <w:rFonts w:cstheme="minorHAnsi"/>
          <w:szCs w:val="22"/>
        </w:rPr>
        <w:t>day</w:t>
      </w:r>
      <w:r w:rsidR="00051A38">
        <w:rPr>
          <w:rFonts w:cstheme="minorHAnsi"/>
          <w:szCs w:val="22"/>
        </w:rPr>
        <w:t xml:space="preserve"> </w:t>
      </w:r>
      <w:r w:rsidR="00540EA9">
        <w:rPr>
          <w:rFonts w:cstheme="minorHAnsi"/>
          <w:szCs w:val="22"/>
        </w:rPr>
        <w:t>lit</w:t>
      </w:r>
      <w:r>
        <w:rPr>
          <w:rFonts w:cstheme="minorHAnsi"/>
          <w:szCs w:val="22"/>
        </w:rPr>
        <w:t xml:space="preserve"> zones are </w:t>
      </w:r>
      <w:r w:rsidRPr="00A8254B">
        <w:rPr>
          <w:rFonts w:cstheme="minorHAnsi"/>
          <w:szCs w:val="22"/>
        </w:rPr>
        <w:t xml:space="preserve">in low power mode </w:t>
      </w:r>
      <w:r>
        <w:rPr>
          <w:rFonts w:cstheme="minorHAnsi"/>
          <w:szCs w:val="22"/>
        </w:rPr>
        <w:t>74% of the time. Low power mode is estimated to be</w:t>
      </w:r>
      <w:r w:rsidRPr="00A8254B">
        <w:rPr>
          <w:rFonts w:cstheme="minorHAnsi"/>
          <w:szCs w:val="22"/>
        </w:rPr>
        <w:t xml:space="preserve"> 50% of full power.</w:t>
      </w:r>
      <w:r>
        <w:rPr>
          <w:rFonts w:cstheme="minorHAnsi"/>
          <w:szCs w:val="22"/>
        </w:rPr>
        <w:t xml:space="preserve"> The fixture is in high power mode for 26% at full power. </w:t>
      </w:r>
      <w:r w:rsidR="00D2025A">
        <w:rPr>
          <w:rFonts w:cstheme="minorHAnsi"/>
          <w:szCs w:val="22"/>
        </w:rPr>
        <w:t>Equation 4</w:t>
      </w:r>
      <w:r>
        <w:rPr>
          <w:rFonts w:cstheme="minorHAnsi"/>
          <w:szCs w:val="22"/>
        </w:rPr>
        <w:t xml:space="preserve"> exhibits the calculation for estimating annual </w:t>
      </w:r>
      <w:r w:rsidR="00D2025A">
        <w:rPr>
          <w:rFonts w:cstheme="minorHAnsi"/>
          <w:szCs w:val="22"/>
        </w:rPr>
        <w:t>measure case</w:t>
      </w:r>
      <w:r>
        <w:rPr>
          <w:rFonts w:cstheme="minorHAnsi"/>
          <w:szCs w:val="22"/>
        </w:rPr>
        <w:t xml:space="preserve"> energy consumption for a fixture located in a </w:t>
      </w:r>
      <w:r w:rsidR="00540EA9">
        <w:rPr>
          <w:rFonts w:cstheme="minorHAnsi"/>
          <w:szCs w:val="22"/>
        </w:rPr>
        <w:t>day</w:t>
      </w:r>
      <w:r w:rsidR="00051A38">
        <w:rPr>
          <w:rFonts w:cstheme="minorHAnsi"/>
          <w:szCs w:val="22"/>
        </w:rPr>
        <w:t xml:space="preserve"> </w:t>
      </w:r>
      <w:r w:rsidR="00540EA9">
        <w:rPr>
          <w:rFonts w:cstheme="minorHAnsi"/>
          <w:szCs w:val="22"/>
        </w:rPr>
        <w:t>lit</w:t>
      </w:r>
      <w:r>
        <w:rPr>
          <w:rFonts w:cstheme="minorHAnsi"/>
          <w:szCs w:val="22"/>
        </w:rPr>
        <w:t xml:space="preserve"> zone.</w:t>
      </w:r>
    </w:p>
    <w:p w:rsidR="003A635C" w:rsidRDefault="003A635C" w:rsidP="003A635C">
      <w:pPr>
        <w:jc w:val="center"/>
      </w:pPr>
    </w:p>
    <w:p w:rsidR="003A635C" w:rsidRDefault="00D2025A" w:rsidP="003A635C">
      <w:pPr>
        <w:jc w:val="center"/>
        <w:rPr>
          <w:rFonts w:cs="Arial"/>
          <w:szCs w:val="22"/>
        </w:rPr>
      </w:pPr>
      <w:r>
        <w:rPr>
          <w:rFonts w:cs="Arial"/>
          <w:szCs w:val="22"/>
        </w:rPr>
        <w:t>[(0.042 k</w:t>
      </w:r>
      <w:r w:rsidR="003A635C">
        <w:rPr>
          <w:rFonts w:cs="Arial"/>
          <w:szCs w:val="22"/>
        </w:rPr>
        <w:t>W*0.5*4380*0.74</w:t>
      </w:r>
      <w:r w:rsidR="00540EA9">
        <w:rPr>
          <w:rFonts w:cs="Arial"/>
          <w:szCs w:val="22"/>
        </w:rPr>
        <w:t>) + (</w:t>
      </w:r>
      <w:r>
        <w:rPr>
          <w:rFonts w:cs="Arial"/>
          <w:szCs w:val="22"/>
        </w:rPr>
        <w:t>0.042 k</w:t>
      </w:r>
      <w:r w:rsidR="003A635C">
        <w:rPr>
          <w:rFonts w:cs="Arial"/>
          <w:szCs w:val="22"/>
        </w:rPr>
        <w:t xml:space="preserve">W*1.0*4380*0.26)] = </w:t>
      </w:r>
      <w:r>
        <w:rPr>
          <w:rFonts w:cs="Arial"/>
          <w:szCs w:val="22"/>
        </w:rPr>
        <w:t>114</w:t>
      </w:r>
      <w:r w:rsidR="003A635C">
        <w:rPr>
          <w:rFonts w:cs="Arial"/>
          <w:szCs w:val="22"/>
        </w:rPr>
        <w:t xml:space="preserve"> kWh</w:t>
      </w:r>
    </w:p>
    <w:p w:rsidR="003A635C" w:rsidRDefault="003A635C" w:rsidP="003A635C">
      <w:pPr>
        <w:jc w:val="center"/>
        <w:rPr>
          <w:rFonts w:cs="Arial"/>
          <w:szCs w:val="22"/>
        </w:rPr>
      </w:pPr>
      <w:r w:rsidRPr="00BB6FD9">
        <w:rPr>
          <w:rFonts w:cs="Arial"/>
          <w:b/>
          <w:szCs w:val="22"/>
        </w:rPr>
        <w:t>Eq</w:t>
      </w:r>
      <w:r>
        <w:rPr>
          <w:rFonts w:cs="Arial"/>
          <w:b/>
          <w:szCs w:val="22"/>
        </w:rPr>
        <w:t xml:space="preserve">uation </w:t>
      </w:r>
      <w:r w:rsidR="00D2025A">
        <w:rPr>
          <w:rFonts w:cs="Arial"/>
          <w:b/>
          <w:szCs w:val="22"/>
        </w:rPr>
        <w:t>4</w:t>
      </w:r>
      <w:r w:rsidRPr="00BB6FD9">
        <w:rPr>
          <w:rFonts w:cs="Arial"/>
          <w:b/>
          <w:szCs w:val="22"/>
        </w:rPr>
        <w:t>.</w:t>
      </w:r>
      <w:r>
        <w:rPr>
          <w:rFonts w:cs="Arial"/>
          <w:szCs w:val="22"/>
        </w:rPr>
        <w:t xml:space="preserve"> </w:t>
      </w:r>
      <w:r w:rsidR="00D2025A">
        <w:rPr>
          <w:rFonts w:cs="Arial"/>
          <w:szCs w:val="22"/>
        </w:rPr>
        <w:t>Measure Case</w:t>
      </w:r>
      <w:r>
        <w:rPr>
          <w:rFonts w:cs="Arial"/>
          <w:szCs w:val="22"/>
        </w:rPr>
        <w:t xml:space="preserve"> kWh for </w:t>
      </w:r>
      <w:r w:rsidRPr="00BB6FD9">
        <w:rPr>
          <w:rFonts w:cs="Arial"/>
          <w:szCs w:val="22"/>
        </w:rPr>
        <w:t>a four foot 2-lamp 2nd generation F32T8 NLO fixture</w:t>
      </w:r>
      <w:r>
        <w:rPr>
          <w:rFonts w:cs="Arial"/>
          <w:szCs w:val="22"/>
        </w:rPr>
        <w:t xml:space="preserve"> in </w:t>
      </w:r>
      <w:r w:rsidR="00540EA9">
        <w:rPr>
          <w:rFonts w:cs="Arial"/>
          <w:szCs w:val="22"/>
        </w:rPr>
        <w:t>da</w:t>
      </w:r>
      <w:r w:rsidR="00051A38">
        <w:rPr>
          <w:rFonts w:cs="Arial"/>
          <w:szCs w:val="22"/>
        </w:rPr>
        <w:t>y lit</w:t>
      </w:r>
      <w:r>
        <w:rPr>
          <w:rFonts w:cs="Arial"/>
          <w:szCs w:val="22"/>
        </w:rPr>
        <w:t xml:space="preserve"> zones</w:t>
      </w:r>
    </w:p>
    <w:p w:rsidR="008F2B17" w:rsidRDefault="008F2B17" w:rsidP="008F2B17">
      <w:pPr>
        <w:rPr>
          <w:rFonts w:cs="Arial"/>
          <w:szCs w:val="22"/>
        </w:rPr>
      </w:pPr>
    </w:p>
    <w:p w:rsidR="008F2B17" w:rsidRDefault="008F2B17" w:rsidP="008F2B17">
      <w:pPr>
        <w:rPr>
          <w:rFonts w:cs="Arial"/>
          <w:szCs w:val="22"/>
        </w:rPr>
      </w:pPr>
      <w:r>
        <w:rPr>
          <w:rFonts w:cs="Arial"/>
          <w:szCs w:val="22"/>
        </w:rPr>
        <w:t xml:space="preserve">Based on the analysis above, the energy savings are shown in Table </w:t>
      </w:r>
      <w:r w:rsidR="00BB0179">
        <w:rPr>
          <w:rFonts w:cs="Arial"/>
          <w:szCs w:val="22"/>
        </w:rPr>
        <w:t>14</w:t>
      </w:r>
      <w:r>
        <w:rPr>
          <w:rFonts w:cs="Arial"/>
          <w:szCs w:val="22"/>
        </w:rPr>
        <w:t>.</w:t>
      </w:r>
    </w:p>
    <w:p w:rsidR="000E5A48" w:rsidRDefault="000E5A48" w:rsidP="008F2B17">
      <w:pPr>
        <w:jc w:val="center"/>
        <w:rPr>
          <w:b/>
        </w:rPr>
      </w:pPr>
    </w:p>
    <w:p w:rsidR="008F2B17" w:rsidRDefault="008F2B17" w:rsidP="008F2B17">
      <w:pPr>
        <w:jc w:val="center"/>
      </w:pPr>
      <w:r>
        <w:rPr>
          <w:b/>
        </w:rPr>
        <w:t xml:space="preserve">Table </w:t>
      </w:r>
      <w:r w:rsidR="00BB0179">
        <w:rPr>
          <w:b/>
        </w:rPr>
        <w:t>14</w:t>
      </w:r>
      <w:r>
        <w:rPr>
          <w:b/>
        </w:rPr>
        <w:t xml:space="preserve">. </w:t>
      </w:r>
      <w:r>
        <w:t>Energy Savings Table</w:t>
      </w:r>
    </w:p>
    <w:tbl>
      <w:tblPr>
        <w:tblStyle w:val="TableGrid1"/>
        <w:tblW w:w="3222" w:type="pct"/>
        <w:jc w:val="center"/>
        <w:tblLook w:val="01E0" w:firstRow="1" w:lastRow="1" w:firstColumn="1" w:lastColumn="1" w:noHBand="0" w:noVBand="0"/>
      </w:tblPr>
      <w:tblGrid>
        <w:gridCol w:w="3314"/>
        <w:gridCol w:w="2857"/>
      </w:tblGrid>
      <w:tr w:rsidR="008F2B17" w:rsidRPr="00500C4E" w:rsidTr="004B0444">
        <w:trPr>
          <w:jc w:val="center"/>
        </w:trPr>
        <w:tc>
          <w:tcPr>
            <w:tcW w:w="2685" w:type="pct"/>
            <w:shd w:val="clear" w:color="auto" w:fill="D9D9D9" w:themeFill="background1" w:themeFillShade="D9"/>
          </w:tcPr>
          <w:p w:rsidR="008F2B17" w:rsidRPr="00920905" w:rsidRDefault="008F2B17" w:rsidP="004B0444">
            <w:pPr>
              <w:jc w:val="center"/>
              <w:rPr>
                <w:rFonts w:cstheme="minorHAnsi"/>
                <w:b/>
                <w:szCs w:val="20"/>
              </w:rPr>
            </w:pPr>
            <w:r>
              <w:rPr>
                <w:rFonts w:cstheme="minorHAnsi"/>
                <w:b/>
                <w:szCs w:val="20"/>
              </w:rPr>
              <w:t>Technology</w:t>
            </w:r>
          </w:p>
        </w:tc>
        <w:tc>
          <w:tcPr>
            <w:tcW w:w="2315" w:type="pct"/>
            <w:shd w:val="clear" w:color="auto" w:fill="D9D9D9" w:themeFill="background1" w:themeFillShade="D9"/>
          </w:tcPr>
          <w:p w:rsidR="008F2B17" w:rsidRPr="00920905" w:rsidRDefault="008F2B17" w:rsidP="004B0444">
            <w:pPr>
              <w:jc w:val="center"/>
              <w:rPr>
                <w:rFonts w:cstheme="minorHAnsi"/>
                <w:b/>
                <w:szCs w:val="20"/>
                <w:highlight w:val="yellow"/>
              </w:rPr>
            </w:pPr>
            <w:r>
              <w:rPr>
                <w:rFonts w:cstheme="minorHAnsi"/>
                <w:b/>
                <w:szCs w:val="20"/>
              </w:rPr>
              <w:t>Average Watts</w:t>
            </w:r>
          </w:p>
        </w:tc>
      </w:tr>
      <w:tr w:rsidR="008F2B17" w:rsidRPr="00500C4E" w:rsidTr="004B0444">
        <w:trPr>
          <w:jc w:val="center"/>
        </w:trPr>
        <w:tc>
          <w:tcPr>
            <w:tcW w:w="2685" w:type="pct"/>
          </w:tcPr>
          <w:p w:rsidR="008F2B17" w:rsidRPr="00920905" w:rsidRDefault="008F2B17" w:rsidP="008F2B17">
            <w:pPr>
              <w:rPr>
                <w:rFonts w:cstheme="minorHAnsi"/>
                <w:color w:val="FF0000"/>
                <w:szCs w:val="20"/>
              </w:rPr>
            </w:pPr>
            <w:r w:rsidRPr="00475C8A">
              <w:rPr>
                <w:rFonts w:cstheme="minorHAnsi"/>
                <w:szCs w:val="20"/>
              </w:rPr>
              <w:t>Four foot 2-lamp LED External Driver Lamp-Style Retrofit Kit (UL Type C) fixtu</w:t>
            </w:r>
            <w:r>
              <w:rPr>
                <w:rFonts w:cstheme="minorHAnsi"/>
                <w:szCs w:val="20"/>
              </w:rPr>
              <w:t xml:space="preserve">re with bi-level </w:t>
            </w:r>
            <w:r w:rsidR="00BB0179">
              <w:rPr>
                <w:rFonts w:cstheme="minorHAnsi"/>
                <w:szCs w:val="20"/>
              </w:rPr>
              <w:t xml:space="preserve">occupancy sensing </w:t>
            </w:r>
            <w:r>
              <w:rPr>
                <w:rFonts w:cstheme="minorHAnsi"/>
                <w:szCs w:val="20"/>
              </w:rPr>
              <w:t>control in non-</w:t>
            </w:r>
            <w:r w:rsidRPr="00475C8A">
              <w:rPr>
                <w:rFonts w:cstheme="minorHAnsi"/>
                <w:szCs w:val="20"/>
              </w:rPr>
              <w:t>day</w:t>
            </w:r>
            <w:r>
              <w:rPr>
                <w:rFonts w:cstheme="minorHAnsi"/>
                <w:szCs w:val="20"/>
              </w:rPr>
              <w:t xml:space="preserve"> lit</w:t>
            </w:r>
            <w:r w:rsidRPr="00475C8A">
              <w:rPr>
                <w:rFonts w:cstheme="minorHAnsi"/>
                <w:szCs w:val="20"/>
              </w:rPr>
              <w:t xml:space="preserve"> zone</w:t>
            </w:r>
            <w:r>
              <w:rPr>
                <w:rFonts w:cstheme="minorHAnsi"/>
                <w:szCs w:val="20"/>
              </w:rPr>
              <w:t>s</w:t>
            </w:r>
          </w:p>
        </w:tc>
        <w:tc>
          <w:tcPr>
            <w:tcW w:w="2315" w:type="pct"/>
            <w:vAlign w:val="center"/>
          </w:tcPr>
          <w:p w:rsidR="008F2B17" w:rsidRPr="0008656B" w:rsidRDefault="008F2B17" w:rsidP="004B0444">
            <w:pPr>
              <w:jc w:val="center"/>
              <w:rPr>
                <w:rFonts w:cstheme="minorHAnsi"/>
                <w:szCs w:val="20"/>
              </w:rPr>
            </w:pPr>
            <w:r>
              <w:rPr>
                <w:rFonts w:cstheme="minorHAnsi"/>
                <w:szCs w:val="20"/>
              </w:rPr>
              <w:t>357 kWh – 254 kWh = 103 kWh</w:t>
            </w:r>
          </w:p>
        </w:tc>
      </w:tr>
      <w:tr w:rsidR="008F2B17" w:rsidRPr="00500C4E" w:rsidTr="004B0444">
        <w:trPr>
          <w:jc w:val="center"/>
        </w:trPr>
        <w:tc>
          <w:tcPr>
            <w:tcW w:w="2685" w:type="pct"/>
          </w:tcPr>
          <w:p w:rsidR="008F2B17" w:rsidRPr="009D7E8D" w:rsidRDefault="008F2B17" w:rsidP="008F2B17">
            <w:pPr>
              <w:rPr>
                <w:rFonts w:cstheme="minorHAnsi"/>
                <w:szCs w:val="20"/>
              </w:rPr>
            </w:pPr>
            <w:r w:rsidRPr="00475C8A">
              <w:rPr>
                <w:rFonts w:cstheme="minorHAnsi"/>
                <w:szCs w:val="20"/>
              </w:rPr>
              <w:t xml:space="preserve">Four foot 2-lamp LED External Driver Lamp-Style Retrofit Kit (UL Type C) fixture with bi-level </w:t>
            </w:r>
            <w:r w:rsidR="00BB0179">
              <w:rPr>
                <w:rFonts w:cstheme="minorHAnsi"/>
                <w:szCs w:val="20"/>
              </w:rPr>
              <w:t xml:space="preserve">occupancy sensing and photocell </w:t>
            </w:r>
            <w:r w:rsidRPr="00475C8A">
              <w:rPr>
                <w:rFonts w:cstheme="minorHAnsi"/>
                <w:szCs w:val="20"/>
              </w:rPr>
              <w:t>control</w:t>
            </w:r>
            <w:r w:rsidR="00BB0179">
              <w:rPr>
                <w:rFonts w:cstheme="minorHAnsi"/>
                <w:szCs w:val="20"/>
              </w:rPr>
              <w:t>s</w:t>
            </w:r>
            <w:r w:rsidRPr="00475C8A">
              <w:rPr>
                <w:rFonts w:cstheme="minorHAnsi"/>
                <w:szCs w:val="20"/>
              </w:rPr>
              <w:t xml:space="preserve"> in day</w:t>
            </w:r>
            <w:r>
              <w:rPr>
                <w:rFonts w:cstheme="minorHAnsi"/>
                <w:szCs w:val="20"/>
              </w:rPr>
              <w:t xml:space="preserve"> </w:t>
            </w:r>
            <w:r w:rsidRPr="00475C8A">
              <w:rPr>
                <w:rFonts w:cstheme="minorHAnsi"/>
                <w:szCs w:val="20"/>
              </w:rPr>
              <w:t>lit zone</w:t>
            </w:r>
            <w:r>
              <w:rPr>
                <w:rFonts w:cstheme="minorHAnsi"/>
                <w:szCs w:val="20"/>
              </w:rPr>
              <w:t>s</w:t>
            </w:r>
          </w:p>
        </w:tc>
        <w:tc>
          <w:tcPr>
            <w:tcW w:w="2315" w:type="pct"/>
            <w:vAlign w:val="center"/>
          </w:tcPr>
          <w:p w:rsidR="008F2B17" w:rsidRPr="0008656B" w:rsidRDefault="008F2B17" w:rsidP="008F2B17">
            <w:pPr>
              <w:jc w:val="center"/>
              <w:rPr>
                <w:rFonts w:cstheme="minorHAnsi"/>
                <w:szCs w:val="20"/>
              </w:rPr>
            </w:pPr>
            <w:r>
              <w:rPr>
                <w:rFonts w:cstheme="minorHAnsi"/>
                <w:szCs w:val="20"/>
              </w:rPr>
              <w:t>160 kWh – 114 kWh = 46 kWh</w:t>
            </w:r>
          </w:p>
        </w:tc>
      </w:tr>
    </w:tbl>
    <w:p w:rsidR="008F2B17" w:rsidRDefault="008F2B17" w:rsidP="008F2B17">
      <w:pPr>
        <w:rPr>
          <w:rFonts w:cs="Arial"/>
          <w:szCs w:val="22"/>
        </w:rPr>
      </w:pPr>
    </w:p>
    <w:p w:rsidR="00BB0179" w:rsidRDefault="00BB0179">
      <w:pPr>
        <w:spacing w:after="200" w:line="276" w:lineRule="auto"/>
        <w:rPr>
          <w:rFonts w:ascii="Arial Narrow" w:hAnsi="Arial Narrow" w:cs="Arial"/>
          <w:b/>
          <w:bCs/>
          <w:iCs/>
          <w:smallCaps/>
          <w:sz w:val="28"/>
          <w:szCs w:val="28"/>
        </w:rPr>
      </w:pPr>
      <w:r>
        <w:br w:type="page"/>
      </w:r>
    </w:p>
    <w:p w:rsidR="002F7BA1" w:rsidRDefault="002F7BA1" w:rsidP="002F7BA1">
      <w:pPr>
        <w:pStyle w:val="Heading2"/>
      </w:pPr>
      <w:r>
        <w:lastRenderedPageBreak/>
        <w:t>Peak Demand Reduction</w:t>
      </w:r>
    </w:p>
    <w:p w:rsidR="00475C8A" w:rsidRDefault="00475C8A" w:rsidP="004B750E">
      <w:pPr>
        <w:pStyle w:val="Reminders"/>
        <w:rPr>
          <w:rFonts w:asciiTheme="minorHAnsi" w:hAnsiTheme="minorHAnsi" w:cstheme="minorHAnsi"/>
          <w:i w:val="0"/>
          <w:color w:val="auto"/>
          <w:szCs w:val="22"/>
        </w:rPr>
      </w:pPr>
      <w:r>
        <w:rPr>
          <w:rFonts w:asciiTheme="minorHAnsi" w:hAnsiTheme="minorHAnsi" w:cstheme="minorHAnsi"/>
          <w:i w:val="0"/>
          <w:color w:val="auto"/>
          <w:szCs w:val="22"/>
        </w:rPr>
        <w:t>The Peak Demand Reduction calculation is based on taking the difference between the existing f</w:t>
      </w:r>
      <w:r w:rsidRPr="00475C8A">
        <w:rPr>
          <w:rFonts w:asciiTheme="minorHAnsi" w:hAnsiTheme="minorHAnsi" w:cstheme="minorHAnsi"/>
          <w:i w:val="0"/>
          <w:color w:val="auto"/>
          <w:szCs w:val="22"/>
        </w:rPr>
        <w:t xml:space="preserve">our foot 2-lamp 2nd generation normal light output (NLO) F32T8 Linear Fluorescent fixture </w:t>
      </w:r>
      <w:r>
        <w:rPr>
          <w:rFonts w:asciiTheme="minorHAnsi" w:hAnsiTheme="minorHAnsi" w:cstheme="minorHAnsi"/>
          <w:i w:val="0"/>
          <w:color w:val="auto"/>
          <w:szCs w:val="22"/>
        </w:rPr>
        <w:t>with the new f</w:t>
      </w:r>
      <w:r w:rsidRPr="00475C8A">
        <w:rPr>
          <w:rFonts w:asciiTheme="minorHAnsi" w:hAnsiTheme="minorHAnsi" w:cstheme="minorHAnsi"/>
          <w:i w:val="0"/>
          <w:color w:val="auto"/>
          <w:szCs w:val="22"/>
        </w:rPr>
        <w:t>our foot 2-lamp LED External Driver Lamp-Style Retrofit Kit (UL Type C) fixture</w:t>
      </w:r>
      <w:r w:rsidR="00BB0179">
        <w:rPr>
          <w:rFonts w:asciiTheme="minorHAnsi" w:hAnsiTheme="minorHAnsi" w:cstheme="minorHAnsi"/>
          <w:i w:val="0"/>
          <w:color w:val="auto"/>
          <w:szCs w:val="22"/>
        </w:rPr>
        <w:t xml:space="preserve"> as shown in Table 15</w:t>
      </w:r>
      <w:r>
        <w:rPr>
          <w:rFonts w:asciiTheme="minorHAnsi" w:hAnsiTheme="minorHAnsi" w:cstheme="minorHAnsi"/>
          <w:i w:val="0"/>
          <w:color w:val="auto"/>
          <w:szCs w:val="22"/>
        </w:rPr>
        <w:t>.</w:t>
      </w:r>
      <w:r w:rsidRPr="00475C8A">
        <w:rPr>
          <w:rFonts w:asciiTheme="minorHAnsi" w:hAnsiTheme="minorHAnsi" w:cstheme="minorHAnsi"/>
          <w:i w:val="0"/>
          <w:color w:val="auto"/>
          <w:szCs w:val="22"/>
        </w:rPr>
        <w:t xml:space="preserve"> </w:t>
      </w:r>
    </w:p>
    <w:p w:rsidR="00475C8A" w:rsidRDefault="00475C8A" w:rsidP="00475C8A">
      <w:pPr>
        <w:jc w:val="center"/>
        <w:rPr>
          <w:b/>
        </w:rPr>
      </w:pPr>
    </w:p>
    <w:p w:rsidR="00475C8A" w:rsidRDefault="00475C8A" w:rsidP="00475C8A">
      <w:pPr>
        <w:jc w:val="center"/>
      </w:pPr>
      <w:r>
        <w:rPr>
          <w:b/>
        </w:rPr>
        <w:t xml:space="preserve">Table </w:t>
      </w:r>
      <w:r w:rsidR="00BB0179">
        <w:rPr>
          <w:b/>
        </w:rPr>
        <w:t>15</w:t>
      </w:r>
      <w:r>
        <w:rPr>
          <w:b/>
        </w:rPr>
        <w:t xml:space="preserve">. </w:t>
      </w:r>
      <w:r w:rsidRPr="00475C8A">
        <w:t>Measure and Base Wattage</w:t>
      </w:r>
    </w:p>
    <w:tbl>
      <w:tblPr>
        <w:tblStyle w:val="TableGrid1"/>
        <w:tblW w:w="3222" w:type="pct"/>
        <w:jc w:val="center"/>
        <w:tblLook w:val="01E0" w:firstRow="1" w:lastRow="1" w:firstColumn="1" w:lastColumn="1" w:noHBand="0" w:noVBand="0"/>
      </w:tblPr>
      <w:tblGrid>
        <w:gridCol w:w="3314"/>
        <w:gridCol w:w="2857"/>
      </w:tblGrid>
      <w:tr w:rsidR="00475C8A" w:rsidRPr="00500C4E" w:rsidTr="00475C8A">
        <w:trPr>
          <w:jc w:val="center"/>
        </w:trPr>
        <w:tc>
          <w:tcPr>
            <w:tcW w:w="2685" w:type="pct"/>
            <w:shd w:val="clear" w:color="auto" w:fill="D9D9D9" w:themeFill="background1" w:themeFillShade="D9"/>
          </w:tcPr>
          <w:p w:rsidR="00475C8A" w:rsidRPr="00920905" w:rsidRDefault="00475C8A" w:rsidP="00475C8A">
            <w:pPr>
              <w:jc w:val="center"/>
              <w:rPr>
                <w:rFonts w:cstheme="minorHAnsi"/>
                <w:b/>
                <w:szCs w:val="20"/>
              </w:rPr>
            </w:pPr>
            <w:r>
              <w:rPr>
                <w:rFonts w:cstheme="minorHAnsi"/>
                <w:b/>
                <w:szCs w:val="20"/>
              </w:rPr>
              <w:t>Technology</w:t>
            </w:r>
          </w:p>
        </w:tc>
        <w:tc>
          <w:tcPr>
            <w:tcW w:w="2315" w:type="pct"/>
            <w:shd w:val="clear" w:color="auto" w:fill="D9D9D9" w:themeFill="background1" w:themeFillShade="D9"/>
          </w:tcPr>
          <w:p w:rsidR="00475C8A" w:rsidRPr="00920905" w:rsidRDefault="00475C8A" w:rsidP="00475C8A">
            <w:pPr>
              <w:jc w:val="center"/>
              <w:rPr>
                <w:rFonts w:cstheme="minorHAnsi"/>
                <w:b/>
                <w:szCs w:val="20"/>
                <w:highlight w:val="yellow"/>
              </w:rPr>
            </w:pPr>
            <w:r>
              <w:rPr>
                <w:rFonts w:cstheme="minorHAnsi"/>
                <w:b/>
                <w:szCs w:val="20"/>
              </w:rPr>
              <w:t>Average Watts</w:t>
            </w:r>
          </w:p>
        </w:tc>
      </w:tr>
      <w:tr w:rsidR="00475C8A" w:rsidRPr="00500C4E" w:rsidTr="00475C8A">
        <w:trPr>
          <w:jc w:val="center"/>
        </w:trPr>
        <w:tc>
          <w:tcPr>
            <w:tcW w:w="2685" w:type="pct"/>
          </w:tcPr>
          <w:p w:rsidR="00475C8A" w:rsidRPr="00920905" w:rsidRDefault="00475C8A" w:rsidP="00051A38">
            <w:pPr>
              <w:rPr>
                <w:rFonts w:cstheme="minorHAnsi"/>
                <w:color w:val="FF0000"/>
                <w:szCs w:val="20"/>
              </w:rPr>
            </w:pPr>
            <w:r w:rsidRPr="00475C8A">
              <w:rPr>
                <w:rFonts w:cstheme="minorHAnsi"/>
                <w:szCs w:val="20"/>
              </w:rPr>
              <w:t>Four foot 2-lamp 2nd generation normal light output (NLO) F32T8 Linear Fluorescent fixture with bi-level control in non-</w:t>
            </w:r>
            <w:r w:rsidR="00540EA9" w:rsidRPr="00475C8A">
              <w:rPr>
                <w:rFonts w:cstheme="minorHAnsi"/>
                <w:szCs w:val="20"/>
              </w:rPr>
              <w:t>day</w:t>
            </w:r>
            <w:r w:rsidR="00051A38">
              <w:rPr>
                <w:rFonts w:cstheme="minorHAnsi"/>
                <w:szCs w:val="20"/>
              </w:rPr>
              <w:t xml:space="preserve"> </w:t>
            </w:r>
            <w:r w:rsidR="00540EA9" w:rsidRPr="00475C8A">
              <w:rPr>
                <w:rFonts w:cstheme="minorHAnsi"/>
                <w:szCs w:val="20"/>
              </w:rPr>
              <w:t>li</w:t>
            </w:r>
            <w:r w:rsidRPr="00475C8A">
              <w:rPr>
                <w:rFonts w:cstheme="minorHAnsi"/>
                <w:szCs w:val="20"/>
              </w:rPr>
              <w:t xml:space="preserve"> zone</w:t>
            </w:r>
          </w:p>
        </w:tc>
        <w:tc>
          <w:tcPr>
            <w:tcW w:w="2315" w:type="pct"/>
            <w:vAlign w:val="center"/>
          </w:tcPr>
          <w:p w:rsidR="00475C8A" w:rsidRPr="0008656B" w:rsidRDefault="00475C8A" w:rsidP="004B0444">
            <w:pPr>
              <w:jc w:val="center"/>
              <w:rPr>
                <w:rFonts w:cstheme="minorHAnsi"/>
                <w:szCs w:val="20"/>
              </w:rPr>
            </w:pPr>
            <w:r>
              <w:rPr>
                <w:rFonts w:cstheme="minorHAnsi"/>
                <w:szCs w:val="20"/>
              </w:rPr>
              <w:t>59</w:t>
            </w:r>
          </w:p>
        </w:tc>
      </w:tr>
      <w:tr w:rsidR="00475C8A" w:rsidRPr="00500C4E" w:rsidTr="00475C8A">
        <w:trPr>
          <w:jc w:val="center"/>
        </w:trPr>
        <w:tc>
          <w:tcPr>
            <w:tcW w:w="2685" w:type="pct"/>
          </w:tcPr>
          <w:p w:rsidR="00475C8A" w:rsidRPr="009D7E8D" w:rsidRDefault="00475C8A" w:rsidP="00051A38">
            <w:pPr>
              <w:rPr>
                <w:rFonts w:cstheme="minorHAnsi"/>
                <w:szCs w:val="20"/>
              </w:rPr>
            </w:pPr>
            <w:r w:rsidRPr="00475C8A">
              <w:rPr>
                <w:rFonts w:cstheme="minorHAnsi"/>
                <w:szCs w:val="20"/>
              </w:rPr>
              <w:t>Four foot 2-lamp LED External Driver Lamp-Style Retrofit Kit (UL Type C) fixture with bi-level control in non-</w:t>
            </w:r>
            <w:r w:rsidR="00540EA9" w:rsidRPr="00475C8A">
              <w:rPr>
                <w:rFonts w:cstheme="minorHAnsi"/>
                <w:szCs w:val="20"/>
              </w:rPr>
              <w:t>day</w:t>
            </w:r>
            <w:r w:rsidR="00051A38">
              <w:rPr>
                <w:rFonts w:cstheme="minorHAnsi"/>
                <w:szCs w:val="20"/>
              </w:rPr>
              <w:t xml:space="preserve"> </w:t>
            </w:r>
            <w:r w:rsidR="00540EA9" w:rsidRPr="00475C8A">
              <w:rPr>
                <w:rFonts w:cstheme="minorHAnsi"/>
                <w:szCs w:val="20"/>
              </w:rPr>
              <w:t>lit</w:t>
            </w:r>
            <w:r w:rsidRPr="00475C8A">
              <w:rPr>
                <w:rFonts w:cstheme="minorHAnsi"/>
                <w:szCs w:val="20"/>
              </w:rPr>
              <w:t xml:space="preserve"> zone</w:t>
            </w:r>
          </w:p>
        </w:tc>
        <w:tc>
          <w:tcPr>
            <w:tcW w:w="2315" w:type="pct"/>
            <w:vAlign w:val="center"/>
          </w:tcPr>
          <w:p w:rsidR="00475C8A" w:rsidRPr="0008656B" w:rsidRDefault="00475C8A" w:rsidP="004B0444">
            <w:pPr>
              <w:jc w:val="center"/>
              <w:rPr>
                <w:rFonts w:cstheme="minorHAnsi"/>
                <w:szCs w:val="20"/>
              </w:rPr>
            </w:pPr>
            <w:r>
              <w:rPr>
                <w:rFonts w:cstheme="minorHAnsi"/>
                <w:szCs w:val="20"/>
              </w:rPr>
              <w:t>42</w:t>
            </w:r>
          </w:p>
        </w:tc>
      </w:tr>
    </w:tbl>
    <w:p w:rsidR="004476B2" w:rsidRDefault="00D23770" w:rsidP="004B750E">
      <w:pPr>
        <w:pStyle w:val="Reminders"/>
        <w:rPr>
          <w:rFonts w:asciiTheme="minorHAnsi" w:hAnsiTheme="minorHAnsi" w:cstheme="minorHAnsi"/>
          <w:i w:val="0"/>
          <w:color w:val="auto"/>
          <w:szCs w:val="22"/>
        </w:rPr>
      </w:pPr>
      <w:r w:rsidRPr="00B01D8C">
        <w:rPr>
          <w:rFonts w:asciiTheme="minorHAnsi" w:hAnsiTheme="minorHAnsi" w:cstheme="minorHAnsi"/>
          <w:i w:val="0"/>
          <w:color w:val="auto"/>
          <w:szCs w:val="22"/>
        </w:rPr>
        <w:t xml:space="preserve">Demand reduction estimates must consider the DEER peak demand period, which is </w:t>
      </w:r>
      <w:r w:rsidR="004E297E" w:rsidRPr="00B01D8C">
        <w:rPr>
          <w:rFonts w:asciiTheme="minorHAnsi" w:hAnsiTheme="minorHAnsi" w:cstheme="minorHAnsi"/>
          <w:i w:val="0"/>
          <w:color w:val="auto"/>
          <w:szCs w:val="22"/>
        </w:rPr>
        <w:t>2:00</w:t>
      </w:r>
      <w:r w:rsidR="004B750E" w:rsidRPr="00B01D8C">
        <w:rPr>
          <w:rFonts w:asciiTheme="minorHAnsi" w:hAnsiTheme="minorHAnsi" w:cstheme="minorHAnsi"/>
          <w:i w:val="0"/>
          <w:color w:val="auto"/>
          <w:szCs w:val="22"/>
        </w:rPr>
        <w:t xml:space="preserve"> PM</w:t>
      </w:r>
      <w:r w:rsidR="004E297E" w:rsidRPr="00B01D8C">
        <w:rPr>
          <w:rFonts w:asciiTheme="minorHAnsi" w:hAnsiTheme="minorHAnsi" w:cstheme="minorHAnsi"/>
          <w:i w:val="0"/>
          <w:color w:val="auto"/>
          <w:szCs w:val="22"/>
        </w:rPr>
        <w:t xml:space="preserve"> to 5:00 </w:t>
      </w:r>
      <w:r w:rsidR="004B750E" w:rsidRPr="00B01D8C">
        <w:rPr>
          <w:rFonts w:asciiTheme="minorHAnsi" w:hAnsiTheme="minorHAnsi" w:cstheme="minorHAnsi"/>
          <w:i w:val="0"/>
          <w:color w:val="auto"/>
          <w:szCs w:val="22"/>
        </w:rPr>
        <w:t>PM</w:t>
      </w:r>
      <w:r w:rsidR="004B750E" w:rsidRPr="00B01D8C">
        <w:rPr>
          <w:rFonts w:asciiTheme="minorHAnsi" w:hAnsiTheme="minorHAnsi"/>
          <w:color w:val="auto"/>
        </w:rPr>
        <w:t xml:space="preserve"> </w:t>
      </w:r>
      <w:r w:rsidR="004B750E" w:rsidRPr="00B01D8C">
        <w:rPr>
          <w:rFonts w:asciiTheme="minorHAnsi" w:hAnsiTheme="minorHAnsi" w:cstheme="minorHAnsi"/>
          <w:i w:val="0"/>
          <w:color w:val="auto"/>
          <w:szCs w:val="22"/>
        </w:rPr>
        <w:t xml:space="preserve">during </w:t>
      </w:r>
      <w:r w:rsidRPr="00B01D8C">
        <w:rPr>
          <w:rFonts w:asciiTheme="minorHAnsi" w:hAnsiTheme="minorHAnsi" w:cstheme="minorHAnsi"/>
          <w:i w:val="0"/>
          <w:color w:val="auto"/>
          <w:szCs w:val="22"/>
        </w:rPr>
        <w:t xml:space="preserve">specific </w:t>
      </w:r>
      <w:r w:rsidR="004B750E" w:rsidRPr="00B01D8C">
        <w:rPr>
          <w:rFonts w:asciiTheme="minorHAnsi" w:hAnsiTheme="minorHAnsi" w:cstheme="minorHAnsi"/>
          <w:i w:val="0"/>
          <w:color w:val="auto"/>
          <w:szCs w:val="22"/>
        </w:rPr>
        <w:t>weekday period</w:t>
      </w:r>
      <w:r w:rsidRPr="00B01D8C">
        <w:rPr>
          <w:rFonts w:asciiTheme="minorHAnsi" w:hAnsiTheme="minorHAnsi" w:cstheme="minorHAnsi"/>
          <w:i w:val="0"/>
          <w:color w:val="auto"/>
          <w:szCs w:val="22"/>
        </w:rPr>
        <w:t>s and varies by climate zone</w:t>
      </w:r>
      <w:r w:rsidR="00E05A80" w:rsidRPr="00B01D8C">
        <w:rPr>
          <w:rFonts w:asciiTheme="minorHAnsi" w:hAnsiTheme="minorHAnsi" w:cstheme="minorHAnsi"/>
          <w:i w:val="0"/>
          <w:color w:val="auto"/>
          <w:szCs w:val="22"/>
        </w:rPr>
        <w:t>:</w:t>
      </w:r>
    </w:p>
    <w:p w:rsidR="00CC321D" w:rsidRPr="00B01D8C" w:rsidRDefault="00CC321D" w:rsidP="004B750E">
      <w:pPr>
        <w:pStyle w:val="Reminders"/>
        <w:rPr>
          <w:rFonts w:asciiTheme="minorHAnsi" w:hAnsiTheme="minorHAnsi" w:cstheme="minorHAnsi"/>
          <w:i w:val="0"/>
          <w:color w:val="auto"/>
          <w:szCs w:val="22"/>
        </w:rPr>
      </w:pPr>
    </w:p>
    <w:p w:rsidR="00BB0179" w:rsidRDefault="00BB0179" w:rsidP="00BB0179">
      <w:pPr>
        <w:jc w:val="center"/>
      </w:pPr>
      <w:r>
        <w:rPr>
          <w:b/>
        </w:rPr>
        <w:t xml:space="preserve">Table 16. </w:t>
      </w:r>
      <w:r>
        <w:t>DEER Peak Periods by Climate Zone</w:t>
      </w:r>
    </w:p>
    <w:tbl>
      <w:tblPr>
        <w:tblStyle w:val="TableGrid1"/>
        <w:tblW w:w="1680" w:type="pct"/>
        <w:jc w:val="center"/>
        <w:tblLook w:val="01E0" w:firstRow="1" w:lastRow="1" w:firstColumn="1" w:lastColumn="1" w:noHBand="0" w:noVBand="0"/>
      </w:tblPr>
      <w:tblGrid>
        <w:gridCol w:w="1425"/>
        <w:gridCol w:w="1793"/>
      </w:tblGrid>
      <w:tr w:rsidR="00523736" w:rsidRPr="00B01D8C" w:rsidTr="00920905">
        <w:trPr>
          <w:jc w:val="center"/>
        </w:trPr>
        <w:tc>
          <w:tcPr>
            <w:tcW w:w="2214" w:type="pct"/>
            <w:shd w:val="clear" w:color="auto" w:fill="D9D9D9" w:themeFill="background1" w:themeFillShade="D9"/>
          </w:tcPr>
          <w:p w:rsidR="00E05A80" w:rsidRPr="00B01D8C" w:rsidRDefault="00E05A80" w:rsidP="00BA2E7E">
            <w:pPr>
              <w:rPr>
                <w:rFonts w:cstheme="minorHAnsi"/>
                <w:b/>
                <w:szCs w:val="20"/>
                <w:highlight w:val="yellow"/>
              </w:rPr>
            </w:pPr>
            <w:r w:rsidRPr="00B01D8C">
              <w:rPr>
                <w:rFonts w:cstheme="minorHAnsi"/>
                <w:b/>
                <w:szCs w:val="20"/>
              </w:rPr>
              <w:t>Climate Zone</w:t>
            </w:r>
          </w:p>
        </w:tc>
        <w:tc>
          <w:tcPr>
            <w:tcW w:w="2786" w:type="pct"/>
            <w:shd w:val="clear" w:color="auto" w:fill="D9D9D9" w:themeFill="background1" w:themeFillShade="D9"/>
          </w:tcPr>
          <w:p w:rsidR="00E05A80" w:rsidRPr="00B01D8C" w:rsidRDefault="00E05A80" w:rsidP="00BA2E7E">
            <w:pPr>
              <w:rPr>
                <w:rFonts w:cstheme="minorHAnsi"/>
                <w:b/>
                <w:szCs w:val="20"/>
              </w:rPr>
            </w:pPr>
            <w:r w:rsidRPr="00B01D8C">
              <w:rPr>
                <w:rFonts w:cstheme="minorHAnsi"/>
                <w:b/>
                <w:szCs w:val="20"/>
              </w:rPr>
              <w:t>3-Weekday Period</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w:t>
            </w:r>
          </w:p>
        </w:tc>
        <w:tc>
          <w:tcPr>
            <w:tcW w:w="2786" w:type="pct"/>
          </w:tcPr>
          <w:p w:rsidR="00E05A80" w:rsidRPr="00B01D8C" w:rsidRDefault="00E05A80" w:rsidP="00BA2E7E">
            <w:pPr>
              <w:rPr>
                <w:rFonts w:cstheme="minorHAnsi"/>
                <w:szCs w:val="20"/>
              </w:rPr>
            </w:pPr>
            <w:r w:rsidRPr="00B01D8C">
              <w:rPr>
                <w:rFonts w:cstheme="minorHAnsi"/>
                <w:szCs w:val="20"/>
              </w:rPr>
              <w:t>Sep 16 – Sep 18</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2</w:t>
            </w:r>
          </w:p>
        </w:tc>
        <w:tc>
          <w:tcPr>
            <w:tcW w:w="2786" w:type="pct"/>
          </w:tcPr>
          <w:p w:rsidR="00E05A80" w:rsidRPr="00B01D8C" w:rsidRDefault="00E05A80" w:rsidP="00BA2E7E">
            <w:pPr>
              <w:rPr>
                <w:rFonts w:cstheme="minorHAnsi"/>
                <w:szCs w:val="20"/>
              </w:rPr>
            </w:pPr>
            <w:r w:rsidRPr="00B01D8C">
              <w:rPr>
                <w:rFonts w:cstheme="minorHAnsi"/>
                <w:szCs w:val="20"/>
              </w:rPr>
              <w:t>July 8 – July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3</w:t>
            </w:r>
          </w:p>
        </w:tc>
        <w:tc>
          <w:tcPr>
            <w:tcW w:w="2786" w:type="pct"/>
          </w:tcPr>
          <w:p w:rsidR="00E05A80" w:rsidRPr="00B01D8C" w:rsidRDefault="00E05A80" w:rsidP="00BA2E7E">
            <w:pPr>
              <w:rPr>
                <w:rFonts w:cstheme="minorHAnsi"/>
                <w:szCs w:val="20"/>
              </w:rPr>
            </w:pPr>
            <w:r w:rsidRPr="00B01D8C">
              <w:rPr>
                <w:rFonts w:cstheme="minorHAnsi"/>
                <w:szCs w:val="20"/>
              </w:rPr>
              <w:t>July 8 – July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4</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5</w:t>
            </w:r>
          </w:p>
        </w:tc>
        <w:tc>
          <w:tcPr>
            <w:tcW w:w="2786" w:type="pct"/>
          </w:tcPr>
          <w:p w:rsidR="00E05A80" w:rsidRPr="00B01D8C" w:rsidRDefault="00E05A80" w:rsidP="00BA2E7E">
            <w:r w:rsidRPr="00B01D8C">
              <w:rPr>
                <w:rFonts w:cstheme="minorHAnsi"/>
                <w:szCs w:val="20"/>
              </w:rPr>
              <w:t>Sep 8 – Sep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6</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7</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8</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9</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10</w:t>
            </w:r>
          </w:p>
        </w:tc>
        <w:tc>
          <w:tcPr>
            <w:tcW w:w="2786" w:type="pct"/>
          </w:tcPr>
          <w:p w:rsidR="00E05A80" w:rsidRPr="00B01D8C" w:rsidRDefault="00E05A80" w:rsidP="00BA2E7E">
            <w:r w:rsidRPr="00B01D8C">
              <w:rPr>
                <w:rFonts w:cstheme="minorHAnsi"/>
                <w:szCs w:val="20"/>
              </w:rPr>
              <w:t>Sep 1 – Sep 3</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11</w:t>
            </w:r>
          </w:p>
        </w:tc>
        <w:tc>
          <w:tcPr>
            <w:tcW w:w="2786" w:type="pct"/>
          </w:tcPr>
          <w:p w:rsidR="00E05A80" w:rsidRPr="00B01D8C" w:rsidRDefault="00E05A80" w:rsidP="00BA2E7E">
            <w:r w:rsidRPr="00B01D8C">
              <w:rPr>
                <w:rFonts w:cstheme="minorHAnsi"/>
                <w:szCs w:val="20"/>
              </w:rPr>
              <w:t>July 8 – July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12</w:t>
            </w:r>
          </w:p>
        </w:tc>
        <w:tc>
          <w:tcPr>
            <w:tcW w:w="2786" w:type="pct"/>
          </w:tcPr>
          <w:p w:rsidR="00E05A80" w:rsidRPr="00B01D8C" w:rsidRDefault="00E05A80" w:rsidP="00BA2E7E">
            <w:r w:rsidRPr="00B01D8C">
              <w:rPr>
                <w:rFonts w:cstheme="minorHAnsi"/>
                <w:szCs w:val="20"/>
              </w:rPr>
              <w:t>July 8 – July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13</w:t>
            </w:r>
          </w:p>
        </w:tc>
        <w:tc>
          <w:tcPr>
            <w:tcW w:w="2786" w:type="pct"/>
          </w:tcPr>
          <w:p w:rsidR="00E05A80" w:rsidRPr="00B01D8C" w:rsidRDefault="00E05A80" w:rsidP="00BA2E7E">
            <w:r w:rsidRPr="00B01D8C">
              <w:rPr>
                <w:rFonts w:cstheme="minorHAnsi"/>
                <w:szCs w:val="20"/>
              </w:rPr>
              <w:t>July 8 – July 10</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14</w:t>
            </w:r>
          </w:p>
        </w:tc>
        <w:tc>
          <w:tcPr>
            <w:tcW w:w="2786" w:type="pct"/>
          </w:tcPr>
          <w:p w:rsidR="00E05A80" w:rsidRPr="00B01D8C" w:rsidRDefault="00E05A80" w:rsidP="00BA2E7E">
            <w:r w:rsidRPr="00B01D8C">
              <w:rPr>
                <w:rFonts w:cstheme="minorHAnsi"/>
                <w:szCs w:val="20"/>
              </w:rPr>
              <w:t>Aug 26 – Aug 28</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15</w:t>
            </w:r>
          </w:p>
        </w:tc>
        <w:tc>
          <w:tcPr>
            <w:tcW w:w="2786" w:type="pct"/>
          </w:tcPr>
          <w:p w:rsidR="00E05A80" w:rsidRPr="00B01D8C" w:rsidRDefault="00E05A80" w:rsidP="00BA2E7E">
            <w:r w:rsidRPr="00B01D8C">
              <w:rPr>
                <w:rFonts w:cstheme="minorHAnsi"/>
                <w:szCs w:val="20"/>
              </w:rPr>
              <w:t>Aug 25 – Aug 27</w:t>
            </w:r>
          </w:p>
        </w:tc>
      </w:tr>
      <w:tr w:rsidR="00523736" w:rsidRPr="00B01D8C" w:rsidTr="00920905">
        <w:trPr>
          <w:jc w:val="center"/>
        </w:trPr>
        <w:tc>
          <w:tcPr>
            <w:tcW w:w="2214" w:type="pct"/>
          </w:tcPr>
          <w:p w:rsidR="00E05A80" w:rsidRPr="00B01D8C" w:rsidRDefault="00E05A80" w:rsidP="00BA2E7E">
            <w:pPr>
              <w:rPr>
                <w:rFonts w:cstheme="minorHAnsi"/>
                <w:szCs w:val="20"/>
              </w:rPr>
            </w:pPr>
            <w:r w:rsidRPr="00B01D8C">
              <w:rPr>
                <w:rFonts w:cstheme="minorHAnsi"/>
                <w:szCs w:val="20"/>
              </w:rPr>
              <w:t>16</w:t>
            </w:r>
          </w:p>
        </w:tc>
        <w:tc>
          <w:tcPr>
            <w:tcW w:w="2786" w:type="pct"/>
          </w:tcPr>
          <w:p w:rsidR="00E05A80" w:rsidRPr="00B01D8C" w:rsidRDefault="00E05A80" w:rsidP="00BA2E7E">
            <w:r w:rsidRPr="00B01D8C">
              <w:rPr>
                <w:rFonts w:cstheme="minorHAnsi"/>
                <w:szCs w:val="20"/>
              </w:rPr>
              <w:t>July 8 – July 10</w:t>
            </w:r>
          </w:p>
        </w:tc>
      </w:tr>
    </w:tbl>
    <w:p w:rsidR="00475C8A" w:rsidRDefault="00475C8A" w:rsidP="00F65DE4">
      <w:pPr>
        <w:rPr>
          <w:rFonts w:ascii="Arial" w:hAnsi="Arial" w:cs="Arial"/>
          <w:b/>
          <w:sz w:val="20"/>
          <w:szCs w:val="20"/>
        </w:rPr>
      </w:pPr>
      <w:bookmarkStart w:id="22" w:name="_Toc214003093"/>
    </w:p>
    <w:p w:rsidR="003936E0" w:rsidRPr="00BB0179" w:rsidRDefault="00475C8A" w:rsidP="00475C8A">
      <w:pPr>
        <w:rPr>
          <w:rFonts w:cs="Arial"/>
          <w:szCs w:val="22"/>
        </w:rPr>
      </w:pPr>
      <w:r w:rsidRPr="00BB0179">
        <w:rPr>
          <w:rFonts w:cs="Arial"/>
          <w:szCs w:val="22"/>
        </w:rPr>
        <w:t xml:space="preserve">Based on the 2012 ETAP report (page 33), the report indicated that </w:t>
      </w:r>
    </w:p>
    <w:p w:rsidR="003936E0" w:rsidRPr="00BB0179" w:rsidRDefault="003936E0" w:rsidP="00475C8A">
      <w:pPr>
        <w:rPr>
          <w:rFonts w:cs="Arial"/>
          <w:szCs w:val="22"/>
        </w:rPr>
      </w:pPr>
    </w:p>
    <w:p w:rsidR="00475C8A" w:rsidRPr="00BB0179" w:rsidRDefault="00475C8A" w:rsidP="003936E0">
      <w:pPr>
        <w:ind w:left="720"/>
        <w:rPr>
          <w:rFonts w:cs="Arial"/>
          <w:szCs w:val="22"/>
        </w:rPr>
      </w:pPr>
      <w:r w:rsidRPr="00BB0179">
        <w:rPr>
          <w:rFonts w:cs="Arial"/>
          <w:szCs w:val="22"/>
        </w:rPr>
        <w:t>“</w:t>
      </w:r>
      <w:r w:rsidRPr="00BB0179">
        <w:rPr>
          <w:rFonts w:cs="Arial"/>
          <w:i/>
          <w:szCs w:val="22"/>
        </w:rPr>
        <w:t>during peak hours (Mon-Fri, 2-5pm), bi-level fixtures in garages were in low-power mode an average of 38% of the time. For 70% of monitored garages, the average time that sampled fixtures were in low-power mode was above 50%. The maximum that any garage's sampled fixtures spent in low power mode was 87%, while the minimum was 25%.</w:t>
      </w:r>
      <w:r w:rsidRPr="00BB0179">
        <w:rPr>
          <w:rFonts w:cs="Arial"/>
          <w:szCs w:val="22"/>
        </w:rPr>
        <w:t>”</w:t>
      </w:r>
    </w:p>
    <w:p w:rsidR="00475C8A" w:rsidRDefault="00475C8A" w:rsidP="00475C8A">
      <w:pPr>
        <w:rPr>
          <w:rFonts w:ascii="Arial" w:hAnsi="Arial" w:cs="Arial"/>
          <w:sz w:val="20"/>
          <w:szCs w:val="20"/>
        </w:rPr>
      </w:pPr>
    </w:p>
    <w:p w:rsidR="00475C8A" w:rsidRPr="00051A38" w:rsidRDefault="00475C8A" w:rsidP="00475C8A">
      <w:pPr>
        <w:rPr>
          <w:rFonts w:cs="Arial"/>
          <w:szCs w:val="22"/>
        </w:rPr>
      </w:pPr>
      <w:r w:rsidRPr="00051A38">
        <w:rPr>
          <w:rFonts w:cs="Arial"/>
          <w:szCs w:val="22"/>
        </w:rPr>
        <w:t>Based on this information</w:t>
      </w:r>
      <w:r w:rsidR="003936E0" w:rsidRPr="00051A38">
        <w:rPr>
          <w:rFonts w:cs="Arial"/>
          <w:szCs w:val="22"/>
        </w:rPr>
        <w:t xml:space="preserve"> the peak demand reduction </w:t>
      </w:r>
      <w:r w:rsidR="0002248B" w:rsidRPr="00051A38">
        <w:rPr>
          <w:rFonts w:cs="Arial"/>
          <w:szCs w:val="22"/>
        </w:rPr>
        <w:t>for non-</w:t>
      </w:r>
      <w:r w:rsidR="00540EA9" w:rsidRPr="00051A38">
        <w:rPr>
          <w:rFonts w:cs="Arial"/>
          <w:szCs w:val="22"/>
        </w:rPr>
        <w:t>day</w:t>
      </w:r>
      <w:r w:rsidR="00051A38" w:rsidRPr="00051A38">
        <w:rPr>
          <w:rFonts w:cs="Arial"/>
          <w:szCs w:val="22"/>
        </w:rPr>
        <w:t xml:space="preserve"> </w:t>
      </w:r>
      <w:r w:rsidR="00540EA9" w:rsidRPr="00051A38">
        <w:rPr>
          <w:rFonts w:cs="Arial"/>
          <w:szCs w:val="22"/>
        </w:rPr>
        <w:t>lit</w:t>
      </w:r>
      <w:r w:rsidR="0002248B" w:rsidRPr="00051A38">
        <w:rPr>
          <w:rFonts w:cs="Arial"/>
          <w:szCs w:val="22"/>
        </w:rPr>
        <w:t xml:space="preserve"> zones w</w:t>
      </w:r>
      <w:r w:rsidR="003936E0" w:rsidRPr="00051A38">
        <w:rPr>
          <w:rFonts w:cs="Arial"/>
          <w:szCs w:val="22"/>
        </w:rPr>
        <w:t>as calculated as follows:</w:t>
      </w:r>
      <w:r w:rsidRPr="00051A38">
        <w:rPr>
          <w:rFonts w:cs="Arial"/>
          <w:szCs w:val="22"/>
        </w:rPr>
        <w:t xml:space="preserve"> </w:t>
      </w:r>
    </w:p>
    <w:p w:rsidR="003936E0" w:rsidRPr="00051A38" w:rsidRDefault="003936E0" w:rsidP="00475C8A">
      <w:pPr>
        <w:rPr>
          <w:rFonts w:cs="Arial"/>
          <w:szCs w:val="22"/>
        </w:rPr>
      </w:pPr>
    </w:p>
    <w:p w:rsidR="00BB0179" w:rsidRDefault="00BB0179" w:rsidP="003936E0">
      <w:pPr>
        <w:rPr>
          <w:rFonts w:cs="Arial"/>
          <w:b/>
          <w:szCs w:val="22"/>
        </w:rPr>
      </w:pPr>
    </w:p>
    <w:p w:rsidR="003936E0" w:rsidRPr="00051A38" w:rsidRDefault="003936E0" w:rsidP="003936E0">
      <w:pPr>
        <w:rPr>
          <w:rFonts w:cs="Arial"/>
          <w:b/>
          <w:szCs w:val="22"/>
        </w:rPr>
      </w:pPr>
      <w:r w:rsidRPr="00051A38">
        <w:rPr>
          <w:rFonts w:cs="Arial"/>
          <w:b/>
          <w:szCs w:val="22"/>
        </w:rPr>
        <w:lastRenderedPageBreak/>
        <w:t>Peak Demand Reduction:</w:t>
      </w:r>
    </w:p>
    <w:p w:rsidR="003936E0" w:rsidRPr="00051A38" w:rsidRDefault="003936E0" w:rsidP="003936E0">
      <w:pPr>
        <w:rPr>
          <w:rFonts w:cs="Arial"/>
          <w:szCs w:val="22"/>
        </w:rPr>
      </w:pPr>
      <w:r w:rsidRPr="00051A38">
        <w:rPr>
          <w:rFonts w:cs="Arial"/>
          <w:szCs w:val="22"/>
        </w:rPr>
        <w:t>Peak Demand Reduction [kW] = (∆kW) x (Lighting Coincident Demand Factor) x (Power Mode)</w:t>
      </w:r>
    </w:p>
    <w:p w:rsidR="003936E0" w:rsidRPr="00051A38" w:rsidRDefault="003936E0" w:rsidP="00475C8A">
      <w:pPr>
        <w:rPr>
          <w:rFonts w:cs="Arial"/>
          <w:szCs w:val="22"/>
        </w:rPr>
      </w:pPr>
    </w:p>
    <w:p w:rsidR="003936E0" w:rsidRPr="00051A38" w:rsidRDefault="003936E0" w:rsidP="003936E0">
      <w:pPr>
        <w:jc w:val="center"/>
        <w:rPr>
          <w:rFonts w:cs="Arial"/>
          <w:szCs w:val="22"/>
        </w:rPr>
      </w:pPr>
      <w:r w:rsidRPr="00051A38">
        <w:rPr>
          <w:rFonts w:cs="Arial"/>
          <w:szCs w:val="22"/>
        </w:rPr>
        <w:t>[(0.059 kW- 0.042 kW) (0.38) (0.5)] + [(0.059 kW- 0.042 kW</w:t>
      </w:r>
      <w:r w:rsidR="00540EA9" w:rsidRPr="00051A38">
        <w:rPr>
          <w:rFonts w:cs="Arial"/>
          <w:szCs w:val="22"/>
        </w:rPr>
        <w:t>) (</w:t>
      </w:r>
      <w:r w:rsidRPr="00051A38">
        <w:rPr>
          <w:rFonts w:cs="Arial"/>
          <w:szCs w:val="22"/>
        </w:rPr>
        <w:t>0.62) (1)] = 0.01377 kW</w:t>
      </w:r>
    </w:p>
    <w:p w:rsidR="003936E0" w:rsidRDefault="003936E0" w:rsidP="003936E0">
      <w:pPr>
        <w:jc w:val="center"/>
        <w:rPr>
          <w:rFonts w:cs="Arial"/>
          <w:szCs w:val="22"/>
        </w:rPr>
      </w:pPr>
      <w:r w:rsidRPr="00051A38">
        <w:rPr>
          <w:rFonts w:cs="Arial"/>
          <w:b/>
          <w:szCs w:val="22"/>
        </w:rPr>
        <w:t>Eq</w:t>
      </w:r>
      <w:r w:rsidR="0002248B" w:rsidRPr="00051A38">
        <w:rPr>
          <w:rFonts w:cs="Arial"/>
          <w:b/>
          <w:szCs w:val="22"/>
        </w:rPr>
        <w:t>uation 5</w:t>
      </w:r>
      <w:r w:rsidRPr="00051A38">
        <w:rPr>
          <w:rFonts w:cs="Arial"/>
          <w:b/>
          <w:szCs w:val="22"/>
        </w:rPr>
        <w:t>.</w:t>
      </w:r>
      <w:r w:rsidRPr="00051A38">
        <w:rPr>
          <w:rFonts w:cs="Arial"/>
          <w:szCs w:val="22"/>
        </w:rPr>
        <w:t xml:space="preserve"> </w:t>
      </w:r>
      <w:r w:rsidR="0002248B" w:rsidRPr="00051A38">
        <w:rPr>
          <w:rFonts w:cs="Arial"/>
          <w:szCs w:val="22"/>
        </w:rPr>
        <w:t xml:space="preserve">Peak Demand Reduction </w:t>
      </w:r>
      <w:r w:rsidRPr="00051A38">
        <w:rPr>
          <w:rFonts w:cs="Arial"/>
          <w:szCs w:val="22"/>
        </w:rPr>
        <w:t>in non-</w:t>
      </w:r>
      <w:r w:rsidR="00540EA9" w:rsidRPr="00051A38">
        <w:rPr>
          <w:rFonts w:cs="Arial"/>
          <w:szCs w:val="22"/>
        </w:rPr>
        <w:t>day</w:t>
      </w:r>
      <w:r w:rsidR="00051A38">
        <w:rPr>
          <w:rFonts w:cs="Arial"/>
          <w:szCs w:val="22"/>
        </w:rPr>
        <w:t xml:space="preserve"> </w:t>
      </w:r>
      <w:r w:rsidR="00540EA9" w:rsidRPr="00051A38">
        <w:rPr>
          <w:rFonts w:cs="Arial"/>
          <w:szCs w:val="22"/>
        </w:rPr>
        <w:t>lit</w:t>
      </w:r>
      <w:r w:rsidRPr="00051A38">
        <w:rPr>
          <w:rFonts w:cs="Arial"/>
          <w:szCs w:val="22"/>
        </w:rPr>
        <w:t xml:space="preserve"> zones</w:t>
      </w:r>
    </w:p>
    <w:p w:rsidR="0002248B" w:rsidRDefault="0002248B" w:rsidP="0002248B">
      <w:pPr>
        <w:autoSpaceDE w:val="0"/>
        <w:autoSpaceDN w:val="0"/>
        <w:adjustRightInd w:val="0"/>
        <w:rPr>
          <w:rFonts w:ascii="Calibri" w:eastAsiaTheme="minorHAnsi" w:hAnsi="Calibri" w:cs="Calibri"/>
          <w:szCs w:val="22"/>
        </w:rPr>
      </w:pPr>
    </w:p>
    <w:p w:rsidR="003936E0" w:rsidRDefault="0002248B" w:rsidP="00202E78">
      <w:pPr>
        <w:autoSpaceDE w:val="0"/>
        <w:autoSpaceDN w:val="0"/>
        <w:adjustRightInd w:val="0"/>
        <w:rPr>
          <w:rFonts w:ascii="Calibri" w:eastAsiaTheme="minorHAnsi" w:hAnsi="Calibri" w:cs="Calibri"/>
          <w:szCs w:val="22"/>
        </w:rPr>
      </w:pPr>
      <w:r w:rsidRPr="00BB0179">
        <w:rPr>
          <w:rFonts w:ascii="Calibri" w:eastAsiaTheme="minorHAnsi" w:hAnsi="Calibri" w:cs="Calibri"/>
          <w:szCs w:val="22"/>
        </w:rPr>
        <w:t xml:space="preserve">Based on the 2012 ETAP Report (page 35), the report indicated </w:t>
      </w:r>
      <w:r w:rsidR="00202E78" w:rsidRPr="00BB0179">
        <w:rPr>
          <w:rFonts w:ascii="Calibri" w:eastAsiaTheme="minorHAnsi" w:hAnsi="Calibri" w:cs="Calibri"/>
          <w:i/>
          <w:szCs w:val="22"/>
        </w:rPr>
        <w:t xml:space="preserve">while the majority of parking garage fixtures are on 24/7, some fixtures are photocell controlled and do not operate during daylight hours. </w:t>
      </w:r>
      <w:r w:rsidR="00202E78" w:rsidRPr="00BB0179">
        <w:rPr>
          <w:rFonts w:ascii="Calibri" w:eastAsiaTheme="minorHAnsi" w:hAnsi="Calibri" w:cs="Calibri"/>
          <w:szCs w:val="22"/>
        </w:rPr>
        <w:t xml:space="preserve">Therefore, it is assumed that fixtures with bi-level controls in day lit zones only operated between the hours of 7PM and 7AM and </w:t>
      </w:r>
      <w:r w:rsidR="00BB0179">
        <w:rPr>
          <w:rFonts w:ascii="Calibri" w:eastAsiaTheme="minorHAnsi" w:hAnsi="Calibri" w:cs="Calibri"/>
          <w:szCs w:val="22"/>
        </w:rPr>
        <w:t>with</w:t>
      </w:r>
      <w:r w:rsidR="00202E78" w:rsidRPr="00BB0179">
        <w:rPr>
          <w:rFonts w:ascii="Calibri" w:eastAsiaTheme="minorHAnsi" w:hAnsi="Calibri" w:cs="Calibri"/>
          <w:szCs w:val="22"/>
        </w:rPr>
        <w:t xml:space="preserve"> </w:t>
      </w:r>
      <w:r w:rsidR="00BB0179">
        <w:rPr>
          <w:rFonts w:ascii="Calibri" w:eastAsiaTheme="minorHAnsi" w:hAnsi="Calibri" w:cs="Calibri"/>
          <w:szCs w:val="22"/>
        </w:rPr>
        <w:t>zero</w:t>
      </w:r>
      <w:r w:rsidR="00202E78" w:rsidRPr="00BB0179">
        <w:rPr>
          <w:rFonts w:ascii="Calibri" w:eastAsiaTheme="minorHAnsi" w:hAnsi="Calibri" w:cs="Calibri"/>
          <w:szCs w:val="22"/>
        </w:rPr>
        <w:t xml:space="preserve"> peak demand reduction savings</w:t>
      </w:r>
      <w:r w:rsidR="00202E78" w:rsidRPr="00BB0179">
        <w:rPr>
          <w:rFonts w:ascii="Calibri" w:eastAsiaTheme="minorHAnsi" w:hAnsi="Calibri" w:cs="Calibri"/>
          <w:i/>
          <w:szCs w:val="22"/>
        </w:rPr>
        <w:t>.</w:t>
      </w:r>
    </w:p>
    <w:p w:rsidR="00E16609" w:rsidRPr="00500C4E" w:rsidRDefault="0002248B" w:rsidP="00E16609">
      <w:pPr>
        <w:pStyle w:val="Heading1"/>
        <w:keepNext w:val="0"/>
        <w:rPr>
          <w:rFonts w:cstheme="minorHAnsi"/>
        </w:rPr>
      </w:pPr>
      <w:r>
        <w:rPr>
          <w:rFonts w:cstheme="minorHAnsi"/>
        </w:rPr>
        <w:t>S</w:t>
      </w:r>
      <w:r w:rsidR="00E16609" w:rsidRPr="00500C4E">
        <w:rPr>
          <w:rFonts w:cstheme="minorHAnsi"/>
        </w:rPr>
        <w:t>ection 3</w:t>
      </w:r>
      <w:r w:rsidR="00317970">
        <w:rPr>
          <w:rFonts w:cstheme="minorHAnsi"/>
        </w:rPr>
        <w:t>.</w:t>
      </w:r>
      <w:r w:rsidR="00317970" w:rsidRPr="00500C4E">
        <w:rPr>
          <w:rFonts w:cstheme="minorHAnsi"/>
        </w:rPr>
        <w:t xml:space="preserve"> </w:t>
      </w:r>
      <w:r w:rsidR="00E16609" w:rsidRPr="00500C4E">
        <w:rPr>
          <w:rFonts w:cstheme="minorHAnsi"/>
        </w:rPr>
        <w:t>Load Shape</w:t>
      </w:r>
      <w:bookmarkEnd w:id="22"/>
      <w:r w:rsidR="00E16609" w:rsidRPr="00500C4E">
        <w:rPr>
          <w:rFonts w:cstheme="minorHAnsi"/>
        </w:rPr>
        <w:t>s</w:t>
      </w:r>
    </w:p>
    <w:p w:rsidR="000173BF" w:rsidRDefault="008F2167" w:rsidP="00E16609">
      <w:pPr>
        <w:rPr>
          <w:rFonts w:cstheme="minorHAnsi"/>
          <w:szCs w:val="22"/>
        </w:rPr>
      </w:pPr>
      <w:r w:rsidRPr="00500C4E">
        <w:rPr>
          <w:rFonts w:cstheme="minorHAnsi"/>
          <w:szCs w:val="22"/>
        </w:rPr>
        <w:t xml:space="preserve">The ideal load shape net benefits estimates would represent the difference between the base case and measure case. </w:t>
      </w:r>
      <w:r w:rsidR="00263C1C" w:rsidRPr="00500C4E">
        <w:rPr>
          <w:rFonts w:cstheme="minorHAnsi"/>
          <w:szCs w:val="22"/>
        </w:rPr>
        <w:t>T</w:t>
      </w:r>
      <w:r w:rsidRPr="00500C4E">
        <w:rPr>
          <w:rFonts w:cstheme="minorHAnsi"/>
          <w:szCs w:val="22"/>
        </w:rPr>
        <w:t xml:space="preserve">he closest </w:t>
      </w:r>
      <w:r w:rsidR="000173BF" w:rsidRPr="00500C4E">
        <w:rPr>
          <w:rFonts w:cstheme="minorHAnsi"/>
          <w:szCs w:val="22"/>
        </w:rPr>
        <w:t>load shapes that are applicable to the measures in this work paper are</w:t>
      </w:r>
      <w:r w:rsidR="00E16609" w:rsidRPr="00500C4E">
        <w:rPr>
          <w:rFonts w:cstheme="minorHAnsi"/>
          <w:szCs w:val="22"/>
        </w:rPr>
        <w:t xml:space="preserve"> </w:t>
      </w:r>
      <w:r w:rsidR="000173BF" w:rsidRPr="00500C4E">
        <w:rPr>
          <w:rFonts w:cstheme="minorHAnsi"/>
          <w:szCs w:val="22"/>
        </w:rPr>
        <w:t>listed in the table below.</w:t>
      </w:r>
    </w:p>
    <w:p w:rsidR="00A54FF8" w:rsidRDefault="00A54FF8" w:rsidP="00E16609">
      <w:pPr>
        <w:rPr>
          <w:rFonts w:cstheme="minorHAnsi"/>
          <w:szCs w:val="22"/>
        </w:rPr>
      </w:pPr>
    </w:p>
    <w:p w:rsidR="00A54FF8" w:rsidRDefault="00A54FF8" w:rsidP="00A54FF8">
      <w:pPr>
        <w:rPr>
          <w:rFonts w:cstheme="minorHAnsi"/>
          <w:szCs w:val="22"/>
        </w:rPr>
      </w:pPr>
      <w:r w:rsidRPr="00500C4E">
        <w:rPr>
          <w:rFonts w:cstheme="minorHAnsi"/>
          <w:szCs w:val="22"/>
        </w:rPr>
        <w:t>The ideal load shape for net benefits estimates would represent the difference between the base case and measure case. The closest load shapes that are applicable to the measures in this work paper are listed in the table below.</w:t>
      </w:r>
    </w:p>
    <w:p w:rsidR="00A54FF8" w:rsidRPr="00500C4E" w:rsidRDefault="00A54FF8" w:rsidP="00A54FF8">
      <w:pPr>
        <w:rPr>
          <w:rFonts w:cstheme="minorHAnsi"/>
          <w:szCs w:val="22"/>
        </w:rPr>
      </w:pPr>
    </w:p>
    <w:p w:rsidR="00A54FF8" w:rsidRPr="00500C4E" w:rsidRDefault="00F25659" w:rsidP="00A54FF8">
      <w:pPr>
        <w:pStyle w:val="Caption"/>
        <w:jc w:val="center"/>
        <w:rPr>
          <w:rFonts w:cstheme="minorHAnsi"/>
          <w:b w:val="0"/>
          <w:szCs w:val="22"/>
        </w:rPr>
      </w:pPr>
      <w:r>
        <w:rPr>
          <w:rFonts w:cstheme="minorHAnsi"/>
          <w:szCs w:val="22"/>
        </w:rPr>
        <w:t xml:space="preserve">Table 17. </w:t>
      </w:r>
      <w:r w:rsidR="00A54FF8" w:rsidRPr="00F25659">
        <w:rPr>
          <w:rFonts w:cstheme="minorHAnsi"/>
          <w:b w:val="0"/>
          <w:szCs w:val="22"/>
        </w:rPr>
        <w:t>Building Types and Load Shapes</w:t>
      </w:r>
    </w:p>
    <w:tbl>
      <w:tblPr>
        <w:tblStyle w:val="TableGrid1"/>
        <w:tblW w:w="5000" w:type="pct"/>
        <w:tblLook w:val="01E0" w:firstRow="1" w:lastRow="1" w:firstColumn="1" w:lastColumn="1" w:noHBand="0" w:noVBand="0"/>
      </w:tblPr>
      <w:tblGrid>
        <w:gridCol w:w="3681"/>
        <w:gridCol w:w="2955"/>
        <w:gridCol w:w="2940"/>
      </w:tblGrid>
      <w:tr w:rsidR="00A54FF8" w:rsidRPr="00500C4E" w:rsidTr="008F4F3C">
        <w:tc>
          <w:tcPr>
            <w:tcW w:w="1922" w:type="pct"/>
            <w:shd w:val="clear" w:color="auto" w:fill="D9D9D9" w:themeFill="background1" w:themeFillShade="D9"/>
          </w:tcPr>
          <w:p w:rsidR="00A54FF8" w:rsidRPr="00920905" w:rsidRDefault="00A54FF8" w:rsidP="008F4F3C">
            <w:pPr>
              <w:rPr>
                <w:rFonts w:cstheme="minorHAnsi"/>
                <w:b/>
                <w:szCs w:val="20"/>
                <w:highlight w:val="yellow"/>
              </w:rPr>
            </w:pPr>
            <w:r w:rsidRPr="00920905">
              <w:rPr>
                <w:rFonts w:cstheme="minorHAnsi"/>
                <w:b/>
                <w:szCs w:val="20"/>
              </w:rPr>
              <w:t>Building Type</w:t>
            </w:r>
          </w:p>
        </w:tc>
        <w:tc>
          <w:tcPr>
            <w:tcW w:w="1543" w:type="pct"/>
            <w:shd w:val="clear" w:color="auto" w:fill="D9D9D9" w:themeFill="background1" w:themeFillShade="D9"/>
          </w:tcPr>
          <w:p w:rsidR="00A54FF8" w:rsidRPr="00920905" w:rsidRDefault="00A54FF8" w:rsidP="008F4F3C">
            <w:pPr>
              <w:rPr>
                <w:rFonts w:cstheme="minorHAnsi"/>
                <w:b/>
                <w:szCs w:val="20"/>
              </w:rPr>
            </w:pPr>
            <w:r w:rsidRPr="00920905">
              <w:rPr>
                <w:rFonts w:cstheme="minorHAnsi"/>
                <w:b/>
                <w:szCs w:val="20"/>
              </w:rPr>
              <w:t>Load Shape</w:t>
            </w:r>
          </w:p>
        </w:tc>
        <w:tc>
          <w:tcPr>
            <w:tcW w:w="1535" w:type="pct"/>
            <w:shd w:val="clear" w:color="auto" w:fill="D9D9D9" w:themeFill="background1" w:themeFillShade="D9"/>
          </w:tcPr>
          <w:p w:rsidR="00A54FF8" w:rsidRPr="00920905" w:rsidRDefault="00A54FF8" w:rsidP="008F4F3C">
            <w:pPr>
              <w:rPr>
                <w:rFonts w:cstheme="minorHAnsi"/>
                <w:b/>
                <w:szCs w:val="20"/>
                <w:highlight w:val="yellow"/>
              </w:rPr>
            </w:pPr>
            <w:r w:rsidRPr="00920905">
              <w:rPr>
                <w:rFonts w:cstheme="minorHAnsi"/>
                <w:b/>
                <w:szCs w:val="20"/>
              </w:rPr>
              <w:t>E3 Alt</w:t>
            </w:r>
            <w:r>
              <w:rPr>
                <w:rFonts w:cstheme="minorHAnsi"/>
                <w:b/>
                <w:szCs w:val="20"/>
              </w:rPr>
              <w:t>ernate</w:t>
            </w:r>
            <w:r w:rsidRPr="00920905">
              <w:rPr>
                <w:rFonts w:cstheme="minorHAnsi"/>
                <w:b/>
                <w:szCs w:val="20"/>
              </w:rPr>
              <w:t xml:space="preserve"> Building Type</w:t>
            </w:r>
          </w:p>
        </w:tc>
      </w:tr>
      <w:tr w:rsidR="00A54FF8" w:rsidRPr="00500C4E" w:rsidTr="008F4F3C">
        <w:tc>
          <w:tcPr>
            <w:tcW w:w="1922" w:type="pct"/>
            <w:vAlign w:val="bottom"/>
          </w:tcPr>
          <w:p w:rsidR="00A54FF8" w:rsidRPr="00920905" w:rsidRDefault="00A54FF8" w:rsidP="008F4F3C">
            <w:pPr>
              <w:rPr>
                <w:rFonts w:cstheme="minorHAnsi"/>
                <w:color w:val="FF0000"/>
                <w:szCs w:val="20"/>
              </w:rPr>
            </w:pPr>
            <w:r w:rsidRPr="00033E17">
              <w:rPr>
                <w:szCs w:val="20"/>
              </w:rPr>
              <w:t>Education - Community College</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bottom"/>
          </w:tcPr>
          <w:p w:rsidR="00A54FF8" w:rsidRPr="00920905" w:rsidRDefault="00A54FF8" w:rsidP="008F4F3C">
            <w:pPr>
              <w:rPr>
                <w:rFonts w:cstheme="minorHAnsi"/>
                <w:color w:val="FF0000"/>
                <w:szCs w:val="20"/>
              </w:rPr>
            </w:pPr>
            <w:r w:rsidRPr="00033E17">
              <w:rPr>
                <w:szCs w:val="20"/>
              </w:rPr>
              <w:t>Education - University</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center"/>
          </w:tcPr>
          <w:p w:rsidR="00A54FF8" w:rsidRPr="00920905" w:rsidRDefault="00A54FF8" w:rsidP="008F4F3C">
            <w:pPr>
              <w:rPr>
                <w:rFonts w:cstheme="minorHAnsi"/>
                <w:color w:val="FF0000"/>
                <w:szCs w:val="20"/>
              </w:rPr>
            </w:pPr>
            <w:r w:rsidRPr="00033E17">
              <w:rPr>
                <w:rFonts w:cs="Calibri"/>
                <w:szCs w:val="20"/>
              </w:rPr>
              <w:t>Health/Medical - Hospital</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bottom"/>
          </w:tcPr>
          <w:p w:rsidR="00A54FF8" w:rsidRPr="00920905" w:rsidRDefault="00A54FF8" w:rsidP="008F4F3C">
            <w:pPr>
              <w:rPr>
                <w:rFonts w:cstheme="minorHAnsi"/>
                <w:color w:val="FF0000"/>
                <w:szCs w:val="20"/>
              </w:rPr>
            </w:pPr>
            <w:r w:rsidRPr="00033E17">
              <w:rPr>
                <w:szCs w:val="20"/>
              </w:rPr>
              <w:t>Lodging - Hotel</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bottom"/>
          </w:tcPr>
          <w:p w:rsidR="00A54FF8" w:rsidRPr="00920905" w:rsidRDefault="00A54FF8" w:rsidP="008F4F3C">
            <w:pPr>
              <w:rPr>
                <w:rFonts w:cstheme="minorHAnsi"/>
                <w:color w:val="FF0000"/>
                <w:szCs w:val="20"/>
              </w:rPr>
            </w:pPr>
            <w:r w:rsidRPr="00033E17">
              <w:rPr>
                <w:szCs w:val="20"/>
              </w:rPr>
              <w:t>Manufacturing - Bio/Tech</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bottom"/>
          </w:tcPr>
          <w:p w:rsidR="00A54FF8" w:rsidRPr="00920905" w:rsidRDefault="00A54FF8" w:rsidP="008F4F3C">
            <w:pPr>
              <w:rPr>
                <w:rFonts w:cstheme="minorHAnsi"/>
                <w:color w:val="FF0000"/>
                <w:szCs w:val="20"/>
              </w:rPr>
            </w:pPr>
            <w:r w:rsidRPr="00033E17">
              <w:rPr>
                <w:szCs w:val="20"/>
              </w:rPr>
              <w:t>Manufacturing - Light Industrial</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center"/>
          </w:tcPr>
          <w:p w:rsidR="00A54FF8" w:rsidRPr="00920905" w:rsidRDefault="00A54FF8" w:rsidP="008F4F3C">
            <w:pPr>
              <w:rPr>
                <w:rFonts w:cstheme="minorHAnsi"/>
                <w:color w:val="FF0000"/>
                <w:szCs w:val="20"/>
              </w:rPr>
            </w:pPr>
            <w:r w:rsidRPr="00033E17">
              <w:rPr>
                <w:rFonts w:cs="Calibri"/>
                <w:szCs w:val="20"/>
              </w:rPr>
              <w:t>Office - Large</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center"/>
          </w:tcPr>
          <w:p w:rsidR="00A54FF8" w:rsidRPr="00920905" w:rsidRDefault="00A54FF8" w:rsidP="008F4F3C">
            <w:pPr>
              <w:rPr>
                <w:rFonts w:cstheme="minorHAnsi"/>
                <w:color w:val="FF0000"/>
                <w:szCs w:val="20"/>
              </w:rPr>
            </w:pPr>
            <w:r w:rsidRPr="00033E17">
              <w:rPr>
                <w:rFonts w:cs="Calibri"/>
                <w:szCs w:val="20"/>
              </w:rPr>
              <w:t>Retail - Multistory Large</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r w:rsidR="00A54FF8" w:rsidRPr="00500C4E" w:rsidTr="008F4F3C">
        <w:tc>
          <w:tcPr>
            <w:tcW w:w="1922" w:type="pct"/>
            <w:vAlign w:val="bottom"/>
          </w:tcPr>
          <w:p w:rsidR="00A54FF8" w:rsidRPr="00033E17" w:rsidRDefault="00A54FF8" w:rsidP="008F4F3C">
            <w:pPr>
              <w:rPr>
                <w:rFonts w:cs="Calibri"/>
                <w:szCs w:val="20"/>
              </w:rPr>
            </w:pPr>
            <w:r w:rsidRPr="00FB54CB">
              <w:rPr>
                <w:rFonts w:cs="Calibri"/>
                <w:szCs w:val="20"/>
              </w:rPr>
              <w:t>Residential Multi-family</w:t>
            </w:r>
          </w:p>
        </w:tc>
        <w:tc>
          <w:tcPr>
            <w:tcW w:w="1543" w:type="pct"/>
            <w:vAlign w:val="bottom"/>
          </w:tcPr>
          <w:p w:rsidR="00A54FF8" w:rsidRPr="004258D7" w:rsidRDefault="00A54FF8" w:rsidP="008F4F3C">
            <w:pPr>
              <w:rPr>
                <w:szCs w:val="20"/>
              </w:rPr>
            </w:pPr>
            <w:r w:rsidRPr="004258D7">
              <w:rPr>
                <w:szCs w:val="20"/>
              </w:rPr>
              <w:t>DEER:Indoor_Non-CFL_Ltg</w:t>
            </w:r>
          </w:p>
        </w:tc>
        <w:tc>
          <w:tcPr>
            <w:tcW w:w="1535" w:type="pct"/>
            <w:vAlign w:val="bottom"/>
          </w:tcPr>
          <w:p w:rsidR="00A54FF8" w:rsidRPr="004258D7" w:rsidRDefault="00A54FF8" w:rsidP="008F4F3C">
            <w:pPr>
              <w:rPr>
                <w:szCs w:val="20"/>
              </w:rPr>
            </w:pPr>
            <w:r w:rsidRPr="004258D7">
              <w:rPr>
                <w:szCs w:val="20"/>
              </w:rPr>
              <w:t>NON_RES</w:t>
            </w:r>
          </w:p>
        </w:tc>
      </w:tr>
    </w:tbl>
    <w:p w:rsidR="00F25659" w:rsidRDefault="00F25659" w:rsidP="00F25659">
      <w:pPr>
        <w:pStyle w:val="Heading1"/>
      </w:pPr>
      <w:r>
        <w:t>Section 4. Costs</w:t>
      </w:r>
    </w:p>
    <w:p w:rsidR="00F25659" w:rsidRDefault="00F25659" w:rsidP="00F25659">
      <w:pPr>
        <w:rPr>
          <w:rFonts w:cstheme="minorHAnsi"/>
          <w:szCs w:val="22"/>
        </w:rPr>
      </w:pPr>
      <w:r w:rsidRPr="00BB0179">
        <w:rPr>
          <w:rFonts w:cstheme="minorHAnsi"/>
          <w:szCs w:val="22"/>
        </w:rPr>
        <w:t>This wp consulted two readily available sources to document base case, measure case and incremental measure costs including:</w:t>
      </w:r>
      <w:r>
        <w:rPr>
          <w:rFonts w:cstheme="minorHAnsi"/>
          <w:szCs w:val="22"/>
        </w:rPr>
        <w:t xml:space="preserve"> </w:t>
      </w:r>
    </w:p>
    <w:p w:rsidR="00F25659" w:rsidRDefault="00F25659" w:rsidP="00F25659">
      <w:pPr>
        <w:rPr>
          <w:rFonts w:cstheme="minorHAnsi"/>
          <w:szCs w:val="22"/>
        </w:rPr>
      </w:pPr>
    </w:p>
    <w:p w:rsidR="00F25659" w:rsidRDefault="00F25659" w:rsidP="00F25659">
      <w:pPr>
        <w:pStyle w:val="ListParagraph"/>
        <w:numPr>
          <w:ilvl w:val="0"/>
          <w:numId w:val="21"/>
        </w:numPr>
        <w:rPr>
          <w:rFonts w:cstheme="minorHAnsi"/>
          <w:szCs w:val="22"/>
        </w:rPr>
      </w:pPr>
      <w:r w:rsidRPr="00F25659">
        <w:rPr>
          <w:rFonts w:cstheme="minorHAnsi"/>
          <w:szCs w:val="22"/>
        </w:rPr>
        <w:t xml:space="preserve">2010-2012 Work Order 17 Ex-Ante Measure Cost Study Final Report, and </w:t>
      </w:r>
    </w:p>
    <w:p w:rsidR="00F25659" w:rsidRPr="00F25659" w:rsidRDefault="00F25659" w:rsidP="00F25659">
      <w:pPr>
        <w:pStyle w:val="ListParagraph"/>
        <w:numPr>
          <w:ilvl w:val="0"/>
          <w:numId w:val="21"/>
        </w:numPr>
        <w:rPr>
          <w:rFonts w:cstheme="minorHAnsi"/>
          <w:szCs w:val="22"/>
        </w:rPr>
      </w:pPr>
      <w:r w:rsidRPr="00F25659">
        <w:rPr>
          <w:rFonts w:cstheme="minorHAnsi"/>
          <w:szCs w:val="22"/>
        </w:rPr>
        <w:t>Applicable IOU lighting workpapers</w:t>
      </w:r>
      <w:r>
        <w:rPr>
          <w:rFonts w:cstheme="minorHAnsi"/>
          <w:szCs w:val="22"/>
        </w:rPr>
        <w:t>.</w:t>
      </w:r>
    </w:p>
    <w:p w:rsidR="00F25659" w:rsidRDefault="00F25659" w:rsidP="00F25659">
      <w:pPr>
        <w:pStyle w:val="Heading2"/>
        <w:spacing w:after="0"/>
      </w:pPr>
      <w:r w:rsidRPr="00512295">
        <w:t>4.1 Base Case Costs</w:t>
      </w:r>
    </w:p>
    <w:p w:rsidR="00F25659" w:rsidRDefault="00F25659" w:rsidP="00F25659">
      <w:pPr>
        <w:rPr>
          <w:rFonts w:cstheme="minorHAnsi"/>
          <w:b/>
          <w:bCs/>
          <w:iCs/>
          <w:smallCaps/>
          <w:szCs w:val="22"/>
        </w:rPr>
      </w:pPr>
      <w:r w:rsidRPr="00F25659">
        <w:rPr>
          <w:rFonts w:cstheme="minorHAnsi"/>
          <w:b/>
          <w:bCs/>
          <w:iCs/>
          <w:smallCaps/>
          <w:szCs w:val="22"/>
        </w:rPr>
        <w:t>2010-2012 Work Order 17 Ex-Ante Measure Cost Study Final Report</w:t>
      </w:r>
    </w:p>
    <w:p w:rsidR="00F25659" w:rsidRPr="00F25659" w:rsidRDefault="00F25659" w:rsidP="00F25659">
      <w:pPr>
        <w:rPr>
          <w:rFonts w:cstheme="minorHAnsi"/>
          <w:szCs w:val="22"/>
        </w:rPr>
      </w:pPr>
      <w:r w:rsidRPr="00F25659">
        <w:rPr>
          <w:rFonts w:cstheme="minorHAnsi"/>
          <w:szCs w:val="22"/>
        </w:rPr>
        <w:t>The 2010-2012 Work Order 17 (WO17) Ex-Ante Measure Cost Study Final Report was first consulted to see if updated base case costs were provided for</w:t>
      </w:r>
      <w:r>
        <w:rPr>
          <w:rFonts w:cstheme="minorHAnsi"/>
          <w:szCs w:val="22"/>
        </w:rPr>
        <w:t>:</w:t>
      </w:r>
    </w:p>
    <w:p w:rsidR="00A474EF" w:rsidRPr="00512295" w:rsidRDefault="00F25659" w:rsidP="00A474EF">
      <w:pPr>
        <w:pStyle w:val="Heading2"/>
        <w:numPr>
          <w:ilvl w:val="0"/>
          <w:numId w:val="20"/>
        </w:numPr>
        <w:rPr>
          <w:rFonts w:asciiTheme="minorHAnsi" w:hAnsiTheme="minorHAnsi" w:cstheme="minorHAnsi"/>
          <w:b w:val="0"/>
          <w:bCs w:val="0"/>
          <w:iCs w:val="0"/>
          <w:smallCaps w:val="0"/>
          <w:sz w:val="22"/>
          <w:szCs w:val="22"/>
        </w:rPr>
      </w:pPr>
      <w:r>
        <w:rPr>
          <w:rFonts w:asciiTheme="minorHAnsi" w:hAnsiTheme="minorHAnsi" w:cstheme="minorHAnsi"/>
          <w:b w:val="0"/>
          <w:bCs w:val="0"/>
          <w:iCs w:val="0"/>
          <w:smallCaps w:val="0"/>
          <w:sz w:val="22"/>
          <w:szCs w:val="22"/>
        </w:rPr>
        <w:lastRenderedPageBreak/>
        <w:t>A f</w:t>
      </w:r>
      <w:r w:rsidR="00A474EF" w:rsidRPr="00512295">
        <w:rPr>
          <w:rFonts w:asciiTheme="minorHAnsi" w:hAnsiTheme="minorHAnsi" w:cstheme="minorHAnsi"/>
          <w:b w:val="0"/>
          <w:bCs w:val="0"/>
          <w:iCs w:val="0"/>
          <w:smallCaps w:val="0"/>
          <w:sz w:val="22"/>
          <w:szCs w:val="22"/>
        </w:rPr>
        <w:t xml:space="preserve">our foot 2-lamp 2nd generation normal light output (NLO) F32T8 Linear Fluorescent fixture with bi-level </w:t>
      </w:r>
      <w:r w:rsidR="00512295">
        <w:rPr>
          <w:rFonts w:asciiTheme="minorHAnsi" w:hAnsiTheme="minorHAnsi" w:cstheme="minorHAnsi"/>
          <w:b w:val="0"/>
          <w:bCs w:val="0"/>
          <w:iCs w:val="0"/>
          <w:smallCaps w:val="0"/>
          <w:sz w:val="22"/>
          <w:szCs w:val="22"/>
        </w:rPr>
        <w:t xml:space="preserve">occupancy sensing and photocell </w:t>
      </w:r>
      <w:r w:rsidR="00A474EF" w:rsidRPr="00512295">
        <w:rPr>
          <w:rFonts w:asciiTheme="minorHAnsi" w:hAnsiTheme="minorHAnsi" w:cstheme="minorHAnsi"/>
          <w:b w:val="0"/>
          <w:bCs w:val="0"/>
          <w:iCs w:val="0"/>
          <w:smallCaps w:val="0"/>
          <w:sz w:val="22"/>
          <w:szCs w:val="22"/>
        </w:rPr>
        <w:t>control</w:t>
      </w:r>
      <w:r w:rsidR="00512295">
        <w:rPr>
          <w:rFonts w:asciiTheme="minorHAnsi" w:hAnsiTheme="minorHAnsi" w:cstheme="minorHAnsi"/>
          <w:b w:val="0"/>
          <w:bCs w:val="0"/>
          <w:iCs w:val="0"/>
          <w:smallCaps w:val="0"/>
          <w:sz w:val="22"/>
          <w:szCs w:val="22"/>
        </w:rPr>
        <w:t>s</w:t>
      </w:r>
      <w:r w:rsidR="00A474EF" w:rsidRPr="00512295">
        <w:rPr>
          <w:rFonts w:asciiTheme="minorHAnsi" w:hAnsiTheme="minorHAnsi" w:cstheme="minorHAnsi"/>
          <w:b w:val="0"/>
          <w:bCs w:val="0"/>
          <w:iCs w:val="0"/>
          <w:smallCaps w:val="0"/>
          <w:sz w:val="22"/>
          <w:szCs w:val="22"/>
        </w:rPr>
        <w:t xml:space="preserve"> in day</w:t>
      </w:r>
      <w:r>
        <w:rPr>
          <w:rFonts w:asciiTheme="minorHAnsi" w:hAnsiTheme="minorHAnsi" w:cstheme="minorHAnsi"/>
          <w:b w:val="0"/>
          <w:bCs w:val="0"/>
          <w:iCs w:val="0"/>
          <w:smallCaps w:val="0"/>
          <w:sz w:val="22"/>
          <w:szCs w:val="22"/>
        </w:rPr>
        <w:t xml:space="preserve"> </w:t>
      </w:r>
      <w:r w:rsidR="00A474EF" w:rsidRPr="00512295">
        <w:rPr>
          <w:rFonts w:asciiTheme="minorHAnsi" w:hAnsiTheme="minorHAnsi" w:cstheme="minorHAnsi"/>
          <w:b w:val="0"/>
          <w:bCs w:val="0"/>
          <w:iCs w:val="0"/>
          <w:smallCaps w:val="0"/>
          <w:sz w:val="22"/>
          <w:szCs w:val="22"/>
        </w:rPr>
        <w:t>lit zone</w:t>
      </w:r>
      <w:r w:rsidR="00512295">
        <w:rPr>
          <w:rFonts w:asciiTheme="minorHAnsi" w:hAnsiTheme="minorHAnsi" w:cstheme="minorHAnsi"/>
          <w:b w:val="0"/>
          <w:bCs w:val="0"/>
          <w:iCs w:val="0"/>
          <w:smallCaps w:val="0"/>
          <w:sz w:val="22"/>
          <w:szCs w:val="22"/>
        </w:rPr>
        <w:t>s</w:t>
      </w:r>
      <w:r w:rsidR="00831738" w:rsidRPr="00512295">
        <w:rPr>
          <w:rFonts w:asciiTheme="minorHAnsi" w:hAnsiTheme="minorHAnsi" w:cstheme="minorHAnsi"/>
          <w:b w:val="0"/>
          <w:bCs w:val="0"/>
          <w:iCs w:val="0"/>
          <w:smallCaps w:val="0"/>
          <w:sz w:val="22"/>
          <w:szCs w:val="22"/>
        </w:rPr>
        <w:t>, or</w:t>
      </w:r>
    </w:p>
    <w:p w:rsidR="00A474EF" w:rsidRPr="00512295" w:rsidRDefault="00F25659" w:rsidP="00A474EF">
      <w:pPr>
        <w:pStyle w:val="Heading2"/>
        <w:numPr>
          <w:ilvl w:val="0"/>
          <w:numId w:val="20"/>
        </w:numPr>
        <w:rPr>
          <w:rFonts w:asciiTheme="minorHAnsi" w:hAnsiTheme="minorHAnsi" w:cstheme="minorHAnsi"/>
          <w:b w:val="0"/>
          <w:bCs w:val="0"/>
          <w:iCs w:val="0"/>
          <w:smallCaps w:val="0"/>
          <w:sz w:val="22"/>
          <w:szCs w:val="22"/>
        </w:rPr>
      </w:pPr>
      <w:r>
        <w:rPr>
          <w:rFonts w:asciiTheme="minorHAnsi" w:hAnsiTheme="minorHAnsi" w:cstheme="minorHAnsi"/>
          <w:b w:val="0"/>
          <w:bCs w:val="0"/>
          <w:iCs w:val="0"/>
          <w:smallCaps w:val="0"/>
          <w:sz w:val="22"/>
          <w:szCs w:val="22"/>
        </w:rPr>
        <w:t>A f</w:t>
      </w:r>
      <w:r w:rsidR="00A474EF" w:rsidRPr="00512295">
        <w:rPr>
          <w:rFonts w:asciiTheme="minorHAnsi" w:hAnsiTheme="minorHAnsi" w:cstheme="minorHAnsi"/>
          <w:b w:val="0"/>
          <w:bCs w:val="0"/>
          <w:iCs w:val="0"/>
          <w:smallCaps w:val="0"/>
          <w:sz w:val="22"/>
          <w:szCs w:val="22"/>
        </w:rPr>
        <w:t xml:space="preserve">our foot 2-lamp 2nd generation normal light output (NLO) F32T8 Linear Fluorescent fixture with bi-level </w:t>
      </w:r>
      <w:r w:rsidR="00512295">
        <w:rPr>
          <w:rFonts w:asciiTheme="minorHAnsi" w:hAnsiTheme="minorHAnsi" w:cstheme="minorHAnsi"/>
          <w:b w:val="0"/>
          <w:bCs w:val="0"/>
          <w:iCs w:val="0"/>
          <w:smallCaps w:val="0"/>
          <w:sz w:val="22"/>
          <w:szCs w:val="22"/>
        </w:rPr>
        <w:t xml:space="preserve">occupancy sensing </w:t>
      </w:r>
      <w:r w:rsidR="00A474EF" w:rsidRPr="00512295">
        <w:rPr>
          <w:rFonts w:asciiTheme="minorHAnsi" w:hAnsiTheme="minorHAnsi" w:cstheme="minorHAnsi"/>
          <w:b w:val="0"/>
          <w:bCs w:val="0"/>
          <w:iCs w:val="0"/>
          <w:smallCaps w:val="0"/>
          <w:sz w:val="22"/>
          <w:szCs w:val="22"/>
        </w:rPr>
        <w:t>control in non-day</w:t>
      </w:r>
      <w:r>
        <w:rPr>
          <w:rFonts w:asciiTheme="minorHAnsi" w:hAnsiTheme="minorHAnsi" w:cstheme="minorHAnsi"/>
          <w:b w:val="0"/>
          <w:bCs w:val="0"/>
          <w:iCs w:val="0"/>
          <w:smallCaps w:val="0"/>
          <w:sz w:val="22"/>
          <w:szCs w:val="22"/>
        </w:rPr>
        <w:t xml:space="preserve"> </w:t>
      </w:r>
      <w:r w:rsidR="00A474EF" w:rsidRPr="00512295">
        <w:rPr>
          <w:rFonts w:asciiTheme="minorHAnsi" w:hAnsiTheme="minorHAnsi" w:cstheme="minorHAnsi"/>
          <w:b w:val="0"/>
          <w:bCs w:val="0"/>
          <w:iCs w:val="0"/>
          <w:smallCaps w:val="0"/>
          <w:sz w:val="22"/>
          <w:szCs w:val="22"/>
        </w:rPr>
        <w:t>lit zone</w:t>
      </w:r>
      <w:r w:rsidR="00512295">
        <w:rPr>
          <w:rFonts w:asciiTheme="minorHAnsi" w:hAnsiTheme="minorHAnsi" w:cstheme="minorHAnsi"/>
          <w:b w:val="0"/>
          <w:bCs w:val="0"/>
          <w:iCs w:val="0"/>
          <w:smallCaps w:val="0"/>
          <w:sz w:val="22"/>
          <w:szCs w:val="22"/>
        </w:rPr>
        <w:t>s</w:t>
      </w:r>
      <w:r w:rsidR="00A474EF" w:rsidRPr="00512295">
        <w:rPr>
          <w:rFonts w:asciiTheme="minorHAnsi" w:hAnsiTheme="minorHAnsi" w:cstheme="minorHAnsi"/>
          <w:b w:val="0"/>
          <w:bCs w:val="0"/>
          <w:iCs w:val="0"/>
          <w:smallCaps w:val="0"/>
          <w:sz w:val="22"/>
          <w:szCs w:val="22"/>
        </w:rPr>
        <w:t>.</w:t>
      </w:r>
    </w:p>
    <w:p w:rsidR="001E3E91" w:rsidRPr="00512295" w:rsidRDefault="00831738" w:rsidP="00831738">
      <w:pPr>
        <w:pStyle w:val="Heading2"/>
        <w:rPr>
          <w:rFonts w:asciiTheme="minorHAnsi" w:hAnsiTheme="minorHAnsi" w:cstheme="minorHAnsi"/>
          <w:b w:val="0"/>
          <w:bCs w:val="0"/>
          <w:iCs w:val="0"/>
          <w:smallCaps w:val="0"/>
          <w:sz w:val="22"/>
          <w:szCs w:val="22"/>
        </w:rPr>
      </w:pPr>
      <w:r w:rsidRPr="00512295">
        <w:rPr>
          <w:rFonts w:asciiTheme="minorHAnsi" w:hAnsiTheme="minorHAnsi" w:cstheme="minorHAnsi"/>
          <w:b w:val="0"/>
          <w:bCs w:val="0"/>
          <w:iCs w:val="0"/>
          <w:smallCaps w:val="0"/>
          <w:sz w:val="22"/>
          <w:szCs w:val="22"/>
        </w:rPr>
        <w:t xml:space="preserve">As described in section 1.5.8, existing T8 parking garage fixtures are typically configured as a strip fluorescent luminaires (two 4’ single lamp installed in 8’ long tandem sharing one ballast) or a vapor tight wraparound T8 fluorescent luminaires (two 4’ lamps installed side by side within the fixture housing sharing a single ballast) without bi-level occupancy </w:t>
      </w:r>
      <w:r w:rsidR="00F25659">
        <w:rPr>
          <w:rFonts w:asciiTheme="minorHAnsi" w:hAnsiTheme="minorHAnsi" w:cstheme="minorHAnsi"/>
          <w:b w:val="0"/>
          <w:bCs w:val="0"/>
          <w:iCs w:val="0"/>
          <w:smallCaps w:val="0"/>
          <w:sz w:val="22"/>
          <w:szCs w:val="22"/>
        </w:rPr>
        <w:t>sensing</w:t>
      </w:r>
      <w:r w:rsidRPr="00512295">
        <w:rPr>
          <w:rFonts w:asciiTheme="minorHAnsi" w:hAnsiTheme="minorHAnsi" w:cstheme="minorHAnsi"/>
          <w:b w:val="0"/>
          <w:bCs w:val="0"/>
          <w:iCs w:val="0"/>
          <w:smallCaps w:val="0"/>
          <w:sz w:val="22"/>
          <w:szCs w:val="22"/>
        </w:rPr>
        <w:t xml:space="preserve"> </w:t>
      </w:r>
      <w:r w:rsidR="00F25659">
        <w:rPr>
          <w:rFonts w:asciiTheme="minorHAnsi" w:hAnsiTheme="minorHAnsi" w:cstheme="minorHAnsi"/>
          <w:b w:val="0"/>
          <w:bCs w:val="0"/>
          <w:iCs w:val="0"/>
          <w:smallCaps w:val="0"/>
          <w:sz w:val="22"/>
          <w:szCs w:val="22"/>
        </w:rPr>
        <w:t>or photocell controls</w:t>
      </w:r>
      <w:r w:rsidR="001E3E91" w:rsidRPr="00512295">
        <w:rPr>
          <w:rFonts w:asciiTheme="minorHAnsi" w:hAnsiTheme="minorHAnsi" w:cstheme="minorHAnsi"/>
          <w:b w:val="0"/>
          <w:bCs w:val="0"/>
          <w:iCs w:val="0"/>
          <w:smallCaps w:val="0"/>
          <w:sz w:val="22"/>
          <w:szCs w:val="22"/>
        </w:rPr>
        <w:t xml:space="preserve">. </w:t>
      </w:r>
      <w:r w:rsidR="00A474EF" w:rsidRPr="00512295">
        <w:rPr>
          <w:rFonts w:asciiTheme="minorHAnsi" w:hAnsiTheme="minorHAnsi" w:cstheme="minorHAnsi"/>
          <w:b w:val="0"/>
          <w:bCs w:val="0"/>
          <w:iCs w:val="0"/>
          <w:smallCaps w:val="0"/>
          <w:sz w:val="22"/>
          <w:szCs w:val="22"/>
        </w:rPr>
        <w:t xml:space="preserve">W017 </w:t>
      </w:r>
      <w:r w:rsidRPr="00512295">
        <w:rPr>
          <w:rFonts w:asciiTheme="minorHAnsi" w:hAnsiTheme="minorHAnsi" w:cstheme="minorHAnsi"/>
          <w:b w:val="0"/>
          <w:bCs w:val="0"/>
          <w:iCs w:val="0"/>
          <w:smallCaps w:val="0"/>
          <w:sz w:val="22"/>
          <w:szCs w:val="22"/>
        </w:rPr>
        <w:t xml:space="preserve">does </w:t>
      </w:r>
      <w:r w:rsidR="00A474EF" w:rsidRPr="00512295">
        <w:rPr>
          <w:rFonts w:asciiTheme="minorHAnsi" w:hAnsiTheme="minorHAnsi" w:cstheme="minorHAnsi"/>
          <w:b w:val="0"/>
          <w:bCs w:val="0"/>
          <w:iCs w:val="0"/>
          <w:smallCaps w:val="0"/>
          <w:sz w:val="22"/>
          <w:szCs w:val="22"/>
        </w:rPr>
        <w:t>provide baseline fixture costs for T8, 48 inch, 2-lamp 32 watt, instant start ballast, surface mounted wrap (lamps not included)</w:t>
      </w:r>
      <w:r w:rsidR="001E3E91" w:rsidRPr="00512295">
        <w:rPr>
          <w:rFonts w:asciiTheme="minorHAnsi" w:hAnsiTheme="minorHAnsi" w:cstheme="minorHAnsi"/>
          <w:b w:val="0"/>
          <w:bCs w:val="0"/>
          <w:iCs w:val="0"/>
          <w:smallCaps w:val="0"/>
          <w:sz w:val="22"/>
          <w:szCs w:val="22"/>
        </w:rPr>
        <w:t xml:space="preserve"> without controls</w:t>
      </w:r>
      <w:r w:rsidRPr="00512295">
        <w:rPr>
          <w:rFonts w:asciiTheme="minorHAnsi" w:hAnsiTheme="minorHAnsi" w:cstheme="minorHAnsi"/>
          <w:b w:val="0"/>
          <w:bCs w:val="0"/>
          <w:iCs w:val="0"/>
          <w:smallCaps w:val="0"/>
          <w:sz w:val="22"/>
          <w:szCs w:val="22"/>
        </w:rPr>
        <w:t xml:space="preserve">, which one of the configurations </w:t>
      </w:r>
      <w:r w:rsidR="001E3E91" w:rsidRPr="00512295">
        <w:rPr>
          <w:rFonts w:asciiTheme="minorHAnsi" w:hAnsiTheme="minorHAnsi" w:cstheme="minorHAnsi"/>
          <w:b w:val="0"/>
          <w:bCs w:val="0"/>
          <w:iCs w:val="0"/>
          <w:smallCaps w:val="0"/>
          <w:sz w:val="22"/>
          <w:szCs w:val="22"/>
        </w:rPr>
        <w:t>as</w:t>
      </w:r>
      <w:r w:rsidRPr="00512295">
        <w:rPr>
          <w:rFonts w:asciiTheme="minorHAnsi" w:hAnsiTheme="minorHAnsi" w:cstheme="minorHAnsi"/>
          <w:b w:val="0"/>
          <w:bCs w:val="0"/>
          <w:iCs w:val="0"/>
          <w:smallCaps w:val="0"/>
          <w:sz w:val="22"/>
          <w:szCs w:val="22"/>
        </w:rPr>
        <w:t xml:space="preserve"> described above.</w:t>
      </w:r>
      <w:r w:rsidR="001E3E91" w:rsidRPr="00512295">
        <w:rPr>
          <w:rFonts w:asciiTheme="minorHAnsi" w:hAnsiTheme="minorHAnsi" w:cstheme="minorHAnsi"/>
          <w:b w:val="0"/>
          <w:bCs w:val="0"/>
          <w:iCs w:val="0"/>
          <w:smallCaps w:val="0"/>
          <w:sz w:val="22"/>
          <w:szCs w:val="22"/>
        </w:rPr>
        <w:t xml:space="preserve"> </w:t>
      </w:r>
    </w:p>
    <w:p w:rsidR="002F7BA1" w:rsidRPr="00E25F67" w:rsidRDefault="001E3E91" w:rsidP="00E25F67">
      <w:pPr>
        <w:pStyle w:val="Heading2"/>
        <w:rPr>
          <w:szCs w:val="22"/>
        </w:rPr>
      </w:pPr>
      <w:r w:rsidRPr="00F25659">
        <w:rPr>
          <w:rFonts w:asciiTheme="minorHAnsi" w:hAnsiTheme="minorHAnsi" w:cstheme="minorHAnsi"/>
          <w:b w:val="0"/>
          <w:bCs w:val="0"/>
          <w:iCs w:val="0"/>
          <w:smallCaps w:val="0"/>
          <w:sz w:val="22"/>
          <w:szCs w:val="22"/>
        </w:rPr>
        <w:t xml:space="preserve">However, a Type C LED External Driver Lamp Style Retrofit Kit triggers code under the Luminaire Modification in Place definition because it requires existing fluorescent ballasts to be replaced by a dedicated LED driver. Therefore, the base case costs </w:t>
      </w:r>
      <w:r w:rsidR="00E114AC" w:rsidRPr="00F25659">
        <w:rPr>
          <w:rFonts w:asciiTheme="minorHAnsi" w:hAnsiTheme="minorHAnsi" w:cstheme="minorHAnsi"/>
          <w:b w:val="0"/>
          <w:bCs w:val="0"/>
          <w:iCs w:val="0"/>
          <w:smallCaps w:val="0"/>
          <w:sz w:val="22"/>
          <w:szCs w:val="22"/>
        </w:rPr>
        <w:t>was estimated using</w:t>
      </w:r>
      <w:r w:rsidR="00F25659" w:rsidRPr="00F25659">
        <w:rPr>
          <w:rFonts w:asciiTheme="minorHAnsi" w:hAnsiTheme="minorHAnsi" w:cstheme="minorHAnsi"/>
          <w:b w:val="0"/>
          <w:bCs w:val="0"/>
          <w:iCs w:val="0"/>
          <w:smallCaps w:val="0"/>
          <w:sz w:val="22"/>
          <w:szCs w:val="22"/>
        </w:rPr>
        <w:t xml:space="preserve"> WO17 baseline fixture costs for a</w:t>
      </w:r>
      <w:r w:rsidR="00E114AC" w:rsidRPr="00F25659">
        <w:rPr>
          <w:rFonts w:asciiTheme="minorHAnsi" w:hAnsiTheme="minorHAnsi" w:cstheme="minorHAnsi"/>
          <w:b w:val="0"/>
          <w:bCs w:val="0"/>
          <w:iCs w:val="0"/>
          <w:smallCaps w:val="0"/>
          <w:sz w:val="22"/>
          <w:szCs w:val="22"/>
        </w:rPr>
        <w:t xml:space="preserve"> </w:t>
      </w:r>
      <w:r w:rsidR="00F25659" w:rsidRPr="00512295">
        <w:rPr>
          <w:rFonts w:asciiTheme="minorHAnsi" w:hAnsiTheme="minorHAnsi" w:cstheme="minorHAnsi"/>
          <w:b w:val="0"/>
          <w:bCs w:val="0"/>
          <w:iCs w:val="0"/>
          <w:smallCaps w:val="0"/>
          <w:sz w:val="22"/>
          <w:szCs w:val="22"/>
        </w:rPr>
        <w:t>T8, 48 inch, 2-lamp 32 watt, instant start ballast, surface mounted wrap (lamps not included)</w:t>
      </w:r>
      <w:r w:rsidR="00F25659">
        <w:rPr>
          <w:rFonts w:asciiTheme="minorHAnsi" w:hAnsiTheme="minorHAnsi" w:cstheme="minorHAnsi"/>
          <w:b w:val="0"/>
          <w:bCs w:val="0"/>
          <w:iCs w:val="0"/>
          <w:smallCaps w:val="0"/>
          <w:sz w:val="22"/>
          <w:szCs w:val="22"/>
        </w:rPr>
        <w:t xml:space="preserve"> and adding the costs for lamps and sensors as shown in Table</w:t>
      </w:r>
      <w:r w:rsidR="00E25F67">
        <w:rPr>
          <w:rFonts w:asciiTheme="minorHAnsi" w:hAnsiTheme="minorHAnsi" w:cstheme="minorHAnsi"/>
          <w:b w:val="0"/>
          <w:bCs w:val="0"/>
          <w:iCs w:val="0"/>
          <w:smallCaps w:val="0"/>
          <w:sz w:val="22"/>
          <w:szCs w:val="22"/>
        </w:rPr>
        <w:t xml:space="preserve"> 18. </w:t>
      </w:r>
      <w:r w:rsidR="002F7BA1" w:rsidRPr="00E25F67">
        <w:rPr>
          <w:rFonts w:asciiTheme="minorHAnsi" w:hAnsiTheme="minorHAnsi" w:cstheme="minorHAnsi"/>
          <w:b w:val="0"/>
          <w:bCs w:val="0"/>
          <w:iCs w:val="0"/>
          <w:smallCaps w:val="0"/>
          <w:sz w:val="22"/>
          <w:szCs w:val="22"/>
        </w:rPr>
        <w:t xml:space="preserve">It is assumed the labor cost of replacing the measure case fixture would be the same as the base case fixture. The base case and measure case costs include just </w:t>
      </w:r>
      <w:r w:rsidR="006546B7" w:rsidRPr="00E25F67">
        <w:rPr>
          <w:rFonts w:asciiTheme="minorHAnsi" w:hAnsiTheme="minorHAnsi" w:cstheme="minorHAnsi"/>
          <w:b w:val="0"/>
          <w:bCs w:val="0"/>
          <w:iCs w:val="0"/>
          <w:smallCaps w:val="0"/>
          <w:sz w:val="22"/>
          <w:szCs w:val="22"/>
        </w:rPr>
        <w:t xml:space="preserve">material </w:t>
      </w:r>
      <w:r w:rsidR="002F7BA1" w:rsidRPr="00E25F67">
        <w:rPr>
          <w:rFonts w:asciiTheme="minorHAnsi" w:hAnsiTheme="minorHAnsi" w:cstheme="minorHAnsi"/>
          <w:b w:val="0"/>
          <w:bCs w:val="0"/>
          <w:iCs w:val="0"/>
          <w:smallCaps w:val="0"/>
          <w:sz w:val="22"/>
          <w:szCs w:val="22"/>
        </w:rPr>
        <w:t>equipment costs.</w:t>
      </w:r>
      <w:r w:rsidR="006546B7" w:rsidRPr="00E25F67">
        <w:rPr>
          <w:rFonts w:asciiTheme="minorHAnsi" w:hAnsiTheme="minorHAnsi" w:cstheme="minorHAnsi"/>
          <w:b w:val="0"/>
          <w:bCs w:val="0"/>
          <w:iCs w:val="0"/>
          <w:smallCaps w:val="0"/>
          <w:sz w:val="22"/>
          <w:szCs w:val="22"/>
        </w:rPr>
        <w:t xml:space="preserve"> </w:t>
      </w:r>
      <w:r w:rsidR="002F7BA1" w:rsidRPr="00E25F67">
        <w:rPr>
          <w:rFonts w:asciiTheme="minorHAnsi" w:hAnsiTheme="minorHAnsi" w:cstheme="minorHAnsi"/>
          <w:b w:val="0"/>
          <w:bCs w:val="0"/>
          <w:iCs w:val="0"/>
          <w:smallCaps w:val="0"/>
          <w:sz w:val="22"/>
          <w:szCs w:val="22"/>
        </w:rPr>
        <w:t xml:space="preserve">The base case costs </w:t>
      </w:r>
      <w:r w:rsidR="00E25F67" w:rsidRPr="00E25F67">
        <w:rPr>
          <w:rFonts w:asciiTheme="minorHAnsi" w:hAnsiTheme="minorHAnsi" w:cstheme="minorHAnsi"/>
          <w:b w:val="0"/>
          <w:bCs w:val="0"/>
          <w:iCs w:val="0"/>
          <w:smallCaps w:val="0"/>
          <w:sz w:val="22"/>
          <w:szCs w:val="22"/>
        </w:rPr>
        <w:t>for F32T8 lamps were</w:t>
      </w:r>
      <w:r w:rsidR="002F7BA1" w:rsidRPr="00E25F67">
        <w:rPr>
          <w:rFonts w:asciiTheme="minorHAnsi" w:hAnsiTheme="minorHAnsi" w:cstheme="minorHAnsi"/>
          <w:b w:val="0"/>
          <w:bCs w:val="0"/>
          <w:iCs w:val="0"/>
          <w:smallCaps w:val="0"/>
          <w:sz w:val="22"/>
          <w:szCs w:val="22"/>
        </w:rPr>
        <w:t xml:space="preserve"> taken from </w:t>
      </w:r>
      <w:r w:rsidR="00406E8E">
        <w:rPr>
          <w:rFonts w:asciiTheme="minorHAnsi" w:hAnsiTheme="minorHAnsi" w:cstheme="minorHAnsi"/>
          <w:b w:val="0"/>
          <w:bCs w:val="0"/>
          <w:iCs w:val="0"/>
          <w:smallCaps w:val="0"/>
          <w:sz w:val="22"/>
          <w:szCs w:val="22"/>
        </w:rPr>
        <w:t xml:space="preserve">online retailer </w:t>
      </w:r>
      <w:r w:rsidR="002F7BA1" w:rsidRPr="00E25F67">
        <w:rPr>
          <w:rFonts w:asciiTheme="minorHAnsi" w:hAnsiTheme="minorHAnsi" w:cstheme="minorHAnsi"/>
          <w:b w:val="0"/>
          <w:bCs w:val="0"/>
          <w:iCs w:val="0"/>
          <w:smallCaps w:val="0"/>
          <w:sz w:val="22"/>
          <w:szCs w:val="22"/>
        </w:rPr>
        <w:t>websites and confirmed with manufacturer representatives where possible.</w:t>
      </w:r>
      <w:r w:rsidR="002F7BA1" w:rsidRPr="00E25F67">
        <w:rPr>
          <w:szCs w:val="22"/>
        </w:rPr>
        <w:t xml:space="preserve"> </w:t>
      </w:r>
    </w:p>
    <w:p w:rsidR="002F7BA1" w:rsidRPr="00BF4BDF" w:rsidRDefault="002F7BA1" w:rsidP="002F7BA1">
      <w:pPr>
        <w:rPr>
          <w:rFonts w:cs="Arial"/>
          <w:szCs w:val="22"/>
          <w:highlight w:val="yellow"/>
        </w:rPr>
      </w:pPr>
    </w:p>
    <w:p w:rsidR="002F7BA1" w:rsidRPr="00F25659" w:rsidRDefault="00F25659" w:rsidP="002F7BA1">
      <w:pPr>
        <w:pStyle w:val="Caption"/>
        <w:jc w:val="center"/>
        <w:rPr>
          <w:szCs w:val="22"/>
        </w:rPr>
      </w:pPr>
      <w:bookmarkStart w:id="23" w:name="_Toc438457214"/>
      <w:r w:rsidRPr="00F25659">
        <w:rPr>
          <w:szCs w:val="22"/>
        </w:rPr>
        <w:t>Table 18</w:t>
      </w:r>
      <w:r w:rsidR="002F7BA1" w:rsidRPr="00F25659">
        <w:rPr>
          <w:noProof/>
          <w:szCs w:val="22"/>
        </w:rPr>
        <w:t xml:space="preserve"> </w:t>
      </w:r>
      <w:r w:rsidR="002F7BA1" w:rsidRPr="00F25659">
        <w:rPr>
          <w:b w:val="0"/>
          <w:szCs w:val="22"/>
        </w:rPr>
        <w:t xml:space="preserve">– </w:t>
      </w:r>
      <w:bookmarkEnd w:id="23"/>
      <w:r w:rsidR="00540EA9" w:rsidRPr="00F25659">
        <w:rPr>
          <w:b w:val="0"/>
          <w:szCs w:val="22"/>
        </w:rPr>
        <w:t>F32T8 Linear Fluorescent Fixture Material Equipment Cost</w:t>
      </w:r>
    </w:p>
    <w:tbl>
      <w:tblPr>
        <w:tblW w:w="9018"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7"/>
        <w:gridCol w:w="3274"/>
        <w:gridCol w:w="1534"/>
        <w:gridCol w:w="1293"/>
      </w:tblGrid>
      <w:tr w:rsidR="00E25F67" w:rsidRPr="00F25659" w:rsidTr="00E25F67">
        <w:trPr>
          <w:trHeight w:val="163"/>
        </w:trPr>
        <w:tc>
          <w:tcPr>
            <w:tcW w:w="6191" w:type="dxa"/>
            <w:gridSpan w:val="2"/>
            <w:vAlign w:val="center"/>
          </w:tcPr>
          <w:p w:rsidR="00E25F67" w:rsidRPr="00F25659" w:rsidRDefault="00E25F67" w:rsidP="004B0444">
            <w:pPr>
              <w:jc w:val="center"/>
              <w:rPr>
                <w:rFonts w:cs="Arial"/>
                <w:b/>
                <w:szCs w:val="22"/>
              </w:rPr>
            </w:pPr>
            <w:r w:rsidRPr="00F25659">
              <w:rPr>
                <w:rFonts w:cs="Arial"/>
                <w:b/>
                <w:szCs w:val="22"/>
              </w:rPr>
              <w:t>Measure Description</w:t>
            </w:r>
          </w:p>
        </w:tc>
        <w:tc>
          <w:tcPr>
            <w:tcW w:w="1534" w:type="dxa"/>
            <w:vAlign w:val="center"/>
          </w:tcPr>
          <w:p w:rsidR="00E25F67" w:rsidRPr="00F25659" w:rsidRDefault="00E25F67" w:rsidP="004B0444">
            <w:pPr>
              <w:jc w:val="center"/>
              <w:rPr>
                <w:rFonts w:cs="Arial"/>
                <w:b/>
                <w:szCs w:val="22"/>
              </w:rPr>
            </w:pPr>
            <w:r w:rsidRPr="00F25659">
              <w:rPr>
                <w:rFonts w:cs="Arial"/>
                <w:b/>
                <w:szCs w:val="22"/>
              </w:rPr>
              <w:t>Base Case Equipment Cost</w:t>
            </w:r>
          </w:p>
        </w:tc>
        <w:tc>
          <w:tcPr>
            <w:tcW w:w="1293" w:type="dxa"/>
            <w:vAlign w:val="center"/>
          </w:tcPr>
          <w:p w:rsidR="00E25F67" w:rsidRPr="00F25659" w:rsidRDefault="00E25F67" w:rsidP="00E25F67">
            <w:pPr>
              <w:jc w:val="center"/>
              <w:rPr>
                <w:rFonts w:cs="Arial"/>
                <w:b/>
                <w:szCs w:val="22"/>
              </w:rPr>
            </w:pPr>
            <w:r>
              <w:rPr>
                <w:rFonts w:cs="Arial"/>
                <w:b/>
                <w:szCs w:val="22"/>
              </w:rPr>
              <w:t>Cost Source</w:t>
            </w:r>
          </w:p>
        </w:tc>
      </w:tr>
      <w:tr w:rsidR="00E25F67" w:rsidRPr="00BF4BDF" w:rsidTr="00E25F67">
        <w:trPr>
          <w:trHeight w:val="163"/>
        </w:trPr>
        <w:tc>
          <w:tcPr>
            <w:tcW w:w="2917" w:type="dxa"/>
            <w:vMerge w:val="restart"/>
            <w:vAlign w:val="center"/>
          </w:tcPr>
          <w:p w:rsidR="00E25F67" w:rsidRPr="00F25659" w:rsidRDefault="00E25F67" w:rsidP="00BF4BDF">
            <w:pPr>
              <w:jc w:val="center"/>
              <w:rPr>
                <w:rFonts w:eastAsiaTheme="minorHAnsi" w:cs="Arial"/>
                <w:color w:val="000000"/>
                <w:szCs w:val="22"/>
              </w:rPr>
            </w:pPr>
            <w:r w:rsidRPr="00F25659">
              <w:rPr>
                <w:rFonts w:eastAsiaTheme="minorHAnsi" w:cs="Arial"/>
                <w:color w:val="000000"/>
                <w:szCs w:val="22"/>
              </w:rPr>
              <w:t xml:space="preserve">F32T8 Linear Fluorescent Fixture Material Costs in </w:t>
            </w:r>
          </w:p>
          <w:p w:rsidR="00E25F67" w:rsidRPr="00F25659" w:rsidRDefault="00E25F67" w:rsidP="00BF4BDF">
            <w:pPr>
              <w:jc w:val="center"/>
              <w:rPr>
                <w:rFonts w:eastAsiaTheme="minorHAnsi" w:cs="Arial"/>
                <w:b/>
                <w:color w:val="000000"/>
                <w:szCs w:val="22"/>
              </w:rPr>
            </w:pPr>
            <w:r w:rsidRPr="00F25659">
              <w:rPr>
                <w:rFonts w:eastAsiaTheme="minorHAnsi" w:cs="Arial"/>
                <w:b/>
                <w:color w:val="000000"/>
                <w:szCs w:val="22"/>
              </w:rPr>
              <w:t>Day Lit Zone</w:t>
            </w:r>
          </w:p>
        </w:tc>
        <w:tc>
          <w:tcPr>
            <w:tcW w:w="3274" w:type="dxa"/>
            <w:vAlign w:val="center"/>
          </w:tcPr>
          <w:p w:rsidR="00E25F67" w:rsidRPr="00F25659" w:rsidRDefault="00E25F67" w:rsidP="00461B2D">
            <w:pPr>
              <w:rPr>
                <w:rFonts w:eastAsiaTheme="minorHAnsi" w:cs="Arial"/>
                <w:color w:val="000000"/>
                <w:szCs w:val="22"/>
              </w:rPr>
            </w:pPr>
            <w:r w:rsidRPr="00F25659">
              <w:rPr>
                <w:rFonts w:eastAsiaTheme="minorHAnsi" w:cs="Arial"/>
                <w:color w:val="000000"/>
                <w:szCs w:val="22"/>
              </w:rPr>
              <w:t>T8, 48 inch, 2-lamp 32 watt, instant start ballast, surface mounted wrap (lamps not included)</w:t>
            </w:r>
          </w:p>
        </w:tc>
        <w:tc>
          <w:tcPr>
            <w:tcW w:w="1534" w:type="dxa"/>
            <w:vAlign w:val="center"/>
          </w:tcPr>
          <w:p w:rsidR="00E25F67" w:rsidRPr="00F25659" w:rsidRDefault="00E25F67" w:rsidP="004B0444">
            <w:pPr>
              <w:jc w:val="center"/>
              <w:rPr>
                <w:rFonts w:cs="Arial"/>
                <w:szCs w:val="22"/>
              </w:rPr>
            </w:pPr>
            <w:r w:rsidRPr="00F25659">
              <w:rPr>
                <w:rFonts w:cs="Arial"/>
                <w:szCs w:val="22"/>
              </w:rPr>
              <w:t>$56.87</w:t>
            </w:r>
          </w:p>
        </w:tc>
        <w:tc>
          <w:tcPr>
            <w:tcW w:w="1293" w:type="dxa"/>
            <w:vAlign w:val="center"/>
          </w:tcPr>
          <w:p w:rsidR="00E25F67" w:rsidRPr="00F25659" w:rsidRDefault="00E25F67" w:rsidP="003A3EBD">
            <w:pPr>
              <w:jc w:val="center"/>
              <w:rPr>
                <w:rFonts w:cs="Arial"/>
                <w:szCs w:val="22"/>
              </w:rPr>
            </w:pPr>
            <w:r>
              <w:rPr>
                <w:rFonts w:cs="Arial"/>
                <w:szCs w:val="22"/>
              </w:rPr>
              <w:t>WO17</w:t>
            </w:r>
          </w:p>
        </w:tc>
      </w:tr>
      <w:tr w:rsidR="00E25F67" w:rsidRPr="00BF4BDF" w:rsidTr="00E25F67">
        <w:trPr>
          <w:trHeight w:val="163"/>
        </w:trPr>
        <w:tc>
          <w:tcPr>
            <w:tcW w:w="2917" w:type="dxa"/>
            <w:vMerge/>
          </w:tcPr>
          <w:p w:rsidR="00E25F67" w:rsidRPr="00F25659" w:rsidRDefault="00E25F67" w:rsidP="00BF4BDF">
            <w:pPr>
              <w:jc w:val="center"/>
              <w:rPr>
                <w:rFonts w:eastAsiaTheme="minorHAnsi" w:cs="Arial"/>
                <w:color w:val="000000"/>
                <w:szCs w:val="22"/>
              </w:rPr>
            </w:pPr>
          </w:p>
        </w:tc>
        <w:tc>
          <w:tcPr>
            <w:tcW w:w="3274" w:type="dxa"/>
            <w:vAlign w:val="center"/>
          </w:tcPr>
          <w:p w:rsidR="00E25F67" w:rsidRPr="00F25659" w:rsidRDefault="00E25F67" w:rsidP="003A3EBD">
            <w:pPr>
              <w:rPr>
                <w:rFonts w:eastAsiaTheme="minorHAnsi" w:cs="Arial"/>
                <w:color w:val="000000"/>
                <w:szCs w:val="22"/>
              </w:rPr>
            </w:pPr>
            <w:r w:rsidRPr="00F25659">
              <w:rPr>
                <w:rFonts w:eastAsiaTheme="minorHAnsi" w:cs="Arial"/>
                <w:color w:val="000000"/>
                <w:szCs w:val="22"/>
              </w:rPr>
              <w:t>(2) F32T8 Lamps</w:t>
            </w:r>
          </w:p>
        </w:tc>
        <w:tc>
          <w:tcPr>
            <w:tcW w:w="1534" w:type="dxa"/>
            <w:vAlign w:val="center"/>
          </w:tcPr>
          <w:p w:rsidR="00E25F67" w:rsidRPr="00F25659" w:rsidRDefault="00E25F67" w:rsidP="003A3EBD">
            <w:pPr>
              <w:jc w:val="center"/>
              <w:rPr>
                <w:rFonts w:cs="Arial"/>
                <w:szCs w:val="22"/>
              </w:rPr>
            </w:pPr>
            <w:r w:rsidRPr="00F25659">
              <w:rPr>
                <w:rFonts w:cs="Arial"/>
                <w:szCs w:val="22"/>
              </w:rPr>
              <w:t>$12.00</w:t>
            </w:r>
          </w:p>
        </w:tc>
        <w:tc>
          <w:tcPr>
            <w:tcW w:w="1293" w:type="dxa"/>
            <w:vAlign w:val="center"/>
          </w:tcPr>
          <w:p w:rsidR="00E25F67" w:rsidRPr="00F25659" w:rsidRDefault="00E25F67" w:rsidP="00406E8E">
            <w:pPr>
              <w:jc w:val="center"/>
              <w:rPr>
                <w:rFonts w:cs="Arial"/>
                <w:szCs w:val="22"/>
              </w:rPr>
            </w:pPr>
            <w:r>
              <w:rPr>
                <w:rFonts w:cs="Arial"/>
                <w:szCs w:val="22"/>
              </w:rPr>
              <w:t xml:space="preserve">Online </w:t>
            </w:r>
            <w:r w:rsidR="00406E8E">
              <w:rPr>
                <w:rFonts w:cs="Arial"/>
                <w:szCs w:val="22"/>
              </w:rPr>
              <w:t>Retailers</w:t>
            </w:r>
          </w:p>
        </w:tc>
      </w:tr>
      <w:tr w:rsidR="00E25F67" w:rsidRPr="00BF4BDF" w:rsidTr="00E25F67">
        <w:trPr>
          <w:trHeight w:val="163"/>
        </w:trPr>
        <w:tc>
          <w:tcPr>
            <w:tcW w:w="2917" w:type="dxa"/>
            <w:vMerge/>
          </w:tcPr>
          <w:p w:rsidR="00E25F67" w:rsidRPr="00F25659" w:rsidRDefault="00E25F67" w:rsidP="00BF4BDF">
            <w:pPr>
              <w:jc w:val="center"/>
              <w:rPr>
                <w:rFonts w:eastAsiaTheme="minorHAnsi" w:cs="Arial"/>
                <w:color w:val="000000"/>
                <w:szCs w:val="22"/>
              </w:rPr>
            </w:pPr>
          </w:p>
        </w:tc>
        <w:tc>
          <w:tcPr>
            <w:tcW w:w="3274" w:type="dxa"/>
            <w:vAlign w:val="center"/>
          </w:tcPr>
          <w:p w:rsidR="00E25F67" w:rsidRPr="00F25659" w:rsidRDefault="00E25F67" w:rsidP="00461B2D">
            <w:pPr>
              <w:rPr>
                <w:rFonts w:eastAsiaTheme="minorHAnsi" w:cs="Arial"/>
                <w:color w:val="000000"/>
                <w:szCs w:val="22"/>
              </w:rPr>
            </w:pPr>
            <w:r w:rsidRPr="00F25659">
              <w:rPr>
                <w:rFonts w:eastAsiaTheme="minorHAnsi" w:cs="Arial"/>
                <w:color w:val="000000"/>
                <w:szCs w:val="22"/>
              </w:rPr>
              <w:t>Occupancy Sensor Pack-1000 SF assume ceiling mounted</w:t>
            </w:r>
          </w:p>
        </w:tc>
        <w:tc>
          <w:tcPr>
            <w:tcW w:w="1534" w:type="dxa"/>
            <w:vAlign w:val="center"/>
          </w:tcPr>
          <w:p w:rsidR="00E25F67" w:rsidRPr="00F25659" w:rsidRDefault="00E25F67" w:rsidP="004B0444">
            <w:pPr>
              <w:jc w:val="center"/>
              <w:rPr>
                <w:rFonts w:cs="Arial"/>
                <w:szCs w:val="22"/>
              </w:rPr>
            </w:pPr>
            <w:r w:rsidRPr="00F25659">
              <w:rPr>
                <w:rFonts w:cs="Arial"/>
                <w:szCs w:val="22"/>
              </w:rPr>
              <w:t>$138.20</w:t>
            </w:r>
          </w:p>
        </w:tc>
        <w:tc>
          <w:tcPr>
            <w:tcW w:w="1293" w:type="dxa"/>
            <w:vAlign w:val="center"/>
          </w:tcPr>
          <w:p w:rsidR="00E25F67" w:rsidRPr="00F25659" w:rsidRDefault="00E25F67" w:rsidP="003A3EBD">
            <w:pPr>
              <w:jc w:val="center"/>
              <w:rPr>
                <w:rFonts w:cs="Arial"/>
                <w:szCs w:val="22"/>
              </w:rPr>
            </w:pPr>
            <w:r>
              <w:rPr>
                <w:rFonts w:cs="Arial"/>
                <w:szCs w:val="22"/>
              </w:rPr>
              <w:t>WO17</w:t>
            </w:r>
          </w:p>
        </w:tc>
      </w:tr>
      <w:tr w:rsidR="00E25F67" w:rsidRPr="00BF4BDF" w:rsidTr="00E25F67">
        <w:trPr>
          <w:trHeight w:val="163"/>
        </w:trPr>
        <w:tc>
          <w:tcPr>
            <w:tcW w:w="2917" w:type="dxa"/>
            <w:vMerge/>
          </w:tcPr>
          <w:p w:rsidR="00E25F67" w:rsidRPr="00F25659" w:rsidRDefault="00E25F67" w:rsidP="00BF4BDF">
            <w:pPr>
              <w:jc w:val="center"/>
              <w:rPr>
                <w:rFonts w:eastAsiaTheme="minorHAnsi" w:cs="Arial"/>
                <w:color w:val="000000"/>
                <w:szCs w:val="22"/>
              </w:rPr>
            </w:pPr>
          </w:p>
        </w:tc>
        <w:tc>
          <w:tcPr>
            <w:tcW w:w="3274" w:type="dxa"/>
            <w:vAlign w:val="center"/>
          </w:tcPr>
          <w:p w:rsidR="00E25F67" w:rsidRPr="00F25659" w:rsidRDefault="00E25F67" w:rsidP="00BF4BDF">
            <w:pPr>
              <w:rPr>
                <w:rFonts w:eastAsiaTheme="minorHAnsi" w:cs="Arial"/>
                <w:color w:val="000000"/>
                <w:szCs w:val="22"/>
              </w:rPr>
            </w:pPr>
            <w:r w:rsidRPr="00F25659">
              <w:rPr>
                <w:rFonts w:eastAsiaTheme="minorHAnsi" w:cs="Arial"/>
                <w:color w:val="000000"/>
                <w:szCs w:val="22"/>
              </w:rPr>
              <w:t>Day Lighting Control Side Lighting, 2-step control</w:t>
            </w:r>
          </w:p>
        </w:tc>
        <w:tc>
          <w:tcPr>
            <w:tcW w:w="1534" w:type="dxa"/>
            <w:vAlign w:val="center"/>
          </w:tcPr>
          <w:p w:rsidR="00E25F67" w:rsidRPr="00F25659" w:rsidRDefault="00E25F67" w:rsidP="004B0444">
            <w:pPr>
              <w:jc w:val="center"/>
              <w:rPr>
                <w:rFonts w:cs="Arial"/>
                <w:szCs w:val="22"/>
              </w:rPr>
            </w:pPr>
            <w:r w:rsidRPr="00F25659">
              <w:rPr>
                <w:rFonts w:cs="Arial"/>
                <w:szCs w:val="22"/>
              </w:rPr>
              <w:t>$115.39</w:t>
            </w:r>
          </w:p>
        </w:tc>
        <w:tc>
          <w:tcPr>
            <w:tcW w:w="1293" w:type="dxa"/>
            <w:vAlign w:val="center"/>
          </w:tcPr>
          <w:p w:rsidR="00E25F67" w:rsidRPr="00F25659" w:rsidRDefault="00E25F67" w:rsidP="00E25F67">
            <w:pPr>
              <w:jc w:val="center"/>
              <w:rPr>
                <w:rFonts w:cs="Arial"/>
                <w:szCs w:val="22"/>
              </w:rPr>
            </w:pPr>
            <w:r>
              <w:rPr>
                <w:rFonts w:cs="Arial"/>
                <w:szCs w:val="22"/>
              </w:rPr>
              <w:t>WO17</w:t>
            </w:r>
          </w:p>
        </w:tc>
      </w:tr>
      <w:tr w:rsidR="00E25F67" w:rsidRPr="001E3E91" w:rsidTr="003A3EBD">
        <w:trPr>
          <w:trHeight w:val="163"/>
        </w:trPr>
        <w:tc>
          <w:tcPr>
            <w:tcW w:w="2917" w:type="dxa"/>
            <w:vMerge/>
          </w:tcPr>
          <w:p w:rsidR="00E25F67" w:rsidRPr="00F25659" w:rsidRDefault="00E25F67" w:rsidP="00BF4BDF">
            <w:pPr>
              <w:jc w:val="center"/>
              <w:rPr>
                <w:rFonts w:eastAsiaTheme="minorHAnsi" w:cs="Arial"/>
                <w:color w:val="000000"/>
                <w:szCs w:val="22"/>
              </w:rPr>
            </w:pPr>
          </w:p>
        </w:tc>
        <w:tc>
          <w:tcPr>
            <w:tcW w:w="3274" w:type="dxa"/>
            <w:vAlign w:val="center"/>
          </w:tcPr>
          <w:p w:rsidR="00E25F67" w:rsidRPr="00F25659" w:rsidRDefault="00E25F67" w:rsidP="00BF4BDF">
            <w:pPr>
              <w:jc w:val="center"/>
              <w:rPr>
                <w:rFonts w:eastAsiaTheme="minorHAnsi" w:cs="Arial"/>
                <w:b/>
                <w:color w:val="000000"/>
                <w:szCs w:val="22"/>
              </w:rPr>
            </w:pPr>
            <w:r w:rsidRPr="00F25659">
              <w:rPr>
                <w:rFonts w:eastAsiaTheme="minorHAnsi" w:cs="Arial"/>
                <w:b/>
                <w:color w:val="000000"/>
                <w:szCs w:val="22"/>
              </w:rPr>
              <w:t>Total</w:t>
            </w:r>
          </w:p>
        </w:tc>
        <w:tc>
          <w:tcPr>
            <w:tcW w:w="2827" w:type="dxa"/>
            <w:gridSpan w:val="2"/>
            <w:vAlign w:val="center"/>
          </w:tcPr>
          <w:p w:rsidR="00E25F67" w:rsidRPr="00F25659" w:rsidRDefault="00E25F67" w:rsidP="00E25F67">
            <w:pPr>
              <w:jc w:val="center"/>
              <w:rPr>
                <w:rFonts w:cs="Arial"/>
                <w:b/>
                <w:szCs w:val="22"/>
              </w:rPr>
            </w:pPr>
            <w:r w:rsidRPr="00F25659">
              <w:rPr>
                <w:rFonts w:cs="Arial"/>
                <w:b/>
                <w:szCs w:val="22"/>
              </w:rPr>
              <w:t>$</w:t>
            </w:r>
            <w:r>
              <w:rPr>
                <w:rFonts w:cs="Arial"/>
                <w:b/>
                <w:szCs w:val="22"/>
              </w:rPr>
              <w:t>322</w:t>
            </w:r>
            <w:r w:rsidRPr="00F25659">
              <w:rPr>
                <w:rFonts w:cs="Arial"/>
                <w:b/>
                <w:szCs w:val="22"/>
              </w:rPr>
              <w:t>.46</w:t>
            </w:r>
          </w:p>
        </w:tc>
      </w:tr>
      <w:tr w:rsidR="00406E8E" w:rsidRPr="00F25659" w:rsidTr="003A3EBD">
        <w:trPr>
          <w:trHeight w:val="163"/>
        </w:trPr>
        <w:tc>
          <w:tcPr>
            <w:tcW w:w="2917" w:type="dxa"/>
            <w:vMerge w:val="restart"/>
            <w:vAlign w:val="center"/>
          </w:tcPr>
          <w:p w:rsidR="00406E8E" w:rsidRPr="00F25659" w:rsidRDefault="00406E8E" w:rsidP="003A3EBD">
            <w:pPr>
              <w:jc w:val="center"/>
              <w:rPr>
                <w:rFonts w:eastAsiaTheme="minorHAnsi" w:cs="Arial"/>
                <w:color w:val="000000"/>
                <w:szCs w:val="22"/>
              </w:rPr>
            </w:pPr>
            <w:bookmarkStart w:id="24" w:name="_Toc438457191"/>
            <w:r w:rsidRPr="00F25659">
              <w:rPr>
                <w:rFonts w:eastAsiaTheme="minorHAnsi" w:cs="Arial"/>
                <w:color w:val="000000"/>
                <w:szCs w:val="22"/>
              </w:rPr>
              <w:t xml:space="preserve">F32T8 Linear Fluorescent Fixture Material Costs in </w:t>
            </w:r>
          </w:p>
          <w:p w:rsidR="00406E8E" w:rsidRPr="00F25659" w:rsidRDefault="00406E8E" w:rsidP="003A3EBD">
            <w:pPr>
              <w:jc w:val="center"/>
              <w:rPr>
                <w:rFonts w:eastAsiaTheme="minorHAnsi" w:cs="Arial"/>
                <w:b/>
                <w:color w:val="000000"/>
                <w:szCs w:val="22"/>
              </w:rPr>
            </w:pPr>
            <w:r w:rsidRPr="00F25659">
              <w:rPr>
                <w:rFonts w:eastAsiaTheme="minorHAnsi" w:cs="Arial"/>
                <w:b/>
                <w:color w:val="000000"/>
                <w:szCs w:val="22"/>
              </w:rPr>
              <w:t>Non Day Lit Zone</w:t>
            </w:r>
          </w:p>
        </w:tc>
        <w:tc>
          <w:tcPr>
            <w:tcW w:w="3274"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T8, 48 inch, 2-lamp 32 watt, instant start ballast, surface mounted wrap (lamps not included)</w:t>
            </w:r>
          </w:p>
        </w:tc>
        <w:tc>
          <w:tcPr>
            <w:tcW w:w="1534" w:type="dxa"/>
            <w:vAlign w:val="center"/>
          </w:tcPr>
          <w:p w:rsidR="00406E8E" w:rsidRPr="00F25659" w:rsidRDefault="00406E8E" w:rsidP="003A3EBD">
            <w:pPr>
              <w:jc w:val="center"/>
              <w:rPr>
                <w:rFonts w:cs="Arial"/>
                <w:szCs w:val="22"/>
              </w:rPr>
            </w:pPr>
            <w:r w:rsidRPr="00F25659">
              <w:rPr>
                <w:rFonts w:cs="Arial"/>
                <w:szCs w:val="22"/>
              </w:rPr>
              <w:t xml:space="preserve"> $56.87 </w:t>
            </w:r>
          </w:p>
        </w:tc>
        <w:tc>
          <w:tcPr>
            <w:tcW w:w="1293" w:type="dxa"/>
            <w:vAlign w:val="center"/>
          </w:tcPr>
          <w:p w:rsidR="00406E8E" w:rsidRPr="00F25659" w:rsidRDefault="00406E8E" w:rsidP="003A3EBD">
            <w:pPr>
              <w:jc w:val="center"/>
              <w:rPr>
                <w:rFonts w:cs="Arial"/>
                <w:szCs w:val="22"/>
              </w:rPr>
            </w:pPr>
            <w:r>
              <w:rPr>
                <w:rFonts w:cs="Arial"/>
                <w:szCs w:val="22"/>
              </w:rPr>
              <w:t>WO17</w:t>
            </w:r>
          </w:p>
        </w:tc>
      </w:tr>
      <w:tr w:rsidR="00406E8E" w:rsidRPr="00F25659" w:rsidTr="003A3EBD">
        <w:trPr>
          <w:trHeight w:val="163"/>
        </w:trPr>
        <w:tc>
          <w:tcPr>
            <w:tcW w:w="2917" w:type="dxa"/>
            <w:vMerge/>
            <w:vAlign w:val="center"/>
          </w:tcPr>
          <w:p w:rsidR="00406E8E" w:rsidRPr="00F25659" w:rsidRDefault="00406E8E" w:rsidP="003A3EBD">
            <w:pPr>
              <w:jc w:val="center"/>
              <w:rPr>
                <w:rFonts w:eastAsiaTheme="minorHAnsi" w:cs="Arial"/>
                <w:color w:val="000000"/>
                <w:szCs w:val="22"/>
              </w:rPr>
            </w:pPr>
          </w:p>
        </w:tc>
        <w:tc>
          <w:tcPr>
            <w:tcW w:w="3274"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 xml:space="preserve">(2) </w:t>
            </w:r>
            <w:r>
              <w:rPr>
                <w:rFonts w:eastAsiaTheme="minorHAnsi" w:cs="Arial"/>
                <w:color w:val="000000"/>
                <w:szCs w:val="22"/>
              </w:rPr>
              <w:t>F32</w:t>
            </w:r>
            <w:r w:rsidRPr="00F25659">
              <w:rPr>
                <w:rFonts w:eastAsiaTheme="minorHAnsi" w:cs="Arial"/>
                <w:color w:val="000000"/>
                <w:szCs w:val="22"/>
              </w:rPr>
              <w:t>T8 Lamps</w:t>
            </w:r>
          </w:p>
        </w:tc>
        <w:tc>
          <w:tcPr>
            <w:tcW w:w="1534" w:type="dxa"/>
            <w:vAlign w:val="center"/>
          </w:tcPr>
          <w:p w:rsidR="00406E8E" w:rsidRPr="00F25659" w:rsidRDefault="00406E8E" w:rsidP="003A3EBD">
            <w:pPr>
              <w:jc w:val="center"/>
              <w:rPr>
                <w:rFonts w:cs="Arial"/>
                <w:szCs w:val="22"/>
              </w:rPr>
            </w:pPr>
            <w:r w:rsidRPr="00F25659">
              <w:rPr>
                <w:rFonts w:cs="Arial"/>
                <w:szCs w:val="22"/>
              </w:rPr>
              <w:t>$12.00</w:t>
            </w:r>
          </w:p>
        </w:tc>
        <w:tc>
          <w:tcPr>
            <w:tcW w:w="1293" w:type="dxa"/>
            <w:vAlign w:val="center"/>
          </w:tcPr>
          <w:p w:rsidR="00406E8E" w:rsidRPr="00F25659" w:rsidRDefault="00406E8E" w:rsidP="003A3EBD">
            <w:pPr>
              <w:jc w:val="center"/>
              <w:rPr>
                <w:rFonts w:cs="Arial"/>
                <w:szCs w:val="22"/>
              </w:rPr>
            </w:pPr>
            <w:r>
              <w:rPr>
                <w:rFonts w:cs="Arial"/>
                <w:szCs w:val="22"/>
              </w:rPr>
              <w:t>Online Retailer</w:t>
            </w:r>
          </w:p>
        </w:tc>
      </w:tr>
      <w:tr w:rsidR="00406E8E" w:rsidRPr="00F25659" w:rsidTr="003A3EBD">
        <w:trPr>
          <w:trHeight w:val="163"/>
        </w:trPr>
        <w:tc>
          <w:tcPr>
            <w:tcW w:w="2917" w:type="dxa"/>
            <w:vMerge/>
            <w:vAlign w:val="center"/>
          </w:tcPr>
          <w:p w:rsidR="00406E8E" w:rsidRPr="00F25659" w:rsidRDefault="00406E8E" w:rsidP="003A3EBD">
            <w:pPr>
              <w:jc w:val="center"/>
              <w:rPr>
                <w:rFonts w:eastAsiaTheme="minorHAnsi" w:cs="Arial"/>
                <w:color w:val="000000"/>
                <w:szCs w:val="22"/>
              </w:rPr>
            </w:pPr>
          </w:p>
        </w:tc>
        <w:tc>
          <w:tcPr>
            <w:tcW w:w="3274"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Occupancy Sensor Pack-1000 SF assume ceiling mounted</w:t>
            </w:r>
          </w:p>
        </w:tc>
        <w:tc>
          <w:tcPr>
            <w:tcW w:w="1534" w:type="dxa"/>
            <w:vAlign w:val="center"/>
          </w:tcPr>
          <w:p w:rsidR="00406E8E" w:rsidRPr="00F25659" w:rsidRDefault="00406E8E" w:rsidP="003A3EBD">
            <w:pPr>
              <w:jc w:val="center"/>
              <w:rPr>
                <w:rFonts w:cs="Arial"/>
                <w:szCs w:val="22"/>
              </w:rPr>
            </w:pPr>
            <w:r w:rsidRPr="00F25659">
              <w:rPr>
                <w:rFonts w:cs="Arial"/>
                <w:szCs w:val="22"/>
              </w:rPr>
              <w:t>$138.20</w:t>
            </w:r>
          </w:p>
        </w:tc>
        <w:tc>
          <w:tcPr>
            <w:tcW w:w="1293" w:type="dxa"/>
            <w:vAlign w:val="center"/>
          </w:tcPr>
          <w:p w:rsidR="00406E8E" w:rsidRPr="00F25659" w:rsidRDefault="00406E8E" w:rsidP="003A3EBD">
            <w:pPr>
              <w:jc w:val="center"/>
              <w:rPr>
                <w:rFonts w:cs="Arial"/>
                <w:szCs w:val="22"/>
              </w:rPr>
            </w:pPr>
            <w:r>
              <w:rPr>
                <w:rFonts w:cs="Arial"/>
                <w:szCs w:val="22"/>
              </w:rPr>
              <w:t>WO17</w:t>
            </w:r>
          </w:p>
        </w:tc>
      </w:tr>
      <w:tr w:rsidR="00406E8E" w:rsidRPr="00F25659" w:rsidTr="003A3EBD">
        <w:trPr>
          <w:trHeight w:val="163"/>
        </w:trPr>
        <w:tc>
          <w:tcPr>
            <w:tcW w:w="2917" w:type="dxa"/>
            <w:vMerge/>
            <w:vAlign w:val="center"/>
          </w:tcPr>
          <w:p w:rsidR="00406E8E" w:rsidRPr="00F25659" w:rsidRDefault="00406E8E" w:rsidP="003A3EBD">
            <w:pPr>
              <w:jc w:val="center"/>
              <w:rPr>
                <w:rFonts w:eastAsiaTheme="minorHAnsi" w:cs="Arial"/>
                <w:color w:val="000000"/>
                <w:szCs w:val="22"/>
              </w:rPr>
            </w:pPr>
          </w:p>
        </w:tc>
        <w:tc>
          <w:tcPr>
            <w:tcW w:w="3274" w:type="dxa"/>
            <w:vAlign w:val="center"/>
          </w:tcPr>
          <w:p w:rsidR="00406E8E" w:rsidRPr="00F25659" w:rsidRDefault="00406E8E" w:rsidP="003A3EBD">
            <w:pPr>
              <w:jc w:val="center"/>
              <w:rPr>
                <w:rFonts w:eastAsiaTheme="minorHAnsi" w:cs="Arial"/>
                <w:b/>
                <w:color w:val="000000"/>
                <w:szCs w:val="22"/>
              </w:rPr>
            </w:pPr>
            <w:r w:rsidRPr="00F25659">
              <w:rPr>
                <w:rFonts w:eastAsiaTheme="minorHAnsi" w:cs="Arial"/>
                <w:b/>
                <w:color w:val="000000"/>
                <w:szCs w:val="22"/>
              </w:rPr>
              <w:t>Total</w:t>
            </w:r>
          </w:p>
        </w:tc>
        <w:tc>
          <w:tcPr>
            <w:tcW w:w="2827" w:type="dxa"/>
            <w:gridSpan w:val="2"/>
            <w:vAlign w:val="center"/>
          </w:tcPr>
          <w:p w:rsidR="00406E8E" w:rsidRPr="00F25659" w:rsidRDefault="00406E8E" w:rsidP="003A3EBD">
            <w:pPr>
              <w:jc w:val="center"/>
              <w:rPr>
                <w:rFonts w:cs="Arial"/>
                <w:b/>
                <w:szCs w:val="22"/>
              </w:rPr>
            </w:pPr>
            <w:r w:rsidRPr="00F25659">
              <w:rPr>
                <w:rFonts w:cs="Arial"/>
                <w:b/>
                <w:szCs w:val="22"/>
              </w:rPr>
              <w:t>$207.07</w:t>
            </w:r>
          </w:p>
        </w:tc>
      </w:tr>
    </w:tbl>
    <w:p w:rsidR="002F7BA1" w:rsidRDefault="002F7BA1" w:rsidP="002F7BA1">
      <w:pPr>
        <w:pStyle w:val="Heading2"/>
        <w:keepLines/>
      </w:pPr>
      <w:r>
        <w:lastRenderedPageBreak/>
        <w:t>4.2 Measure Costs</w:t>
      </w:r>
      <w:bookmarkEnd w:id="24"/>
    </w:p>
    <w:p w:rsidR="002F7BA1" w:rsidRDefault="00A474EF" w:rsidP="002F7BA1">
      <w:pPr>
        <w:rPr>
          <w:rFonts w:ascii="Arial" w:hAnsi="Arial" w:cs="Arial"/>
          <w:sz w:val="20"/>
          <w:szCs w:val="20"/>
        </w:rPr>
      </w:pPr>
      <w:r w:rsidRPr="00A474EF">
        <w:rPr>
          <w:rFonts w:ascii="Arial" w:hAnsi="Arial" w:cs="Arial"/>
          <w:sz w:val="20"/>
          <w:szCs w:val="20"/>
        </w:rPr>
        <w:t>DEER 2016 does not have cost data for LED External Driver Lamp-Style Retrofit Kit (UL Type C) fixtures.</w:t>
      </w:r>
      <w:r>
        <w:rPr>
          <w:rFonts w:ascii="Arial" w:hAnsi="Arial" w:cs="Arial"/>
          <w:sz w:val="20"/>
          <w:szCs w:val="20"/>
        </w:rPr>
        <w:t xml:space="preserve"> </w:t>
      </w:r>
      <w:r w:rsidR="002F7BA1" w:rsidRPr="00EC4B0D">
        <w:rPr>
          <w:rFonts w:ascii="Arial" w:hAnsi="Arial" w:cs="Arial"/>
          <w:sz w:val="20"/>
          <w:szCs w:val="20"/>
        </w:rPr>
        <w:t xml:space="preserve">The measure </w:t>
      </w:r>
      <w:r w:rsidR="002F7BA1">
        <w:rPr>
          <w:rFonts w:ascii="Arial" w:hAnsi="Arial" w:cs="Arial"/>
          <w:sz w:val="20"/>
          <w:szCs w:val="20"/>
        </w:rPr>
        <w:t xml:space="preserve">equipment costs were </w:t>
      </w:r>
      <w:r w:rsidR="00406E8E">
        <w:rPr>
          <w:rFonts w:ascii="Arial" w:hAnsi="Arial" w:cs="Arial"/>
          <w:sz w:val="20"/>
          <w:szCs w:val="20"/>
        </w:rPr>
        <w:t>averaged</w:t>
      </w:r>
      <w:r w:rsidR="002F7BA1">
        <w:rPr>
          <w:rFonts w:ascii="Arial" w:hAnsi="Arial" w:cs="Arial"/>
          <w:sz w:val="20"/>
          <w:szCs w:val="20"/>
        </w:rPr>
        <w:t xml:space="preserve"> </w:t>
      </w:r>
      <w:r w:rsidR="002F7BA1" w:rsidRPr="00EC4B0D">
        <w:rPr>
          <w:rFonts w:ascii="Arial" w:hAnsi="Arial" w:cs="Arial"/>
          <w:sz w:val="20"/>
          <w:szCs w:val="20"/>
        </w:rPr>
        <w:t xml:space="preserve">from </w:t>
      </w:r>
      <w:r w:rsidR="00406E8E">
        <w:rPr>
          <w:rFonts w:ascii="Arial" w:hAnsi="Arial" w:cs="Arial"/>
          <w:sz w:val="20"/>
          <w:szCs w:val="20"/>
        </w:rPr>
        <w:t>online retailer</w:t>
      </w:r>
      <w:r w:rsidR="002F7BA1">
        <w:rPr>
          <w:rFonts w:ascii="Arial" w:hAnsi="Arial" w:cs="Arial"/>
          <w:sz w:val="20"/>
          <w:szCs w:val="20"/>
        </w:rPr>
        <w:t xml:space="preserve"> websites</w:t>
      </w:r>
      <w:r w:rsidR="00406E8E" w:rsidRPr="00406E8E">
        <w:rPr>
          <w:rStyle w:val="EndnoteReference"/>
          <w:rFonts w:ascii="Arial" w:eastAsiaTheme="minorHAnsi" w:hAnsi="Arial" w:cs="Arial"/>
          <w:b/>
          <w:color w:val="000000"/>
          <w:sz w:val="18"/>
          <w:szCs w:val="16"/>
        </w:rPr>
        <w:endnoteReference w:id="5"/>
      </w:r>
      <w:r w:rsidR="002F7BA1">
        <w:rPr>
          <w:rFonts w:ascii="Arial" w:hAnsi="Arial" w:cs="Arial"/>
          <w:sz w:val="20"/>
          <w:szCs w:val="20"/>
        </w:rPr>
        <w:t xml:space="preserve"> and confirmed with manufacturer representatives where possible.</w:t>
      </w:r>
      <w:r w:rsidR="002F7BA1" w:rsidRPr="00EC4B0D">
        <w:rPr>
          <w:rFonts w:ascii="Arial" w:hAnsi="Arial" w:cs="Arial"/>
          <w:sz w:val="20"/>
          <w:szCs w:val="20"/>
        </w:rPr>
        <w:t xml:space="preserve"> </w:t>
      </w:r>
    </w:p>
    <w:p w:rsidR="002F7BA1" w:rsidRDefault="002F7BA1" w:rsidP="002F7BA1">
      <w:pPr>
        <w:rPr>
          <w:rFonts w:ascii="Arial" w:hAnsi="Arial" w:cs="Arial"/>
          <w:sz w:val="20"/>
          <w:szCs w:val="20"/>
        </w:rPr>
      </w:pPr>
    </w:p>
    <w:p w:rsidR="002F7BA1" w:rsidRDefault="002F7BA1" w:rsidP="002F7BA1">
      <w:pPr>
        <w:pStyle w:val="Caption"/>
        <w:jc w:val="center"/>
      </w:pPr>
      <w:bookmarkStart w:id="25" w:name="_Toc438457215"/>
      <w:r>
        <w:t>Table X</w:t>
      </w:r>
      <w:r>
        <w:rPr>
          <w:noProof/>
        </w:rPr>
        <w:t xml:space="preserve"> </w:t>
      </w:r>
      <w:r w:rsidRPr="002F7BA1">
        <w:rPr>
          <w:b w:val="0"/>
        </w:rPr>
        <w:t xml:space="preserve">- </w:t>
      </w:r>
      <w:bookmarkEnd w:id="25"/>
      <w:r w:rsidR="00540EA9" w:rsidRPr="00540EA9">
        <w:rPr>
          <w:b w:val="0"/>
        </w:rPr>
        <w:t>LED External Driver Lamp-Style Retrofit Kit (UL Type C)</w:t>
      </w:r>
    </w:p>
    <w:tbl>
      <w:tblPr>
        <w:tblW w:w="9018"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3"/>
        <w:gridCol w:w="3498"/>
        <w:gridCol w:w="1405"/>
        <w:gridCol w:w="1202"/>
      </w:tblGrid>
      <w:tr w:rsidR="00406E8E" w:rsidRPr="0008537D" w:rsidTr="003A3EBD">
        <w:trPr>
          <w:trHeight w:val="181"/>
        </w:trPr>
        <w:tc>
          <w:tcPr>
            <w:tcW w:w="6411" w:type="dxa"/>
            <w:gridSpan w:val="2"/>
            <w:vAlign w:val="center"/>
          </w:tcPr>
          <w:p w:rsidR="00406E8E" w:rsidRPr="00422D1A" w:rsidRDefault="00406E8E" w:rsidP="004B0444">
            <w:pPr>
              <w:jc w:val="center"/>
              <w:rPr>
                <w:rFonts w:ascii="Arial" w:hAnsi="Arial" w:cs="Arial"/>
                <w:b/>
                <w:sz w:val="20"/>
                <w:szCs w:val="20"/>
              </w:rPr>
            </w:pPr>
            <w:r w:rsidRPr="00422D1A">
              <w:rPr>
                <w:rFonts w:ascii="Arial" w:hAnsi="Arial" w:cs="Arial"/>
                <w:b/>
                <w:sz w:val="20"/>
                <w:szCs w:val="20"/>
              </w:rPr>
              <w:t xml:space="preserve">Measure </w:t>
            </w:r>
            <w:r>
              <w:rPr>
                <w:rFonts w:ascii="Arial" w:hAnsi="Arial" w:cs="Arial"/>
                <w:b/>
                <w:sz w:val="20"/>
                <w:szCs w:val="20"/>
              </w:rPr>
              <w:t>Description</w:t>
            </w:r>
          </w:p>
        </w:tc>
        <w:tc>
          <w:tcPr>
            <w:tcW w:w="1405" w:type="dxa"/>
            <w:vAlign w:val="center"/>
          </w:tcPr>
          <w:p w:rsidR="00406E8E" w:rsidRPr="00422D1A" w:rsidRDefault="00406E8E" w:rsidP="004B0444">
            <w:pPr>
              <w:jc w:val="center"/>
              <w:rPr>
                <w:rFonts w:ascii="Arial" w:hAnsi="Arial" w:cs="Arial"/>
                <w:b/>
                <w:sz w:val="20"/>
                <w:szCs w:val="20"/>
              </w:rPr>
            </w:pPr>
            <w:r>
              <w:rPr>
                <w:rFonts w:ascii="Arial" w:hAnsi="Arial" w:cs="Arial"/>
                <w:b/>
                <w:sz w:val="20"/>
                <w:szCs w:val="20"/>
              </w:rPr>
              <w:t>Measure Equipment Cost</w:t>
            </w:r>
          </w:p>
        </w:tc>
        <w:tc>
          <w:tcPr>
            <w:tcW w:w="1202" w:type="dxa"/>
            <w:vAlign w:val="center"/>
          </w:tcPr>
          <w:p w:rsidR="00406E8E" w:rsidRDefault="00406E8E" w:rsidP="00406E8E">
            <w:pPr>
              <w:jc w:val="center"/>
              <w:rPr>
                <w:rFonts w:ascii="Arial" w:hAnsi="Arial" w:cs="Arial"/>
                <w:b/>
                <w:sz w:val="20"/>
                <w:szCs w:val="20"/>
              </w:rPr>
            </w:pPr>
            <w:r>
              <w:rPr>
                <w:rFonts w:ascii="Arial" w:hAnsi="Arial" w:cs="Arial"/>
                <w:b/>
                <w:sz w:val="20"/>
                <w:szCs w:val="20"/>
              </w:rPr>
              <w:t>Cost Source</w:t>
            </w:r>
          </w:p>
        </w:tc>
      </w:tr>
      <w:tr w:rsidR="00406E8E" w:rsidRPr="00F027AA" w:rsidTr="00406E8E">
        <w:trPr>
          <w:trHeight w:val="181"/>
        </w:trPr>
        <w:tc>
          <w:tcPr>
            <w:tcW w:w="2913" w:type="dxa"/>
            <w:vMerge w:val="restart"/>
            <w:vAlign w:val="center"/>
          </w:tcPr>
          <w:p w:rsidR="00406E8E" w:rsidRPr="00406E8E" w:rsidRDefault="00406E8E" w:rsidP="00406E8E">
            <w:pPr>
              <w:jc w:val="center"/>
              <w:rPr>
                <w:rFonts w:ascii="Arial" w:hAnsi="Arial" w:cs="Arial"/>
                <w:color w:val="000000"/>
                <w:sz w:val="20"/>
                <w:szCs w:val="22"/>
              </w:rPr>
            </w:pPr>
            <w:r w:rsidRPr="00406E8E">
              <w:rPr>
                <w:rFonts w:ascii="Arial" w:hAnsi="Arial" w:cs="Arial"/>
                <w:color w:val="000000"/>
                <w:sz w:val="20"/>
                <w:szCs w:val="22"/>
              </w:rPr>
              <w:t xml:space="preserve">LED External Driver Lamp-Style Retrofit Kit Fixture Material Costs in </w:t>
            </w:r>
          </w:p>
          <w:p w:rsidR="00406E8E" w:rsidRPr="00406E8E" w:rsidRDefault="00406E8E" w:rsidP="00406E8E">
            <w:pPr>
              <w:jc w:val="center"/>
              <w:rPr>
                <w:rFonts w:ascii="Arial" w:hAnsi="Arial" w:cs="Arial"/>
                <w:b/>
                <w:color w:val="000000"/>
                <w:sz w:val="20"/>
                <w:szCs w:val="22"/>
              </w:rPr>
            </w:pPr>
            <w:r w:rsidRPr="00406E8E">
              <w:rPr>
                <w:rFonts w:ascii="Arial" w:hAnsi="Arial" w:cs="Arial"/>
                <w:b/>
                <w:color w:val="000000"/>
                <w:sz w:val="20"/>
                <w:szCs w:val="22"/>
              </w:rPr>
              <w:t>Day Lit Zone</w:t>
            </w:r>
          </w:p>
        </w:tc>
        <w:tc>
          <w:tcPr>
            <w:tcW w:w="3498" w:type="dxa"/>
            <w:vAlign w:val="center"/>
          </w:tcPr>
          <w:p w:rsidR="00406E8E" w:rsidRPr="00661F2B" w:rsidRDefault="00406E8E" w:rsidP="00406E8E">
            <w:pPr>
              <w:rPr>
                <w:rFonts w:ascii="Arial" w:hAnsi="Arial" w:cs="Arial"/>
                <w:color w:val="000000"/>
                <w:sz w:val="20"/>
                <w:szCs w:val="22"/>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Pr>
                <w:rFonts w:ascii="Arial" w:eastAsiaTheme="minorHAnsi" w:hAnsi="Arial" w:cs="Arial"/>
                <w:color w:val="000000"/>
                <w:sz w:val="18"/>
                <w:szCs w:val="16"/>
              </w:rPr>
              <w:t>Material Equipment Cost</w:t>
            </w:r>
          </w:p>
        </w:tc>
        <w:tc>
          <w:tcPr>
            <w:tcW w:w="1405" w:type="dxa"/>
            <w:vAlign w:val="center"/>
          </w:tcPr>
          <w:p w:rsidR="00406E8E" w:rsidRPr="00661F2B" w:rsidRDefault="00406E8E" w:rsidP="00406E8E">
            <w:pPr>
              <w:jc w:val="center"/>
              <w:rPr>
                <w:rFonts w:ascii="Arial" w:hAnsi="Arial" w:cs="Arial"/>
                <w:sz w:val="20"/>
                <w:szCs w:val="22"/>
              </w:rPr>
            </w:pPr>
            <w:r w:rsidRPr="00661F2B">
              <w:rPr>
                <w:rFonts w:ascii="Arial" w:hAnsi="Arial" w:cs="Arial"/>
                <w:sz w:val="20"/>
                <w:szCs w:val="22"/>
              </w:rPr>
              <w:t>$</w:t>
            </w:r>
            <w:r>
              <w:rPr>
                <w:rFonts w:ascii="Arial" w:hAnsi="Arial" w:cs="Arial"/>
                <w:sz w:val="20"/>
                <w:szCs w:val="22"/>
              </w:rPr>
              <w:t>158.63</w:t>
            </w:r>
          </w:p>
        </w:tc>
        <w:tc>
          <w:tcPr>
            <w:tcW w:w="1202" w:type="dxa"/>
            <w:vAlign w:val="center"/>
          </w:tcPr>
          <w:p w:rsidR="00406E8E" w:rsidRPr="00661F2B" w:rsidRDefault="00406E8E" w:rsidP="00406E8E">
            <w:pPr>
              <w:jc w:val="center"/>
              <w:rPr>
                <w:rFonts w:ascii="Arial" w:hAnsi="Arial" w:cs="Arial"/>
                <w:sz w:val="20"/>
                <w:szCs w:val="22"/>
              </w:rPr>
            </w:pPr>
            <w:r>
              <w:rPr>
                <w:rFonts w:ascii="Arial" w:hAnsi="Arial" w:cs="Arial"/>
                <w:sz w:val="20"/>
                <w:szCs w:val="22"/>
              </w:rPr>
              <w:t>Online Retailer</w:t>
            </w:r>
            <w:r>
              <w:rPr>
                <w:rStyle w:val="EndnoteReference"/>
                <w:rFonts w:ascii="Arial" w:eastAsiaTheme="minorHAnsi" w:hAnsi="Arial" w:cs="Arial"/>
                <w:color w:val="000000"/>
                <w:sz w:val="18"/>
                <w:szCs w:val="16"/>
              </w:rPr>
              <w:endnoteReference w:id="6"/>
            </w:r>
            <w:r>
              <w:rPr>
                <w:rFonts w:ascii="Arial" w:hAnsi="Arial" w:cs="Arial"/>
                <w:sz w:val="20"/>
                <w:szCs w:val="22"/>
              </w:rPr>
              <w:t xml:space="preserve"> </w:t>
            </w:r>
          </w:p>
        </w:tc>
      </w:tr>
      <w:tr w:rsidR="00406E8E" w:rsidRPr="00F027AA" w:rsidTr="00406E8E">
        <w:trPr>
          <w:trHeight w:val="181"/>
        </w:trPr>
        <w:tc>
          <w:tcPr>
            <w:tcW w:w="2913" w:type="dxa"/>
            <w:vMerge/>
            <w:vAlign w:val="center"/>
          </w:tcPr>
          <w:p w:rsidR="00406E8E" w:rsidRPr="00406E8E" w:rsidRDefault="00406E8E" w:rsidP="00406E8E">
            <w:pPr>
              <w:jc w:val="center"/>
              <w:rPr>
                <w:rFonts w:ascii="Arial" w:hAnsi="Arial" w:cs="Arial"/>
                <w:color w:val="000000"/>
                <w:sz w:val="20"/>
                <w:szCs w:val="22"/>
              </w:rPr>
            </w:pPr>
          </w:p>
        </w:tc>
        <w:tc>
          <w:tcPr>
            <w:tcW w:w="3498"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Occupancy Sensor Pack-1000 SF assume ceiling mounted</w:t>
            </w:r>
          </w:p>
        </w:tc>
        <w:tc>
          <w:tcPr>
            <w:tcW w:w="1405" w:type="dxa"/>
            <w:vAlign w:val="center"/>
          </w:tcPr>
          <w:p w:rsidR="00406E8E" w:rsidRPr="00F25659" w:rsidRDefault="00406E8E" w:rsidP="003A3EBD">
            <w:pPr>
              <w:jc w:val="center"/>
              <w:rPr>
                <w:rFonts w:cs="Arial"/>
                <w:szCs w:val="22"/>
              </w:rPr>
            </w:pPr>
            <w:r w:rsidRPr="00F25659">
              <w:rPr>
                <w:rFonts w:cs="Arial"/>
                <w:szCs w:val="22"/>
              </w:rPr>
              <w:t>$138.20</w:t>
            </w:r>
          </w:p>
        </w:tc>
        <w:tc>
          <w:tcPr>
            <w:tcW w:w="1202" w:type="dxa"/>
            <w:vAlign w:val="center"/>
          </w:tcPr>
          <w:p w:rsidR="00406E8E" w:rsidRPr="00F25659" w:rsidRDefault="00406E8E" w:rsidP="003A3EBD">
            <w:pPr>
              <w:jc w:val="center"/>
              <w:rPr>
                <w:rFonts w:cs="Arial"/>
                <w:szCs w:val="22"/>
              </w:rPr>
            </w:pPr>
            <w:r>
              <w:rPr>
                <w:rFonts w:cs="Arial"/>
                <w:szCs w:val="22"/>
              </w:rPr>
              <w:t>WO17</w:t>
            </w:r>
          </w:p>
        </w:tc>
      </w:tr>
      <w:tr w:rsidR="00406E8E" w:rsidRPr="00F027AA" w:rsidTr="00406E8E">
        <w:trPr>
          <w:trHeight w:val="181"/>
        </w:trPr>
        <w:tc>
          <w:tcPr>
            <w:tcW w:w="2913" w:type="dxa"/>
            <w:vMerge/>
            <w:vAlign w:val="center"/>
          </w:tcPr>
          <w:p w:rsidR="00406E8E" w:rsidRPr="00406E8E" w:rsidRDefault="00406E8E" w:rsidP="00406E8E">
            <w:pPr>
              <w:jc w:val="center"/>
              <w:rPr>
                <w:rFonts w:ascii="Arial" w:hAnsi="Arial" w:cs="Arial"/>
                <w:color w:val="000000"/>
                <w:sz w:val="20"/>
                <w:szCs w:val="22"/>
              </w:rPr>
            </w:pPr>
          </w:p>
        </w:tc>
        <w:tc>
          <w:tcPr>
            <w:tcW w:w="3498"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Day Lighting Control Side Lighting, 2-step control</w:t>
            </w:r>
          </w:p>
        </w:tc>
        <w:tc>
          <w:tcPr>
            <w:tcW w:w="1405" w:type="dxa"/>
            <w:vAlign w:val="center"/>
          </w:tcPr>
          <w:p w:rsidR="00406E8E" w:rsidRPr="00F25659" w:rsidRDefault="00406E8E" w:rsidP="003A3EBD">
            <w:pPr>
              <w:jc w:val="center"/>
              <w:rPr>
                <w:rFonts w:cs="Arial"/>
                <w:szCs w:val="22"/>
              </w:rPr>
            </w:pPr>
            <w:r w:rsidRPr="00F25659">
              <w:rPr>
                <w:rFonts w:cs="Arial"/>
                <w:szCs w:val="22"/>
              </w:rPr>
              <w:t>$115.39</w:t>
            </w:r>
          </w:p>
        </w:tc>
        <w:tc>
          <w:tcPr>
            <w:tcW w:w="1202" w:type="dxa"/>
            <w:vAlign w:val="center"/>
          </w:tcPr>
          <w:p w:rsidR="00406E8E" w:rsidRPr="00F25659" w:rsidRDefault="00406E8E" w:rsidP="003A3EBD">
            <w:pPr>
              <w:jc w:val="center"/>
              <w:rPr>
                <w:rFonts w:cs="Arial"/>
                <w:szCs w:val="22"/>
              </w:rPr>
            </w:pPr>
            <w:r>
              <w:rPr>
                <w:rFonts w:cs="Arial"/>
                <w:szCs w:val="22"/>
              </w:rPr>
              <w:t>WO17</w:t>
            </w:r>
          </w:p>
        </w:tc>
      </w:tr>
      <w:tr w:rsidR="00406E8E" w:rsidRPr="00F027AA" w:rsidTr="003A3EBD">
        <w:trPr>
          <w:trHeight w:val="181"/>
        </w:trPr>
        <w:tc>
          <w:tcPr>
            <w:tcW w:w="2913" w:type="dxa"/>
            <w:vMerge/>
            <w:vAlign w:val="center"/>
          </w:tcPr>
          <w:p w:rsidR="00406E8E" w:rsidRPr="00406E8E" w:rsidRDefault="00406E8E" w:rsidP="00406E8E">
            <w:pPr>
              <w:jc w:val="center"/>
              <w:rPr>
                <w:rFonts w:ascii="Arial" w:hAnsi="Arial" w:cs="Arial"/>
                <w:color w:val="000000"/>
                <w:sz w:val="20"/>
                <w:szCs w:val="22"/>
              </w:rPr>
            </w:pPr>
          </w:p>
        </w:tc>
        <w:tc>
          <w:tcPr>
            <w:tcW w:w="3498" w:type="dxa"/>
            <w:vAlign w:val="center"/>
          </w:tcPr>
          <w:p w:rsidR="00406E8E" w:rsidRPr="00F25659" w:rsidRDefault="00406E8E" w:rsidP="003A3EBD">
            <w:pPr>
              <w:jc w:val="center"/>
              <w:rPr>
                <w:rFonts w:eastAsiaTheme="minorHAnsi" w:cs="Arial"/>
                <w:b/>
                <w:color w:val="000000"/>
                <w:szCs w:val="22"/>
              </w:rPr>
            </w:pPr>
            <w:r w:rsidRPr="00F25659">
              <w:rPr>
                <w:rFonts w:eastAsiaTheme="minorHAnsi" w:cs="Arial"/>
                <w:b/>
                <w:color w:val="000000"/>
                <w:szCs w:val="22"/>
              </w:rPr>
              <w:t>Total</w:t>
            </w:r>
          </w:p>
        </w:tc>
        <w:tc>
          <w:tcPr>
            <w:tcW w:w="2607" w:type="dxa"/>
            <w:gridSpan w:val="2"/>
            <w:vAlign w:val="center"/>
          </w:tcPr>
          <w:p w:rsidR="00406E8E" w:rsidRPr="00F25659" w:rsidRDefault="00406E8E" w:rsidP="00406E8E">
            <w:pPr>
              <w:jc w:val="center"/>
              <w:rPr>
                <w:rFonts w:eastAsiaTheme="minorHAnsi" w:cs="Arial"/>
                <w:b/>
                <w:color w:val="000000"/>
                <w:szCs w:val="22"/>
              </w:rPr>
            </w:pPr>
            <w:r w:rsidRPr="00F25659">
              <w:rPr>
                <w:rFonts w:cs="Arial"/>
                <w:b/>
                <w:szCs w:val="22"/>
              </w:rPr>
              <w:t>$</w:t>
            </w:r>
            <w:r>
              <w:rPr>
                <w:rFonts w:cs="Arial"/>
                <w:b/>
                <w:szCs w:val="22"/>
              </w:rPr>
              <w:t>412.22</w:t>
            </w:r>
          </w:p>
        </w:tc>
      </w:tr>
      <w:tr w:rsidR="00406E8E" w:rsidRPr="00F027AA" w:rsidTr="00406E8E">
        <w:trPr>
          <w:trHeight w:val="181"/>
        </w:trPr>
        <w:tc>
          <w:tcPr>
            <w:tcW w:w="2913" w:type="dxa"/>
            <w:vMerge w:val="restart"/>
            <w:vAlign w:val="center"/>
          </w:tcPr>
          <w:p w:rsidR="00406E8E" w:rsidRPr="00406E8E" w:rsidRDefault="00406E8E" w:rsidP="00406E8E">
            <w:pPr>
              <w:jc w:val="center"/>
              <w:rPr>
                <w:rFonts w:ascii="Arial" w:hAnsi="Arial" w:cs="Arial"/>
                <w:color w:val="000000"/>
                <w:sz w:val="20"/>
                <w:szCs w:val="22"/>
              </w:rPr>
            </w:pPr>
            <w:r w:rsidRPr="00406E8E">
              <w:rPr>
                <w:rFonts w:ascii="Arial" w:hAnsi="Arial" w:cs="Arial"/>
                <w:color w:val="000000"/>
                <w:sz w:val="20"/>
                <w:szCs w:val="22"/>
              </w:rPr>
              <w:t xml:space="preserve">LED External Driver Lamp-Style Retrofit Kit Fixture Material Costs in </w:t>
            </w:r>
          </w:p>
          <w:p w:rsidR="00406E8E" w:rsidRPr="00406E8E" w:rsidRDefault="00406E8E" w:rsidP="00406E8E">
            <w:pPr>
              <w:jc w:val="center"/>
              <w:rPr>
                <w:rFonts w:ascii="Arial" w:hAnsi="Arial" w:cs="Arial"/>
                <w:color w:val="000000"/>
                <w:sz w:val="20"/>
                <w:szCs w:val="22"/>
              </w:rPr>
            </w:pPr>
            <w:r>
              <w:rPr>
                <w:rFonts w:ascii="Arial" w:hAnsi="Arial" w:cs="Arial"/>
                <w:b/>
                <w:color w:val="000000"/>
                <w:sz w:val="20"/>
                <w:szCs w:val="22"/>
              </w:rPr>
              <w:t>Non-</w:t>
            </w:r>
            <w:r w:rsidRPr="00406E8E">
              <w:rPr>
                <w:rFonts w:ascii="Arial" w:hAnsi="Arial" w:cs="Arial"/>
                <w:b/>
                <w:color w:val="000000"/>
                <w:sz w:val="20"/>
                <w:szCs w:val="22"/>
              </w:rPr>
              <w:t>Day Lit Zone</w:t>
            </w:r>
          </w:p>
        </w:tc>
        <w:tc>
          <w:tcPr>
            <w:tcW w:w="3498" w:type="dxa"/>
            <w:vAlign w:val="center"/>
          </w:tcPr>
          <w:p w:rsidR="00406E8E" w:rsidRPr="00661F2B" w:rsidRDefault="00406E8E" w:rsidP="003A3EBD">
            <w:pPr>
              <w:rPr>
                <w:rFonts w:ascii="Arial" w:hAnsi="Arial" w:cs="Arial"/>
                <w:color w:val="000000"/>
                <w:sz w:val="20"/>
                <w:szCs w:val="22"/>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Pr>
                <w:rFonts w:ascii="Arial" w:eastAsiaTheme="minorHAnsi" w:hAnsi="Arial" w:cs="Arial"/>
                <w:color w:val="000000"/>
                <w:sz w:val="18"/>
                <w:szCs w:val="16"/>
              </w:rPr>
              <w:t>Material Equipment Cost</w:t>
            </w:r>
          </w:p>
        </w:tc>
        <w:tc>
          <w:tcPr>
            <w:tcW w:w="1405" w:type="dxa"/>
            <w:vAlign w:val="center"/>
          </w:tcPr>
          <w:p w:rsidR="00406E8E" w:rsidRPr="00661F2B" w:rsidRDefault="00406E8E" w:rsidP="003A3EBD">
            <w:pPr>
              <w:jc w:val="center"/>
              <w:rPr>
                <w:rFonts w:ascii="Arial" w:hAnsi="Arial" w:cs="Arial"/>
                <w:sz w:val="20"/>
                <w:szCs w:val="22"/>
              </w:rPr>
            </w:pPr>
            <w:r w:rsidRPr="00661F2B">
              <w:rPr>
                <w:rFonts w:ascii="Arial" w:hAnsi="Arial" w:cs="Arial"/>
                <w:sz w:val="20"/>
                <w:szCs w:val="22"/>
              </w:rPr>
              <w:t>$</w:t>
            </w:r>
            <w:r>
              <w:rPr>
                <w:rFonts w:ascii="Arial" w:hAnsi="Arial" w:cs="Arial"/>
                <w:sz w:val="20"/>
                <w:szCs w:val="22"/>
              </w:rPr>
              <w:t>158.63</w:t>
            </w:r>
          </w:p>
        </w:tc>
        <w:tc>
          <w:tcPr>
            <w:tcW w:w="1202" w:type="dxa"/>
            <w:vAlign w:val="center"/>
          </w:tcPr>
          <w:p w:rsidR="00406E8E" w:rsidRPr="00661F2B" w:rsidRDefault="00406E8E" w:rsidP="003A3EBD">
            <w:pPr>
              <w:jc w:val="center"/>
              <w:rPr>
                <w:rFonts w:ascii="Arial" w:hAnsi="Arial" w:cs="Arial"/>
                <w:sz w:val="20"/>
                <w:szCs w:val="22"/>
              </w:rPr>
            </w:pPr>
            <w:r>
              <w:rPr>
                <w:rFonts w:ascii="Arial" w:hAnsi="Arial" w:cs="Arial"/>
                <w:sz w:val="20"/>
                <w:szCs w:val="22"/>
              </w:rPr>
              <w:t>Online Retailer</w:t>
            </w:r>
            <w:r>
              <w:rPr>
                <w:rStyle w:val="EndnoteReference"/>
                <w:rFonts w:ascii="Arial" w:eastAsiaTheme="minorHAnsi" w:hAnsi="Arial" w:cs="Arial"/>
                <w:color w:val="000000"/>
                <w:sz w:val="18"/>
                <w:szCs w:val="16"/>
              </w:rPr>
              <w:endnoteReference w:id="7"/>
            </w:r>
            <w:r>
              <w:rPr>
                <w:rFonts w:ascii="Arial" w:hAnsi="Arial" w:cs="Arial"/>
                <w:sz w:val="20"/>
                <w:szCs w:val="22"/>
              </w:rPr>
              <w:t xml:space="preserve"> </w:t>
            </w:r>
          </w:p>
        </w:tc>
      </w:tr>
      <w:tr w:rsidR="00406E8E" w:rsidRPr="00F027AA" w:rsidTr="00406E8E">
        <w:trPr>
          <w:trHeight w:val="181"/>
        </w:trPr>
        <w:tc>
          <w:tcPr>
            <w:tcW w:w="2913" w:type="dxa"/>
            <w:vMerge/>
            <w:vAlign w:val="center"/>
          </w:tcPr>
          <w:p w:rsidR="00406E8E" w:rsidRPr="00406E8E" w:rsidRDefault="00406E8E" w:rsidP="00406E8E">
            <w:pPr>
              <w:jc w:val="center"/>
              <w:rPr>
                <w:rFonts w:ascii="Arial" w:hAnsi="Arial" w:cs="Arial"/>
                <w:color w:val="000000"/>
                <w:sz w:val="20"/>
                <w:szCs w:val="22"/>
              </w:rPr>
            </w:pPr>
          </w:p>
        </w:tc>
        <w:tc>
          <w:tcPr>
            <w:tcW w:w="3498" w:type="dxa"/>
            <w:vAlign w:val="center"/>
          </w:tcPr>
          <w:p w:rsidR="00406E8E" w:rsidRPr="00F25659" w:rsidRDefault="00406E8E" w:rsidP="003A3EBD">
            <w:pPr>
              <w:rPr>
                <w:rFonts w:eastAsiaTheme="minorHAnsi" w:cs="Arial"/>
                <w:color w:val="000000"/>
                <w:szCs w:val="22"/>
              </w:rPr>
            </w:pPr>
            <w:r w:rsidRPr="00F25659">
              <w:rPr>
                <w:rFonts w:eastAsiaTheme="minorHAnsi" w:cs="Arial"/>
                <w:color w:val="000000"/>
                <w:szCs w:val="22"/>
              </w:rPr>
              <w:t>Occupancy Sensor Pack-1000 SF assume ceiling mounted</w:t>
            </w:r>
          </w:p>
        </w:tc>
        <w:tc>
          <w:tcPr>
            <w:tcW w:w="1405" w:type="dxa"/>
            <w:vAlign w:val="center"/>
          </w:tcPr>
          <w:p w:rsidR="00406E8E" w:rsidRPr="00F25659" w:rsidRDefault="00406E8E" w:rsidP="003A3EBD">
            <w:pPr>
              <w:jc w:val="center"/>
              <w:rPr>
                <w:rFonts w:cs="Arial"/>
                <w:szCs w:val="22"/>
              </w:rPr>
            </w:pPr>
            <w:r w:rsidRPr="00F25659">
              <w:rPr>
                <w:rFonts w:cs="Arial"/>
                <w:szCs w:val="22"/>
              </w:rPr>
              <w:t>$138.20</w:t>
            </w:r>
          </w:p>
        </w:tc>
        <w:tc>
          <w:tcPr>
            <w:tcW w:w="1202" w:type="dxa"/>
            <w:vAlign w:val="center"/>
          </w:tcPr>
          <w:p w:rsidR="00406E8E" w:rsidRPr="00F25659" w:rsidRDefault="00406E8E" w:rsidP="003A3EBD">
            <w:pPr>
              <w:jc w:val="center"/>
              <w:rPr>
                <w:rFonts w:cs="Arial"/>
                <w:szCs w:val="22"/>
              </w:rPr>
            </w:pPr>
            <w:r>
              <w:rPr>
                <w:rFonts w:cs="Arial"/>
                <w:szCs w:val="22"/>
              </w:rPr>
              <w:t>WO17</w:t>
            </w:r>
          </w:p>
        </w:tc>
      </w:tr>
      <w:tr w:rsidR="00082632" w:rsidRPr="00F027AA" w:rsidTr="003A3EBD">
        <w:trPr>
          <w:trHeight w:val="181"/>
        </w:trPr>
        <w:tc>
          <w:tcPr>
            <w:tcW w:w="2913" w:type="dxa"/>
            <w:vMerge/>
            <w:vAlign w:val="center"/>
          </w:tcPr>
          <w:p w:rsidR="00082632" w:rsidRPr="00406E8E" w:rsidRDefault="00082632" w:rsidP="00406E8E">
            <w:pPr>
              <w:jc w:val="center"/>
              <w:rPr>
                <w:rFonts w:ascii="Arial" w:hAnsi="Arial" w:cs="Arial"/>
                <w:color w:val="000000"/>
                <w:sz w:val="20"/>
                <w:szCs w:val="22"/>
              </w:rPr>
            </w:pPr>
          </w:p>
        </w:tc>
        <w:tc>
          <w:tcPr>
            <w:tcW w:w="3498" w:type="dxa"/>
            <w:vAlign w:val="center"/>
          </w:tcPr>
          <w:p w:rsidR="00082632" w:rsidRPr="00F25659" w:rsidRDefault="00082632" w:rsidP="003A3EBD">
            <w:pPr>
              <w:jc w:val="center"/>
              <w:rPr>
                <w:rFonts w:eastAsiaTheme="minorHAnsi" w:cs="Arial"/>
                <w:b/>
                <w:color w:val="000000"/>
                <w:szCs w:val="22"/>
              </w:rPr>
            </w:pPr>
            <w:r w:rsidRPr="00F25659">
              <w:rPr>
                <w:rFonts w:eastAsiaTheme="minorHAnsi" w:cs="Arial"/>
                <w:b/>
                <w:color w:val="000000"/>
                <w:szCs w:val="22"/>
              </w:rPr>
              <w:t>Total</w:t>
            </w:r>
          </w:p>
        </w:tc>
        <w:tc>
          <w:tcPr>
            <w:tcW w:w="2607" w:type="dxa"/>
            <w:gridSpan w:val="2"/>
            <w:vAlign w:val="center"/>
          </w:tcPr>
          <w:p w:rsidR="00082632" w:rsidRPr="00F25659" w:rsidRDefault="00082632" w:rsidP="00082632">
            <w:pPr>
              <w:jc w:val="center"/>
              <w:rPr>
                <w:rFonts w:eastAsiaTheme="minorHAnsi" w:cs="Arial"/>
                <w:b/>
                <w:color w:val="000000"/>
                <w:szCs w:val="22"/>
              </w:rPr>
            </w:pPr>
            <w:r w:rsidRPr="00F25659">
              <w:rPr>
                <w:rFonts w:cs="Arial"/>
                <w:b/>
                <w:szCs w:val="22"/>
              </w:rPr>
              <w:t>$</w:t>
            </w:r>
            <w:r>
              <w:rPr>
                <w:rFonts w:cs="Arial"/>
                <w:b/>
                <w:szCs w:val="22"/>
              </w:rPr>
              <w:t>296.83</w:t>
            </w:r>
          </w:p>
        </w:tc>
      </w:tr>
    </w:tbl>
    <w:p w:rsidR="002F7BA1" w:rsidRDefault="002F7BA1" w:rsidP="002F7BA1">
      <w:pPr>
        <w:pStyle w:val="Heading2"/>
        <w:keepLines/>
      </w:pPr>
      <w:bookmarkStart w:id="26" w:name="_Toc438457192"/>
      <w:r>
        <w:t>4.3 Incremental &amp; Full Measure Costs</w:t>
      </w:r>
      <w:bookmarkEnd w:id="26"/>
    </w:p>
    <w:p w:rsidR="002F7BA1" w:rsidRDefault="002F7BA1" w:rsidP="002F7BA1">
      <w:pPr>
        <w:pStyle w:val="Heading2"/>
      </w:pPr>
      <w:bookmarkStart w:id="27" w:name="_Toc383697822"/>
      <w:bookmarkStart w:id="28" w:name="_Toc438457193"/>
      <w:r w:rsidRPr="00746B00">
        <w:t>4.3.1 Full Measure Cost</w:t>
      </w:r>
      <w:bookmarkEnd w:id="27"/>
      <w:bookmarkEnd w:id="28"/>
    </w:p>
    <w:p w:rsidR="002F7BA1" w:rsidRPr="005B1DEA" w:rsidRDefault="002F7BA1" w:rsidP="002F7BA1">
      <w:pPr>
        <w:rPr>
          <w:rFonts w:ascii="Arial" w:hAnsi="Arial" w:cs="Arial"/>
          <w:sz w:val="20"/>
          <w:szCs w:val="20"/>
        </w:rPr>
      </w:pPr>
      <w:r>
        <w:rPr>
          <w:rFonts w:ascii="Arial" w:hAnsi="Arial" w:cs="Arial"/>
          <w:sz w:val="20"/>
          <w:szCs w:val="20"/>
        </w:rPr>
        <w:t xml:space="preserve">The Full </w:t>
      </w:r>
      <w:r w:rsidRPr="005B1DEA">
        <w:rPr>
          <w:rFonts w:ascii="Arial" w:hAnsi="Arial" w:cs="Arial"/>
          <w:sz w:val="20"/>
          <w:szCs w:val="20"/>
        </w:rPr>
        <w:t xml:space="preserve">Measure Cost </w:t>
      </w:r>
      <w:r w:rsidR="00540EA9">
        <w:rPr>
          <w:rFonts w:ascii="Arial" w:hAnsi="Arial" w:cs="Arial"/>
          <w:sz w:val="20"/>
          <w:szCs w:val="20"/>
        </w:rPr>
        <w:t xml:space="preserve">(FMC) </w:t>
      </w:r>
      <w:r w:rsidRPr="005B1DEA">
        <w:rPr>
          <w:rFonts w:ascii="Arial" w:hAnsi="Arial" w:cs="Arial"/>
          <w:sz w:val="20"/>
          <w:szCs w:val="20"/>
        </w:rPr>
        <w:t>is applicable to Direct Install programs.</w:t>
      </w:r>
      <w:r w:rsidR="00540EA9">
        <w:rPr>
          <w:rFonts w:ascii="Arial" w:hAnsi="Arial" w:cs="Arial"/>
          <w:sz w:val="20"/>
          <w:szCs w:val="20"/>
        </w:rPr>
        <w:t xml:space="preserve"> </w:t>
      </w:r>
      <w:r>
        <w:rPr>
          <w:rFonts w:ascii="Arial" w:hAnsi="Arial" w:cs="Arial"/>
          <w:sz w:val="20"/>
          <w:szCs w:val="20"/>
        </w:rPr>
        <w:t>There is an effort on updating systems to collect</w:t>
      </w:r>
      <w:r w:rsidR="00540EA9">
        <w:rPr>
          <w:rFonts w:ascii="Arial" w:hAnsi="Arial" w:cs="Arial"/>
          <w:sz w:val="20"/>
          <w:szCs w:val="20"/>
        </w:rPr>
        <w:t xml:space="preserve"> actual costs from implementers. Until such time,</w:t>
      </w:r>
      <w:r>
        <w:rPr>
          <w:rFonts w:ascii="Arial" w:hAnsi="Arial" w:cs="Arial"/>
          <w:sz w:val="20"/>
          <w:szCs w:val="20"/>
        </w:rPr>
        <w:t xml:space="preserve"> the following costs will be used for direct install.</w:t>
      </w:r>
    </w:p>
    <w:p w:rsidR="00540EA9" w:rsidRDefault="00540EA9" w:rsidP="002F7BA1">
      <w:pPr>
        <w:rPr>
          <w:rFonts w:ascii="Arial" w:hAnsi="Arial" w:cs="Arial"/>
          <w:sz w:val="20"/>
          <w:szCs w:val="20"/>
        </w:rPr>
      </w:pPr>
    </w:p>
    <w:p w:rsidR="002F7BA1" w:rsidRDefault="002F7BA1" w:rsidP="002F7BA1">
      <w:pPr>
        <w:rPr>
          <w:rFonts w:ascii="Arial" w:hAnsi="Arial" w:cs="Arial"/>
          <w:sz w:val="20"/>
          <w:szCs w:val="20"/>
        </w:rPr>
      </w:pPr>
      <w:r>
        <w:rPr>
          <w:rFonts w:ascii="Arial" w:hAnsi="Arial" w:cs="Arial"/>
          <w:sz w:val="20"/>
          <w:szCs w:val="20"/>
        </w:rPr>
        <w:t>FMC</w:t>
      </w:r>
      <w:r w:rsidRPr="005B1DEA">
        <w:rPr>
          <w:rFonts w:ascii="Arial" w:hAnsi="Arial" w:cs="Arial"/>
          <w:sz w:val="20"/>
          <w:szCs w:val="20"/>
        </w:rPr>
        <w:t xml:space="preserve"> = Measure Equipment Cost + Measure Labor Cost</w:t>
      </w:r>
    </w:p>
    <w:p w:rsidR="002F7BA1" w:rsidRDefault="002F7BA1" w:rsidP="002F7BA1">
      <w:pPr>
        <w:rPr>
          <w:rFonts w:ascii="Arial" w:hAnsi="Arial" w:cs="Arial"/>
          <w:sz w:val="20"/>
          <w:szCs w:val="20"/>
        </w:rPr>
      </w:pPr>
    </w:p>
    <w:p w:rsidR="002F7BA1" w:rsidRDefault="002F7BA1" w:rsidP="002F7BA1">
      <w:pPr>
        <w:pStyle w:val="Caption"/>
        <w:jc w:val="center"/>
        <w:rPr>
          <w:rFonts w:ascii="Arial" w:hAnsi="Arial" w:cs="Arial"/>
        </w:rPr>
      </w:pPr>
      <w:bookmarkStart w:id="29" w:name="_Toc438457216"/>
      <w:r>
        <w:t xml:space="preserve">Table </w:t>
      </w:r>
      <w:r w:rsidR="00AC15C8">
        <w:fldChar w:fldCharType="begin"/>
      </w:r>
      <w:r w:rsidR="00AC15C8">
        <w:instrText xml:space="preserve"> SEQ Table \* ARABIC </w:instrText>
      </w:r>
      <w:r w:rsidR="00AC15C8">
        <w:fldChar w:fldCharType="separate"/>
      </w:r>
      <w:r>
        <w:rPr>
          <w:noProof/>
        </w:rPr>
        <w:t>9</w:t>
      </w:r>
      <w:r w:rsidR="00AC15C8">
        <w:rPr>
          <w:noProof/>
        </w:rPr>
        <w:fldChar w:fldCharType="end"/>
      </w:r>
      <w:r>
        <w:rPr>
          <w:noProof/>
        </w:rPr>
        <w:t xml:space="preserve"> </w:t>
      </w:r>
      <w:r>
        <w:t xml:space="preserve">- </w:t>
      </w:r>
      <w:r w:rsidR="00082632" w:rsidRPr="00082632">
        <w:t xml:space="preserve">LED External Driver Lamp-Style Retrofit Kit (UL Type C) Fixture </w:t>
      </w:r>
      <w:r>
        <w:t>Full Measure Cost</w:t>
      </w:r>
      <w:bookmarkEnd w:id="29"/>
    </w:p>
    <w:tbl>
      <w:tblPr>
        <w:tblW w:w="8657" w:type="dxa"/>
        <w:jc w:val="center"/>
        <w:tblInd w:w="-1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77"/>
        <w:gridCol w:w="1530"/>
        <w:gridCol w:w="1170"/>
        <w:gridCol w:w="1080"/>
      </w:tblGrid>
      <w:tr w:rsidR="002F7BA1" w:rsidRPr="0008537D" w:rsidTr="004B0444">
        <w:trPr>
          <w:trHeight w:val="809"/>
          <w:jc w:val="center"/>
        </w:trPr>
        <w:tc>
          <w:tcPr>
            <w:tcW w:w="4877" w:type="dxa"/>
            <w:vAlign w:val="center"/>
          </w:tcPr>
          <w:p w:rsidR="002F7BA1" w:rsidRPr="00422D1A" w:rsidRDefault="002F7BA1" w:rsidP="004B0444">
            <w:pPr>
              <w:jc w:val="center"/>
              <w:rPr>
                <w:rFonts w:ascii="Arial" w:hAnsi="Arial" w:cs="Arial"/>
                <w:b/>
                <w:sz w:val="20"/>
                <w:szCs w:val="20"/>
              </w:rPr>
            </w:pPr>
            <w:r w:rsidRPr="00422D1A">
              <w:rPr>
                <w:rFonts w:ascii="Arial" w:hAnsi="Arial" w:cs="Arial"/>
                <w:b/>
                <w:sz w:val="20"/>
                <w:szCs w:val="20"/>
              </w:rPr>
              <w:t xml:space="preserve">Measure </w:t>
            </w:r>
            <w:r>
              <w:rPr>
                <w:rFonts w:ascii="Arial" w:hAnsi="Arial" w:cs="Arial"/>
                <w:b/>
                <w:sz w:val="20"/>
                <w:szCs w:val="20"/>
              </w:rPr>
              <w:t>Description</w:t>
            </w:r>
          </w:p>
        </w:tc>
        <w:tc>
          <w:tcPr>
            <w:tcW w:w="1530" w:type="dxa"/>
            <w:vAlign w:val="center"/>
          </w:tcPr>
          <w:p w:rsidR="002F7BA1" w:rsidRPr="00422D1A" w:rsidRDefault="002F7BA1" w:rsidP="004B0444">
            <w:pPr>
              <w:jc w:val="center"/>
              <w:rPr>
                <w:rFonts w:ascii="Arial" w:hAnsi="Arial" w:cs="Arial"/>
                <w:b/>
                <w:sz w:val="20"/>
                <w:szCs w:val="20"/>
              </w:rPr>
            </w:pPr>
            <w:r>
              <w:rPr>
                <w:rFonts w:ascii="Arial" w:hAnsi="Arial" w:cs="Arial"/>
                <w:b/>
                <w:sz w:val="20"/>
                <w:szCs w:val="20"/>
              </w:rPr>
              <w:t>Measure Equipment Cost</w:t>
            </w:r>
          </w:p>
        </w:tc>
        <w:tc>
          <w:tcPr>
            <w:tcW w:w="1170" w:type="dxa"/>
            <w:vAlign w:val="center"/>
          </w:tcPr>
          <w:p w:rsidR="002F7BA1" w:rsidRDefault="002F7BA1" w:rsidP="004B0444">
            <w:pPr>
              <w:jc w:val="center"/>
              <w:rPr>
                <w:rFonts w:ascii="Arial" w:hAnsi="Arial" w:cs="Arial"/>
                <w:b/>
                <w:sz w:val="20"/>
                <w:szCs w:val="20"/>
              </w:rPr>
            </w:pPr>
            <w:r>
              <w:rPr>
                <w:rFonts w:ascii="Arial" w:hAnsi="Arial" w:cs="Arial"/>
                <w:b/>
                <w:sz w:val="20"/>
                <w:szCs w:val="20"/>
              </w:rPr>
              <w:t>Measure Labor Cost</w:t>
            </w:r>
            <w:r>
              <w:rPr>
                <w:rStyle w:val="EndnoteReference"/>
                <w:rFonts w:ascii="Arial" w:hAnsi="Arial" w:cs="Arial"/>
                <w:b/>
                <w:sz w:val="20"/>
                <w:szCs w:val="20"/>
              </w:rPr>
              <w:endnoteReference w:id="8"/>
            </w:r>
          </w:p>
        </w:tc>
        <w:tc>
          <w:tcPr>
            <w:tcW w:w="1080" w:type="dxa"/>
            <w:vAlign w:val="center"/>
          </w:tcPr>
          <w:p w:rsidR="002F7BA1" w:rsidRDefault="002F7BA1" w:rsidP="004B0444">
            <w:pPr>
              <w:jc w:val="center"/>
              <w:rPr>
                <w:rFonts w:ascii="Arial" w:hAnsi="Arial" w:cs="Arial"/>
                <w:b/>
                <w:sz w:val="20"/>
                <w:szCs w:val="20"/>
              </w:rPr>
            </w:pPr>
            <w:r>
              <w:rPr>
                <w:rFonts w:ascii="Arial" w:hAnsi="Arial" w:cs="Arial"/>
                <w:b/>
                <w:sz w:val="20"/>
                <w:szCs w:val="20"/>
              </w:rPr>
              <w:t>Full</w:t>
            </w:r>
          </w:p>
          <w:p w:rsidR="002F7BA1" w:rsidRPr="00422D1A" w:rsidRDefault="002F7BA1" w:rsidP="004B0444">
            <w:pPr>
              <w:jc w:val="center"/>
              <w:rPr>
                <w:rFonts w:ascii="Arial" w:hAnsi="Arial" w:cs="Arial"/>
                <w:b/>
                <w:sz w:val="20"/>
                <w:szCs w:val="20"/>
              </w:rPr>
            </w:pPr>
            <w:r w:rsidRPr="00422D1A">
              <w:rPr>
                <w:rFonts w:ascii="Arial" w:hAnsi="Arial" w:cs="Arial"/>
                <w:b/>
                <w:sz w:val="20"/>
                <w:szCs w:val="20"/>
              </w:rPr>
              <w:t>Measure Cost</w:t>
            </w:r>
          </w:p>
        </w:tc>
      </w:tr>
      <w:tr w:rsidR="002F7BA1" w:rsidRPr="00A55E10" w:rsidTr="004B0444">
        <w:trPr>
          <w:trHeight w:val="157"/>
          <w:jc w:val="center"/>
        </w:trPr>
        <w:tc>
          <w:tcPr>
            <w:tcW w:w="4877" w:type="dxa"/>
          </w:tcPr>
          <w:p w:rsidR="00082632" w:rsidRPr="00082632" w:rsidRDefault="00540EA9" w:rsidP="00082632">
            <w:pPr>
              <w:rPr>
                <w:rFonts w:ascii="Arial" w:eastAsiaTheme="minorHAnsi" w:hAnsi="Arial" w:cs="Arial"/>
                <w:color w:val="000000"/>
                <w:sz w:val="18"/>
                <w:szCs w:val="16"/>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sidR="00082632" w:rsidRPr="00082632">
              <w:rPr>
                <w:rFonts w:ascii="Arial" w:eastAsiaTheme="minorHAnsi" w:hAnsi="Arial" w:cs="Arial"/>
                <w:color w:val="000000"/>
                <w:sz w:val="18"/>
                <w:szCs w:val="16"/>
              </w:rPr>
              <w:t xml:space="preserve">Material Costs in </w:t>
            </w:r>
          </w:p>
          <w:p w:rsidR="002F7BA1" w:rsidRPr="00661F2B" w:rsidRDefault="00082632" w:rsidP="00082632">
            <w:pPr>
              <w:rPr>
                <w:rFonts w:ascii="Arial" w:hAnsi="Arial" w:cs="Arial"/>
                <w:sz w:val="20"/>
                <w:szCs w:val="20"/>
              </w:rPr>
            </w:pPr>
            <w:r w:rsidRPr="00082632">
              <w:rPr>
                <w:rFonts w:ascii="Arial" w:eastAsiaTheme="minorHAnsi" w:hAnsi="Arial" w:cs="Arial"/>
                <w:color w:val="000000"/>
                <w:sz w:val="18"/>
                <w:szCs w:val="16"/>
              </w:rPr>
              <w:t>Day Lit Zone</w:t>
            </w:r>
          </w:p>
        </w:tc>
        <w:tc>
          <w:tcPr>
            <w:tcW w:w="1530" w:type="dxa"/>
            <w:vAlign w:val="center"/>
          </w:tcPr>
          <w:p w:rsidR="002F7BA1" w:rsidRPr="00661F2B" w:rsidRDefault="002F7BA1" w:rsidP="00082632">
            <w:pPr>
              <w:jc w:val="center"/>
              <w:rPr>
                <w:rFonts w:ascii="Arial" w:hAnsi="Arial" w:cs="Arial"/>
                <w:sz w:val="20"/>
                <w:szCs w:val="20"/>
              </w:rPr>
            </w:pPr>
            <w:r w:rsidRPr="00661F2B">
              <w:rPr>
                <w:rFonts w:ascii="Arial" w:hAnsi="Arial" w:cs="Arial"/>
                <w:sz w:val="20"/>
                <w:szCs w:val="20"/>
              </w:rPr>
              <w:t>$</w:t>
            </w:r>
            <w:r w:rsidR="00082632">
              <w:rPr>
                <w:rFonts w:ascii="Arial" w:hAnsi="Arial" w:cs="Arial"/>
                <w:sz w:val="20"/>
                <w:szCs w:val="20"/>
              </w:rPr>
              <w:t>412.22</w:t>
            </w:r>
          </w:p>
        </w:tc>
        <w:tc>
          <w:tcPr>
            <w:tcW w:w="1170" w:type="dxa"/>
            <w:vAlign w:val="center"/>
          </w:tcPr>
          <w:p w:rsidR="002F7BA1" w:rsidRPr="00661F2B" w:rsidRDefault="002F7BA1" w:rsidP="00082632">
            <w:pPr>
              <w:ind w:left="720" w:hanging="720"/>
              <w:jc w:val="center"/>
              <w:rPr>
                <w:rFonts w:ascii="Arial" w:hAnsi="Arial" w:cs="Arial"/>
                <w:sz w:val="20"/>
                <w:szCs w:val="20"/>
              </w:rPr>
            </w:pPr>
            <w:r w:rsidRPr="00661F2B">
              <w:rPr>
                <w:rFonts w:ascii="Arial" w:hAnsi="Arial" w:cs="Arial"/>
                <w:sz w:val="20"/>
                <w:szCs w:val="20"/>
              </w:rPr>
              <w:t>$</w:t>
            </w:r>
            <w:r w:rsidR="00082632">
              <w:rPr>
                <w:rFonts w:ascii="Arial" w:hAnsi="Arial" w:cs="Arial"/>
                <w:sz w:val="20"/>
                <w:szCs w:val="20"/>
              </w:rPr>
              <w:t>99.52</w:t>
            </w:r>
          </w:p>
        </w:tc>
        <w:tc>
          <w:tcPr>
            <w:tcW w:w="1080" w:type="dxa"/>
            <w:vAlign w:val="center"/>
          </w:tcPr>
          <w:p w:rsidR="002F7BA1" w:rsidRPr="00661F2B" w:rsidRDefault="002F7BA1" w:rsidP="00082632">
            <w:pPr>
              <w:jc w:val="center"/>
              <w:rPr>
                <w:rFonts w:ascii="Arial" w:hAnsi="Arial" w:cs="Arial"/>
                <w:bCs/>
                <w:sz w:val="20"/>
                <w:szCs w:val="20"/>
              </w:rPr>
            </w:pPr>
            <w:r w:rsidRPr="00661F2B">
              <w:rPr>
                <w:rFonts w:ascii="Arial" w:hAnsi="Arial" w:cs="Arial"/>
                <w:bCs/>
                <w:sz w:val="20"/>
                <w:szCs w:val="20"/>
              </w:rPr>
              <w:t>$</w:t>
            </w:r>
            <w:r w:rsidR="00082632">
              <w:rPr>
                <w:rFonts w:ascii="Arial" w:hAnsi="Arial" w:cs="Arial"/>
                <w:bCs/>
                <w:sz w:val="20"/>
                <w:szCs w:val="20"/>
              </w:rPr>
              <w:t>511.74</w:t>
            </w:r>
          </w:p>
        </w:tc>
      </w:tr>
      <w:tr w:rsidR="00082632" w:rsidRPr="00A55E10" w:rsidTr="004B0444">
        <w:trPr>
          <w:trHeight w:val="157"/>
          <w:jc w:val="center"/>
        </w:trPr>
        <w:tc>
          <w:tcPr>
            <w:tcW w:w="4877" w:type="dxa"/>
          </w:tcPr>
          <w:p w:rsidR="00082632" w:rsidRPr="00082632" w:rsidRDefault="00082632" w:rsidP="00082632">
            <w:pPr>
              <w:rPr>
                <w:rFonts w:ascii="Arial" w:eastAsiaTheme="minorHAnsi" w:hAnsi="Arial" w:cs="Arial"/>
                <w:color w:val="000000"/>
                <w:sz w:val="18"/>
                <w:szCs w:val="16"/>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sidRPr="00082632">
              <w:rPr>
                <w:rFonts w:ascii="Arial" w:eastAsiaTheme="minorHAnsi" w:hAnsi="Arial" w:cs="Arial"/>
                <w:color w:val="000000"/>
                <w:sz w:val="18"/>
                <w:szCs w:val="16"/>
              </w:rPr>
              <w:t xml:space="preserve">Material Costs in </w:t>
            </w:r>
          </w:p>
          <w:p w:rsidR="00082632" w:rsidRPr="00540EA9" w:rsidRDefault="00082632" w:rsidP="00082632">
            <w:pPr>
              <w:rPr>
                <w:rFonts w:ascii="Arial" w:hAnsi="Arial" w:cs="Arial"/>
                <w:color w:val="000000"/>
                <w:sz w:val="20"/>
                <w:szCs w:val="22"/>
              </w:rPr>
            </w:pPr>
            <w:r>
              <w:rPr>
                <w:rFonts w:ascii="Arial" w:eastAsiaTheme="minorHAnsi" w:hAnsi="Arial" w:cs="Arial"/>
                <w:color w:val="000000"/>
                <w:sz w:val="18"/>
                <w:szCs w:val="16"/>
              </w:rPr>
              <w:t>Non-</w:t>
            </w:r>
            <w:r w:rsidRPr="00082632">
              <w:rPr>
                <w:rFonts w:ascii="Arial" w:eastAsiaTheme="minorHAnsi" w:hAnsi="Arial" w:cs="Arial"/>
                <w:color w:val="000000"/>
                <w:sz w:val="18"/>
                <w:szCs w:val="16"/>
              </w:rPr>
              <w:t>Day Lit Zone</w:t>
            </w:r>
          </w:p>
        </w:tc>
        <w:tc>
          <w:tcPr>
            <w:tcW w:w="1530" w:type="dxa"/>
            <w:vAlign w:val="center"/>
          </w:tcPr>
          <w:p w:rsidR="00082632" w:rsidRPr="00661F2B" w:rsidRDefault="00082632" w:rsidP="004B0444">
            <w:pPr>
              <w:jc w:val="center"/>
              <w:rPr>
                <w:rFonts w:ascii="Arial" w:hAnsi="Arial" w:cs="Arial"/>
                <w:sz w:val="20"/>
                <w:szCs w:val="20"/>
              </w:rPr>
            </w:pPr>
            <w:r>
              <w:rPr>
                <w:rFonts w:ascii="Arial" w:hAnsi="Arial" w:cs="Arial"/>
                <w:sz w:val="20"/>
                <w:szCs w:val="20"/>
              </w:rPr>
              <w:t>$296.83</w:t>
            </w:r>
          </w:p>
        </w:tc>
        <w:tc>
          <w:tcPr>
            <w:tcW w:w="1170" w:type="dxa"/>
            <w:vAlign w:val="center"/>
          </w:tcPr>
          <w:p w:rsidR="00082632" w:rsidRPr="00661F2B" w:rsidRDefault="00082632" w:rsidP="004B0444">
            <w:pPr>
              <w:ind w:left="720" w:hanging="720"/>
              <w:jc w:val="center"/>
              <w:rPr>
                <w:rFonts w:ascii="Arial" w:hAnsi="Arial" w:cs="Arial"/>
                <w:sz w:val="20"/>
                <w:szCs w:val="20"/>
              </w:rPr>
            </w:pPr>
            <w:r>
              <w:rPr>
                <w:rFonts w:ascii="Arial" w:hAnsi="Arial" w:cs="Arial"/>
                <w:sz w:val="20"/>
                <w:szCs w:val="20"/>
              </w:rPr>
              <w:t>$99.52</w:t>
            </w:r>
          </w:p>
        </w:tc>
        <w:tc>
          <w:tcPr>
            <w:tcW w:w="1080" w:type="dxa"/>
            <w:vAlign w:val="center"/>
          </w:tcPr>
          <w:p w:rsidR="00082632" w:rsidRPr="00661F2B" w:rsidRDefault="00082632" w:rsidP="004B0444">
            <w:pPr>
              <w:jc w:val="center"/>
              <w:rPr>
                <w:rFonts w:ascii="Arial" w:hAnsi="Arial" w:cs="Arial"/>
                <w:bCs/>
                <w:sz w:val="20"/>
                <w:szCs w:val="20"/>
              </w:rPr>
            </w:pPr>
            <w:r>
              <w:rPr>
                <w:rFonts w:ascii="Arial" w:hAnsi="Arial" w:cs="Arial"/>
                <w:bCs/>
                <w:sz w:val="20"/>
                <w:szCs w:val="20"/>
              </w:rPr>
              <w:t>$396.35</w:t>
            </w:r>
          </w:p>
        </w:tc>
      </w:tr>
    </w:tbl>
    <w:p w:rsidR="002F7BA1" w:rsidRPr="00A55E10" w:rsidRDefault="002F7BA1" w:rsidP="002F7BA1">
      <w:pPr>
        <w:rPr>
          <w:rFonts w:ascii="Arial" w:hAnsi="Arial" w:cs="Arial"/>
          <w:sz w:val="16"/>
          <w:szCs w:val="16"/>
        </w:rPr>
      </w:pPr>
    </w:p>
    <w:p w:rsidR="003A3EBD" w:rsidRDefault="003A3EBD">
      <w:pPr>
        <w:spacing w:after="200" w:line="276" w:lineRule="auto"/>
        <w:rPr>
          <w:rFonts w:ascii="Arial Narrow" w:hAnsi="Arial Narrow" w:cs="Arial"/>
          <w:b/>
          <w:bCs/>
          <w:iCs/>
          <w:smallCaps/>
          <w:sz w:val="28"/>
          <w:szCs w:val="28"/>
        </w:rPr>
      </w:pPr>
      <w:bookmarkStart w:id="30" w:name="_Toc324318376"/>
      <w:bookmarkStart w:id="31" w:name="_Toc324340505"/>
      <w:bookmarkStart w:id="32" w:name="_Toc381279689"/>
      <w:bookmarkStart w:id="33" w:name="_Toc383697823"/>
      <w:bookmarkStart w:id="34" w:name="_Toc438457194"/>
      <w:r>
        <w:br w:type="page"/>
      </w:r>
    </w:p>
    <w:p w:rsidR="002F7BA1" w:rsidRPr="00970C80" w:rsidRDefault="002F7BA1" w:rsidP="002F7BA1">
      <w:pPr>
        <w:pStyle w:val="Heading2"/>
      </w:pPr>
      <w:r w:rsidRPr="00746B00">
        <w:lastRenderedPageBreak/>
        <w:t>4.3.2 Incremental Measure Costs</w:t>
      </w:r>
      <w:bookmarkEnd w:id="30"/>
      <w:bookmarkEnd w:id="31"/>
      <w:bookmarkEnd w:id="32"/>
      <w:bookmarkEnd w:id="33"/>
      <w:bookmarkEnd w:id="34"/>
    </w:p>
    <w:p w:rsidR="002F7BA1" w:rsidRDefault="002F7BA1" w:rsidP="002F7BA1">
      <w:pPr>
        <w:rPr>
          <w:rFonts w:ascii="Arial" w:hAnsi="Arial" w:cs="Arial"/>
          <w:sz w:val="20"/>
          <w:szCs w:val="20"/>
        </w:rPr>
      </w:pPr>
      <w:r w:rsidRPr="00EC4B0D">
        <w:rPr>
          <w:rFonts w:ascii="Arial" w:hAnsi="Arial" w:cs="Arial"/>
          <w:sz w:val="20"/>
          <w:szCs w:val="20"/>
        </w:rPr>
        <w:t xml:space="preserve">The labor </w:t>
      </w:r>
      <w:r>
        <w:rPr>
          <w:rFonts w:ascii="Arial" w:hAnsi="Arial" w:cs="Arial"/>
          <w:sz w:val="20"/>
          <w:szCs w:val="20"/>
        </w:rPr>
        <w:t>costs for measure and base cases</w:t>
      </w:r>
      <w:r w:rsidRPr="00EC4B0D">
        <w:rPr>
          <w:rFonts w:ascii="Arial" w:hAnsi="Arial" w:cs="Arial"/>
          <w:sz w:val="20"/>
          <w:szCs w:val="20"/>
        </w:rPr>
        <w:t xml:space="preserve"> </w:t>
      </w:r>
      <w:r>
        <w:rPr>
          <w:rFonts w:ascii="Arial" w:hAnsi="Arial" w:cs="Arial"/>
          <w:sz w:val="20"/>
          <w:szCs w:val="20"/>
        </w:rPr>
        <w:t>are</w:t>
      </w:r>
      <w:r w:rsidRPr="00EC4B0D">
        <w:rPr>
          <w:rFonts w:ascii="Arial" w:hAnsi="Arial" w:cs="Arial"/>
          <w:sz w:val="20"/>
          <w:szCs w:val="20"/>
        </w:rPr>
        <w:t xml:space="preserve"> equivalent.</w:t>
      </w:r>
      <w:r>
        <w:rPr>
          <w:rFonts w:ascii="Arial" w:hAnsi="Arial" w:cs="Arial"/>
          <w:sz w:val="20"/>
          <w:szCs w:val="20"/>
        </w:rPr>
        <w:t xml:space="preserve"> </w:t>
      </w:r>
      <w:r w:rsidRPr="00EC4B0D">
        <w:rPr>
          <w:rFonts w:ascii="Arial" w:hAnsi="Arial" w:cs="Arial"/>
          <w:sz w:val="20"/>
          <w:szCs w:val="20"/>
        </w:rPr>
        <w:t>Incremental cost (I</w:t>
      </w:r>
      <w:r w:rsidR="00540EA9">
        <w:rPr>
          <w:rFonts w:ascii="Arial" w:hAnsi="Arial" w:cs="Arial"/>
          <w:sz w:val="20"/>
          <w:szCs w:val="20"/>
        </w:rPr>
        <w:t>MC</w:t>
      </w:r>
      <w:r w:rsidRPr="00EC4B0D">
        <w:rPr>
          <w:rFonts w:ascii="Arial" w:hAnsi="Arial" w:cs="Arial"/>
          <w:sz w:val="20"/>
          <w:szCs w:val="20"/>
        </w:rPr>
        <w:t>) = Measure Cost – Base Case Cost</w:t>
      </w:r>
      <w:r w:rsidR="00540EA9">
        <w:rPr>
          <w:rFonts w:ascii="Arial" w:hAnsi="Arial" w:cs="Arial"/>
          <w:sz w:val="20"/>
          <w:szCs w:val="20"/>
        </w:rPr>
        <w:t>.</w:t>
      </w:r>
    </w:p>
    <w:p w:rsidR="002F7BA1" w:rsidRDefault="002F7BA1" w:rsidP="002F7BA1">
      <w:pPr>
        <w:pStyle w:val="Caption"/>
        <w:jc w:val="center"/>
      </w:pPr>
    </w:p>
    <w:p w:rsidR="002F7BA1" w:rsidRDefault="002F7BA1" w:rsidP="002F7BA1">
      <w:pPr>
        <w:pStyle w:val="Caption"/>
        <w:jc w:val="center"/>
      </w:pPr>
      <w:bookmarkStart w:id="35" w:name="_Toc438457217"/>
      <w:r>
        <w:t xml:space="preserve">Table </w:t>
      </w:r>
      <w:r w:rsidR="00AC15C8">
        <w:fldChar w:fldCharType="begin"/>
      </w:r>
      <w:r w:rsidR="00AC15C8">
        <w:instrText xml:space="preserve"> SEQ Table \* ARABIC </w:instrText>
      </w:r>
      <w:r w:rsidR="00AC15C8">
        <w:fldChar w:fldCharType="separate"/>
      </w:r>
      <w:r>
        <w:rPr>
          <w:noProof/>
        </w:rPr>
        <w:t>10</w:t>
      </w:r>
      <w:r w:rsidR="00AC15C8">
        <w:rPr>
          <w:noProof/>
        </w:rPr>
        <w:fldChar w:fldCharType="end"/>
      </w:r>
      <w:r>
        <w:rPr>
          <w:noProof/>
        </w:rPr>
        <w:t xml:space="preserve"> </w:t>
      </w:r>
      <w:r>
        <w:t xml:space="preserve">- </w:t>
      </w:r>
      <w:r w:rsidR="00082632" w:rsidRPr="00082632">
        <w:t>LED External Driver Lamp-Style Retrofit Kit (UL Type C) Fixture</w:t>
      </w:r>
      <w:r w:rsidR="00082632">
        <w:t xml:space="preserve"> </w:t>
      </w:r>
      <w:r>
        <w:t>Incremental Cost</w:t>
      </w:r>
      <w:bookmarkEnd w:id="35"/>
    </w:p>
    <w:tbl>
      <w:tblPr>
        <w:tblW w:w="9442" w:type="dxa"/>
        <w:jc w:val="center"/>
        <w:tblInd w:w="-2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3"/>
        <w:gridCol w:w="3069"/>
      </w:tblGrid>
      <w:tr w:rsidR="002F7BA1" w:rsidRPr="0008537D" w:rsidTr="00082632">
        <w:trPr>
          <w:trHeight w:val="157"/>
          <w:jc w:val="center"/>
        </w:trPr>
        <w:tc>
          <w:tcPr>
            <w:tcW w:w="6373" w:type="dxa"/>
            <w:vAlign w:val="center"/>
          </w:tcPr>
          <w:p w:rsidR="002F7BA1" w:rsidRPr="00422D1A" w:rsidRDefault="002F7BA1" w:rsidP="004B0444">
            <w:pPr>
              <w:jc w:val="center"/>
              <w:rPr>
                <w:rFonts w:ascii="Arial" w:hAnsi="Arial" w:cs="Arial"/>
                <w:b/>
                <w:sz w:val="20"/>
                <w:szCs w:val="20"/>
              </w:rPr>
            </w:pPr>
            <w:r w:rsidRPr="00422D1A">
              <w:rPr>
                <w:rFonts w:ascii="Arial" w:hAnsi="Arial" w:cs="Arial"/>
                <w:b/>
                <w:sz w:val="20"/>
                <w:szCs w:val="20"/>
              </w:rPr>
              <w:t xml:space="preserve">Measure </w:t>
            </w:r>
            <w:r>
              <w:rPr>
                <w:rFonts w:ascii="Arial" w:hAnsi="Arial" w:cs="Arial"/>
                <w:b/>
                <w:sz w:val="20"/>
                <w:szCs w:val="20"/>
              </w:rPr>
              <w:t>Description</w:t>
            </w:r>
          </w:p>
        </w:tc>
        <w:tc>
          <w:tcPr>
            <w:tcW w:w="3069" w:type="dxa"/>
            <w:vAlign w:val="center"/>
          </w:tcPr>
          <w:p w:rsidR="002F7BA1" w:rsidRPr="00422D1A" w:rsidRDefault="002F7BA1" w:rsidP="004B0444">
            <w:pPr>
              <w:jc w:val="center"/>
              <w:rPr>
                <w:rFonts w:ascii="Arial" w:hAnsi="Arial" w:cs="Arial"/>
                <w:b/>
                <w:sz w:val="20"/>
                <w:szCs w:val="20"/>
              </w:rPr>
            </w:pPr>
            <w:r w:rsidRPr="00422D1A">
              <w:rPr>
                <w:rFonts w:ascii="Arial" w:hAnsi="Arial" w:cs="Arial"/>
                <w:b/>
                <w:sz w:val="20"/>
                <w:szCs w:val="20"/>
              </w:rPr>
              <w:t>Incremental Measure Cost</w:t>
            </w:r>
          </w:p>
        </w:tc>
      </w:tr>
      <w:tr w:rsidR="002F7BA1" w:rsidRPr="00F027AA" w:rsidTr="00082632">
        <w:trPr>
          <w:trHeight w:val="157"/>
          <w:jc w:val="center"/>
        </w:trPr>
        <w:tc>
          <w:tcPr>
            <w:tcW w:w="6373" w:type="dxa"/>
          </w:tcPr>
          <w:p w:rsidR="002F7BA1" w:rsidRPr="00661F2B" w:rsidRDefault="00082632" w:rsidP="003A3EBD">
            <w:pPr>
              <w:rPr>
                <w:rFonts w:ascii="Arial" w:hAnsi="Arial" w:cs="Arial"/>
                <w:sz w:val="20"/>
                <w:szCs w:val="20"/>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sidRPr="00082632">
              <w:rPr>
                <w:rFonts w:ascii="Arial" w:eastAsiaTheme="minorHAnsi" w:hAnsi="Arial" w:cs="Arial"/>
                <w:color w:val="000000"/>
                <w:sz w:val="18"/>
                <w:szCs w:val="16"/>
              </w:rPr>
              <w:t>Material Costs in</w:t>
            </w:r>
            <w:r w:rsidR="003A3EBD">
              <w:rPr>
                <w:rFonts w:ascii="Arial" w:eastAsiaTheme="minorHAnsi" w:hAnsi="Arial" w:cs="Arial"/>
                <w:color w:val="000000"/>
                <w:sz w:val="18"/>
                <w:szCs w:val="16"/>
              </w:rPr>
              <w:t xml:space="preserve"> </w:t>
            </w:r>
            <w:r w:rsidRPr="00082632">
              <w:rPr>
                <w:rFonts w:ascii="Arial" w:eastAsiaTheme="minorHAnsi" w:hAnsi="Arial" w:cs="Arial"/>
                <w:color w:val="000000"/>
                <w:sz w:val="18"/>
                <w:szCs w:val="16"/>
              </w:rPr>
              <w:t>Day Lit Zone</w:t>
            </w:r>
          </w:p>
        </w:tc>
        <w:tc>
          <w:tcPr>
            <w:tcW w:w="3069" w:type="dxa"/>
            <w:vAlign w:val="center"/>
          </w:tcPr>
          <w:p w:rsidR="002F7BA1" w:rsidRPr="00661F2B" w:rsidRDefault="00082632" w:rsidP="00082632">
            <w:pPr>
              <w:jc w:val="center"/>
              <w:rPr>
                <w:rFonts w:ascii="Arial" w:hAnsi="Arial" w:cs="Arial"/>
                <w:bCs/>
                <w:sz w:val="20"/>
                <w:szCs w:val="20"/>
              </w:rPr>
            </w:pPr>
            <w:r>
              <w:rPr>
                <w:rFonts w:ascii="Arial" w:hAnsi="Arial" w:cs="Arial"/>
                <w:bCs/>
                <w:sz w:val="20"/>
                <w:szCs w:val="20"/>
              </w:rPr>
              <w:t>$412.22 - $322.46 = $89.76</w:t>
            </w:r>
          </w:p>
        </w:tc>
      </w:tr>
      <w:tr w:rsidR="00082632" w:rsidRPr="00F027AA" w:rsidTr="00082632">
        <w:trPr>
          <w:trHeight w:val="157"/>
          <w:jc w:val="center"/>
        </w:trPr>
        <w:tc>
          <w:tcPr>
            <w:tcW w:w="6373" w:type="dxa"/>
          </w:tcPr>
          <w:p w:rsidR="00082632" w:rsidRPr="00540EA9" w:rsidRDefault="00082632" w:rsidP="003A3EBD">
            <w:pPr>
              <w:rPr>
                <w:rFonts w:ascii="Arial" w:hAnsi="Arial" w:cs="Arial"/>
                <w:color w:val="000000"/>
                <w:sz w:val="20"/>
                <w:szCs w:val="22"/>
              </w:rPr>
            </w:pPr>
            <w:r w:rsidRPr="00540EA9">
              <w:rPr>
                <w:rFonts w:ascii="Arial" w:hAnsi="Arial" w:cs="Arial"/>
                <w:color w:val="000000"/>
                <w:sz w:val="20"/>
                <w:szCs w:val="22"/>
              </w:rPr>
              <w:t xml:space="preserve">Four foot 2-lamp LED External Driver Lamp-Style Retrofit Kit (UL Type C) </w:t>
            </w:r>
            <w:r>
              <w:rPr>
                <w:rFonts w:ascii="Arial" w:hAnsi="Arial" w:cs="Arial"/>
                <w:color w:val="000000"/>
                <w:sz w:val="20"/>
                <w:szCs w:val="22"/>
              </w:rPr>
              <w:t>F</w:t>
            </w:r>
            <w:r w:rsidRPr="00540EA9">
              <w:rPr>
                <w:rFonts w:ascii="Arial" w:hAnsi="Arial" w:cs="Arial"/>
                <w:color w:val="000000"/>
                <w:sz w:val="20"/>
                <w:szCs w:val="22"/>
              </w:rPr>
              <w:t>ixture</w:t>
            </w:r>
            <w:r w:rsidRPr="00540EA9">
              <w:rPr>
                <w:rFonts w:ascii="Arial" w:eastAsiaTheme="minorHAnsi" w:hAnsi="Arial" w:cs="Arial"/>
                <w:color w:val="000000"/>
                <w:sz w:val="20"/>
                <w:szCs w:val="22"/>
              </w:rPr>
              <w:t xml:space="preserve"> </w:t>
            </w:r>
            <w:r w:rsidRPr="00082632">
              <w:rPr>
                <w:rFonts w:ascii="Arial" w:eastAsiaTheme="minorHAnsi" w:hAnsi="Arial" w:cs="Arial"/>
                <w:color w:val="000000"/>
                <w:sz w:val="18"/>
                <w:szCs w:val="16"/>
              </w:rPr>
              <w:t xml:space="preserve">Material Costs in </w:t>
            </w:r>
            <w:r>
              <w:rPr>
                <w:rFonts w:ascii="Arial" w:eastAsiaTheme="minorHAnsi" w:hAnsi="Arial" w:cs="Arial"/>
                <w:color w:val="000000"/>
                <w:sz w:val="18"/>
                <w:szCs w:val="16"/>
              </w:rPr>
              <w:t>Non-</w:t>
            </w:r>
            <w:r w:rsidRPr="00082632">
              <w:rPr>
                <w:rFonts w:ascii="Arial" w:eastAsiaTheme="minorHAnsi" w:hAnsi="Arial" w:cs="Arial"/>
                <w:color w:val="000000"/>
                <w:sz w:val="18"/>
                <w:szCs w:val="16"/>
              </w:rPr>
              <w:t>Day Lit Zone</w:t>
            </w:r>
          </w:p>
        </w:tc>
        <w:tc>
          <w:tcPr>
            <w:tcW w:w="3069" w:type="dxa"/>
            <w:vAlign w:val="center"/>
          </w:tcPr>
          <w:p w:rsidR="00082632" w:rsidRDefault="00082632" w:rsidP="00082632">
            <w:pPr>
              <w:jc w:val="center"/>
              <w:rPr>
                <w:rFonts w:ascii="Arial" w:hAnsi="Arial" w:cs="Arial"/>
                <w:bCs/>
                <w:sz w:val="20"/>
                <w:szCs w:val="20"/>
              </w:rPr>
            </w:pPr>
            <w:r>
              <w:rPr>
                <w:rFonts w:ascii="Arial" w:hAnsi="Arial" w:cs="Arial"/>
                <w:bCs/>
                <w:sz w:val="20"/>
                <w:szCs w:val="20"/>
              </w:rPr>
              <w:t>$296.83 - $207.07 = $89.76</w:t>
            </w:r>
          </w:p>
        </w:tc>
      </w:tr>
    </w:tbl>
    <w:p w:rsidR="002F7BA1" w:rsidRDefault="002F7BA1" w:rsidP="00E16609">
      <w:pPr>
        <w:pStyle w:val="Heading1"/>
        <w:rPr>
          <w:rFonts w:cstheme="minorHAnsi"/>
        </w:rPr>
      </w:pPr>
    </w:p>
    <w:p w:rsidR="002F7BA1" w:rsidRDefault="002F7BA1">
      <w:pPr>
        <w:spacing w:after="200" w:line="276" w:lineRule="auto"/>
        <w:rPr>
          <w:rFonts w:cstheme="minorHAnsi"/>
          <w:b/>
          <w:bCs/>
          <w:smallCaps/>
          <w:kern w:val="32"/>
          <w:sz w:val="36"/>
          <w:szCs w:val="32"/>
        </w:rPr>
      </w:pPr>
      <w:r>
        <w:rPr>
          <w:rFonts w:cstheme="minorHAnsi"/>
        </w:rPr>
        <w:br w:type="page"/>
      </w:r>
    </w:p>
    <w:p w:rsidR="003A3EBD" w:rsidRDefault="003A3EBD" w:rsidP="003A3EBD">
      <w:pPr>
        <w:pStyle w:val="Heading1"/>
        <w:rPr>
          <w:rFonts w:cstheme="minorHAnsi"/>
        </w:rPr>
      </w:pPr>
      <w:r>
        <w:rPr>
          <w:rFonts w:cstheme="minorHAnsi"/>
        </w:rPr>
        <w:lastRenderedPageBreak/>
        <w:t xml:space="preserve">APPENDIX A </w:t>
      </w:r>
    </w:p>
    <w:p w:rsidR="003A3EBD" w:rsidRPr="003A3EBD" w:rsidRDefault="003A3EBD" w:rsidP="003A3EBD">
      <w:pPr>
        <w:rPr>
          <w:b/>
        </w:rPr>
      </w:pPr>
      <w:r w:rsidRPr="003A3EBD">
        <w:rPr>
          <w:b/>
        </w:rPr>
        <w:t xml:space="preserve">Online Retailer Website Linear LED External Driver Lamp-Style Retrofit Kit (UL Type C) Fixture Material Equipment Cost </w:t>
      </w:r>
    </w:p>
    <w:p w:rsidR="003A3EBD" w:rsidRDefault="003A3EBD">
      <w:pPr>
        <w:spacing w:after="200" w:line="276" w:lineRule="auto"/>
        <w:rPr>
          <w:rFonts w:cstheme="minorHAnsi"/>
        </w:rPr>
      </w:pPr>
    </w:p>
    <w:tbl>
      <w:tblPr>
        <w:tblW w:w="8460" w:type="dxa"/>
        <w:jc w:val="center"/>
        <w:tblCellMar>
          <w:left w:w="0" w:type="dxa"/>
          <w:right w:w="0" w:type="dxa"/>
        </w:tblCellMar>
        <w:tblLook w:val="04A0" w:firstRow="1" w:lastRow="0" w:firstColumn="1" w:lastColumn="0" w:noHBand="0" w:noVBand="1"/>
      </w:tblPr>
      <w:tblGrid>
        <w:gridCol w:w="7450"/>
        <w:gridCol w:w="1010"/>
      </w:tblGrid>
      <w:tr w:rsidR="003A3EBD" w:rsidTr="003A3EBD">
        <w:trPr>
          <w:trHeight w:val="1275"/>
          <w:jc w:val="center"/>
        </w:trPr>
        <w:tc>
          <w:tcPr>
            <w:tcW w:w="7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EBD" w:rsidRDefault="003A3EBD">
            <w:pPr>
              <w:jc w:val="center"/>
              <w:rPr>
                <w:rFonts w:ascii="Arial" w:hAnsi="Arial" w:cs="Arial"/>
                <w:sz w:val="20"/>
                <w:szCs w:val="20"/>
              </w:rPr>
            </w:pPr>
            <w:r>
              <w:rPr>
                <w:rFonts w:ascii="Arial" w:hAnsi="Arial" w:cs="Arial"/>
                <w:sz w:val="20"/>
                <w:szCs w:val="20"/>
              </w:rPr>
              <w:t>Linear LED External Driver Lamp-Style Retrofit Kit (UL Type C) Fixture Description</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3A3EBD" w:rsidRDefault="003A3EBD">
            <w:pPr>
              <w:jc w:val="center"/>
              <w:rPr>
                <w:rFonts w:ascii="Arial" w:hAnsi="Arial" w:cs="Arial"/>
                <w:sz w:val="20"/>
                <w:szCs w:val="20"/>
              </w:rPr>
            </w:pPr>
            <w:r>
              <w:rPr>
                <w:rFonts w:ascii="Arial" w:hAnsi="Arial" w:cs="Arial"/>
                <w:sz w:val="20"/>
                <w:szCs w:val="20"/>
              </w:rPr>
              <w:t xml:space="preserve"> Online Retailer Website Material Costs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48" w:history="1">
              <w:r>
                <w:rPr>
                  <w:rStyle w:val="Hyperlink"/>
                  <w:rFonts w:ascii="Arial" w:hAnsi="Arial"/>
                  <w:sz w:val="20"/>
                  <w:szCs w:val="20"/>
                </w:rPr>
                <w:t>Philips 501734 LED Retrofit kit,3500k,110 lm,31w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152.05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49" w:history="1">
              <w:r w:rsidR="00607F69">
                <w:rPr>
                  <w:rStyle w:val="Hyperlink"/>
                  <w:rFonts w:ascii="Arial" w:hAnsi="Arial"/>
                  <w:sz w:val="20"/>
                  <w:szCs w:val="20"/>
                </w:rPr>
                <w:t>Philips</w:t>
              </w:r>
              <w:r>
                <w:rPr>
                  <w:rStyle w:val="Hyperlink"/>
                  <w:rFonts w:ascii="Arial" w:hAnsi="Arial"/>
                  <w:sz w:val="20"/>
                  <w:szCs w:val="20"/>
                </w:rPr>
                <w:t xml:space="preserve"> 506881 led retrofit kit,4000k,3600 lm,31w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176.30 </w:t>
            </w:r>
          </w:p>
        </w:tc>
      </w:tr>
      <w:tr w:rsidR="003A3EBD" w:rsidTr="003A3EBD">
        <w:trPr>
          <w:trHeight w:val="255"/>
          <w:jc w:val="center"/>
        </w:trPr>
        <w:tc>
          <w:tcPr>
            <w:tcW w:w="0" w:type="auto"/>
            <w:tcBorders>
              <w:top w:val="nil"/>
              <w:left w:val="nil"/>
              <w:bottom w:val="nil"/>
              <w:right w:val="nil"/>
            </w:tcBorders>
            <w:shd w:val="clear" w:color="auto" w:fill="auto"/>
            <w:noWrap/>
            <w:vAlign w:val="bottom"/>
            <w:hideMark/>
          </w:tcPr>
          <w:p w:rsidR="003A3EBD" w:rsidRDefault="003A3EBD">
            <w:pPr>
              <w:rPr>
                <w:rFonts w:ascii="Arial" w:hAnsi="Arial" w:cs="Arial"/>
                <w:sz w:val="20"/>
                <w:szCs w:val="20"/>
              </w:rPr>
            </w:pPr>
            <w:r>
              <w:rPr>
                <w:rFonts w:ascii="Arial" w:hAnsi="Arial" w:cs="Arial"/>
                <w:noProof/>
                <w:sz w:val="20"/>
                <w:szCs w:val="20"/>
              </w:rPr>
              <w:drawing>
                <wp:anchor distT="0" distB="0" distL="114300" distR="114300" simplePos="0" relativeHeight="251684864" behindDoc="0" locked="0" layoutInCell="1" allowOverlap="1" wp14:anchorId="7B223249" wp14:editId="69F01B9E">
                  <wp:simplePos x="0" y="0"/>
                  <wp:positionH relativeFrom="column">
                    <wp:posOffset>0</wp:posOffset>
                  </wp:positionH>
                  <wp:positionV relativeFrom="paragraph">
                    <wp:posOffset>0</wp:posOffset>
                  </wp:positionV>
                  <wp:extent cx="304800" cy="304800"/>
                  <wp:effectExtent l="0" t="0" r="0" b="0"/>
                  <wp:wrapNone/>
                  <wp:docPr id="27" name="Picture 27" descr="philips 506766 led retrofit kit,4000k,3200 lm,28w">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presultimg_736119524189300281" descr="philips 506766 led retrofit kit,4000k,3200 lm,28w">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7440"/>
            </w:tblGrid>
            <w:tr w:rsidR="003A3EBD">
              <w:trPr>
                <w:trHeight w:val="255"/>
                <w:tblCellSpacing w:w="0" w:type="dxa"/>
              </w:trPr>
              <w:tc>
                <w:tcPr>
                  <w:tcW w:w="7420" w:type="dxa"/>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2" w:history="1">
                    <w:r w:rsidR="00607F69">
                      <w:rPr>
                        <w:rStyle w:val="Hyperlink"/>
                        <w:rFonts w:ascii="Arial" w:hAnsi="Arial"/>
                        <w:sz w:val="20"/>
                        <w:szCs w:val="20"/>
                      </w:rPr>
                      <w:t>Philips</w:t>
                    </w:r>
                    <w:r>
                      <w:rPr>
                        <w:rStyle w:val="Hyperlink"/>
                        <w:rFonts w:ascii="Arial" w:hAnsi="Arial"/>
                        <w:sz w:val="20"/>
                        <w:szCs w:val="20"/>
                      </w:rPr>
                      <w:t xml:space="preserve"> 506766 led retrofit kit,4000k,3200 lm,28w</w:t>
                    </w:r>
                  </w:hyperlink>
                </w:p>
              </w:tc>
            </w:tr>
          </w:tbl>
          <w:p w:rsidR="003A3EBD" w:rsidRDefault="003A3EBD">
            <w:pPr>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124.99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3" w:history="1">
              <w:r w:rsidR="00607F69">
                <w:rPr>
                  <w:rStyle w:val="Hyperlink"/>
                  <w:rFonts w:ascii="Arial" w:hAnsi="Arial"/>
                  <w:sz w:val="20"/>
                  <w:szCs w:val="20"/>
                </w:rPr>
                <w:t>Philips</w:t>
              </w:r>
              <w:r>
                <w:rPr>
                  <w:rStyle w:val="Hyperlink"/>
                  <w:rFonts w:ascii="Arial" w:hAnsi="Arial"/>
                  <w:sz w:val="20"/>
                  <w:szCs w:val="20"/>
                </w:rPr>
                <w:t xml:space="preserve"> 507038 led retrofit kit,4000k,4200 lm,36w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176.30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4" w:history="1">
              <w:r w:rsidR="00607F69">
                <w:rPr>
                  <w:rStyle w:val="Hyperlink"/>
                  <w:rFonts w:ascii="Arial" w:hAnsi="Arial"/>
                  <w:sz w:val="20"/>
                  <w:szCs w:val="20"/>
                </w:rPr>
                <w:t>Philips</w:t>
              </w:r>
              <w:r>
                <w:rPr>
                  <w:rStyle w:val="Hyperlink"/>
                  <w:rFonts w:ascii="Arial" w:hAnsi="Arial"/>
                  <w:sz w:val="20"/>
                  <w:szCs w:val="20"/>
                </w:rPr>
                <w:t xml:space="preserve"> 506840 led retrofit kit,4000k,3259 lm,31w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151.12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5" w:history="1">
              <w:r>
                <w:rPr>
                  <w:rStyle w:val="Hyperlink"/>
                  <w:rFonts w:ascii="Arial" w:hAnsi="Arial"/>
                  <w:sz w:val="20"/>
                  <w:szCs w:val="20"/>
                </w:rPr>
                <w:t>Philips 501817 LED Retrofit kit,3500k,110 lm,39w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152.10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6" w:history="1">
              <w:r w:rsidR="00607F69">
                <w:rPr>
                  <w:rStyle w:val="Hyperlink"/>
                  <w:rFonts w:ascii="Arial" w:hAnsi="Arial"/>
                  <w:sz w:val="20"/>
                  <w:szCs w:val="20"/>
                </w:rPr>
                <w:t>Philips</w:t>
              </w:r>
              <w:r>
                <w:rPr>
                  <w:rStyle w:val="Hyperlink"/>
                  <w:rFonts w:ascii="Arial" w:hAnsi="Arial"/>
                  <w:sz w:val="20"/>
                  <w:szCs w:val="20"/>
                </w:rPr>
                <w:t xml:space="preserve"> 506964 led retrofit kit,3500k,4200 lm,38w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176.30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7" w:history="1">
              <w:r w:rsidR="00607F69">
                <w:rPr>
                  <w:rStyle w:val="Hyperlink"/>
                  <w:rFonts w:ascii="Arial" w:hAnsi="Arial"/>
                  <w:sz w:val="20"/>
                  <w:szCs w:val="20"/>
                </w:rPr>
                <w:t>Philips</w:t>
              </w:r>
              <w:r>
                <w:rPr>
                  <w:rStyle w:val="Hyperlink"/>
                  <w:rFonts w:ascii="Arial" w:hAnsi="Arial"/>
                  <w:sz w:val="20"/>
                  <w:szCs w:val="20"/>
                </w:rPr>
                <w:t xml:space="preserve"> 506741 led retrofit kit,3500k,3200 lm,30w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151.12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8" w:history="1">
              <w:r>
                <w:rPr>
                  <w:rStyle w:val="Hyperlink"/>
                  <w:rFonts w:ascii="Arial" w:hAnsi="Arial"/>
                  <w:sz w:val="20"/>
                  <w:szCs w:val="20"/>
                </w:rPr>
                <w:t>Philips 501874 LED Retrofit kit,3500k,110 lm,40w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168.17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59" w:history="1">
              <w:r>
                <w:rPr>
                  <w:rStyle w:val="Hyperlink"/>
                  <w:rFonts w:ascii="Arial" w:hAnsi="Arial"/>
                  <w:sz w:val="20"/>
                  <w:szCs w:val="20"/>
                </w:rPr>
                <w:t>Philips 501924 LED Retrofit kit,3500k,110 lm,42w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168.17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0" w:history="1">
              <w:r w:rsidR="00607F69">
                <w:rPr>
                  <w:rStyle w:val="Hyperlink"/>
                  <w:rFonts w:ascii="Arial" w:hAnsi="Arial"/>
                  <w:sz w:val="20"/>
                  <w:szCs w:val="20"/>
                </w:rPr>
                <w:t>Philips</w:t>
              </w:r>
              <w:r>
                <w:rPr>
                  <w:rStyle w:val="Hyperlink"/>
                  <w:rFonts w:ascii="Arial" w:hAnsi="Arial"/>
                  <w:sz w:val="20"/>
                  <w:szCs w:val="20"/>
                </w:rPr>
                <w:t xml:space="preserve"> 506865 led retrofit kit,3500k,3600 lm,32w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176.30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1" w:history="1">
              <w:r>
                <w:rPr>
                  <w:rStyle w:val="Hyperlink"/>
                  <w:rFonts w:ascii="Arial" w:hAnsi="Arial"/>
                  <w:sz w:val="20"/>
                  <w:szCs w:val="20"/>
                </w:rPr>
                <w:t>Philips 501791 LED Retrofit kit,3500k,110 lm,34w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168.17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2" w:history="1">
              <w:r>
                <w:rPr>
                  <w:rStyle w:val="Hyperlink"/>
                  <w:rFonts w:ascii="Arial" w:hAnsi="Arial"/>
                  <w:sz w:val="20"/>
                  <w:szCs w:val="20"/>
                </w:rPr>
                <w:t>Philips Evokit2x4p42l36w840 2 X 4 Led Layin Retrofit Evo Kit 36 Watt</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150.00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3" w:history="1">
              <w:r>
                <w:rPr>
                  <w:rStyle w:val="Hyperlink"/>
                  <w:rFonts w:ascii="Arial" w:hAnsi="Arial"/>
                  <w:sz w:val="20"/>
                  <w:szCs w:val="20"/>
                </w:rPr>
                <w:t>Philips EVOKIT2X4P42L36W840 2 X 4 LED Layin Retrofit Evo Kit 36 Wat</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150.00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4" w:history="1">
              <w:r>
                <w:rPr>
                  <w:rStyle w:val="Hyperlink"/>
                  <w:rFonts w:ascii="Arial" w:hAnsi="Arial"/>
                  <w:sz w:val="20"/>
                  <w:szCs w:val="20"/>
                </w:rPr>
                <w:t>Philips EVOKIT2X4P42L36W840 2 X 4 LED Layin Retrofit Evo Kit 36 Wa</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150.00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5" w:history="1">
              <w:r>
                <w:rPr>
                  <w:rStyle w:val="Hyperlink"/>
                  <w:rFonts w:ascii="Arial" w:hAnsi="Arial"/>
                  <w:sz w:val="20"/>
                  <w:szCs w:val="20"/>
                </w:rPr>
                <w:t>Philips 501783 LED Retrofit Kit, 4000K, 110 lm, 32W</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195.69 </w:t>
            </w:r>
          </w:p>
        </w:tc>
      </w:tr>
      <w:tr w:rsidR="003A3EBD" w:rsidTr="003A3EB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3EBD" w:rsidRDefault="003A3EBD">
            <w:pPr>
              <w:rPr>
                <w:rFonts w:ascii="Arial" w:hAnsi="Arial" w:cs="Arial"/>
                <w:color w:val="0000FF"/>
                <w:sz w:val="20"/>
                <w:szCs w:val="20"/>
                <w:u w:val="single"/>
              </w:rPr>
            </w:pPr>
            <w:hyperlink r:id="rId66" w:history="1">
              <w:r>
                <w:rPr>
                  <w:rStyle w:val="Hyperlink"/>
                  <w:rFonts w:ascii="Arial" w:hAnsi="Arial"/>
                  <w:sz w:val="20"/>
                  <w:szCs w:val="20"/>
                </w:rPr>
                <w:t>Philips Evokit 2x4 P 36l 31w 840 2 X 4 Led Layin Retrofit Evo Kit 31</w:t>
              </w:r>
            </w:hyperlink>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sz w:val="20"/>
                <w:szCs w:val="20"/>
              </w:rPr>
            </w:pPr>
            <w:r>
              <w:rPr>
                <w:rFonts w:ascii="Arial" w:hAnsi="Arial" w:cs="Arial"/>
                <w:sz w:val="20"/>
                <w:szCs w:val="20"/>
              </w:rPr>
              <w:t xml:space="preserve"> $  109.99 </w:t>
            </w:r>
          </w:p>
        </w:tc>
      </w:tr>
      <w:tr w:rsidR="003A3EBD" w:rsidTr="003A3EB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A3EBD" w:rsidRDefault="003A3EBD">
            <w:pPr>
              <w:jc w:val="center"/>
              <w:rPr>
                <w:rFonts w:ascii="Arial" w:hAnsi="Arial" w:cs="Arial"/>
                <w:b/>
                <w:bCs/>
                <w:szCs w:val="22"/>
              </w:rPr>
            </w:pPr>
            <w:r>
              <w:rPr>
                <w:rFonts w:ascii="Arial" w:hAnsi="Arial" w:cs="Arial"/>
                <w:b/>
                <w:bCs/>
                <w:szCs w:val="22"/>
              </w:rPr>
              <w:t>Average</w:t>
            </w:r>
          </w:p>
        </w:tc>
        <w:tc>
          <w:tcPr>
            <w:tcW w:w="0" w:type="auto"/>
            <w:tcBorders>
              <w:top w:val="nil"/>
              <w:left w:val="nil"/>
              <w:bottom w:val="single" w:sz="4" w:space="0" w:color="auto"/>
              <w:right w:val="single" w:sz="4" w:space="0" w:color="auto"/>
            </w:tcBorders>
            <w:shd w:val="clear" w:color="auto" w:fill="auto"/>
            <w:noWrap/>
            <w:vAlign w:val="bottom"/>
            <w:hideMark/>
          </w:tcPr>
          <w:p w:rsidR="003A3EBD" w:rsidRDefault="003A3EBD">
            <w:pPr>
              <w:rPr>
                <w:rFonts w:ascii="Arial" w:hAnsi="Arial" w:cs="Arial"/>
                <w:b/>
                <w:bCs/>
                <w:szCs w:val="22"/>
              </w:rPr>
            </w:pPr>
            <w:r>
              <w:rPr>
                <w:rFonts w:ascii="Arial" w:hAnsi="Arial" w:cs="Arial"/>
                <w:b/>
                <w:bCs/>
                <w:szCs w:val="22"/>
              </w:rPr>
              <w:t xml:space="preserve"> $ 158.63 </w:t>
            </w:r>
          </w:p>
        </w:tc>
      </w:tr>
    </w:tbl>
    <w:p w:rsidR="003A3EBD" w:rsidRDefault="003A3EBD">
      <w:pPr>
        <w:spacing w:after="200" w:line="276" w:lineRule="auto"/>
        <w:rPr>
          <w:rFonts w:cstheme="minorHAnsi"/>
          <w:b/>
          <w:bCs/>
          <w:smallCaps/>
          <w:kern w:val="32"/>
          <w:sz w:val="36"/>
          <w:szCs w:val="32"/>
        </w:rPr>
      </w:pPr>
      <w:r>
        <w:rPr>
          <w:rFonts w:cstheme="minorHAnsi"/>
        </w:rPr>
        <w:t xml:space="preserve"> </w:t>
      </w:r>
      <w:r>
        <w:rPr>
          <w:rFonts w:cstheme="minorHAnsi"/>
        </w:rPr>
        <w:br w:type="page"/>
      </w:r>
    </w:p>
    <w:p w:rsidR="00E16609" w:rsidRPr="00500C4E" w:rsidRDefault="00E16609" w:rsidP="00E16609">
      <w:pPr>
        <w:pStyle w:val="Heading1"/>
        <w:rPr>
          <w:rFonts w:cstheme="minorHAnsi"/>
        </w:rPr>
      </w:pPr>
      <w:r w:rsidRPr="00500C4E">
        <w:rPr>
          <w:rFonts w:cstheme="minorHAnsi"/>
        </w:rPr>
        <w:lastRenderedPageBreak/>
        <w:t>Attachments</w:t>
      </w:r>
    </w:p>
    <w:p w:rsidR="00A500D6" w:rsidRPr="00500C4E" w:rsidRDefault="00A500D6" w:rsidP="00E16609">
      <w:pPr>
        <w:rPr>
          <w:rFonts w:cstheme="minorHAnsi"/>
        </w:rPr>
      </w:pPr>
    </w:p>
    <w:p w:rsidR="00612041" w:rsidRDefault="00E77E1A" w:rsidP="00E16609">
      <w:pPr>
        <w:rPr>
          <w:rFonts w:cstheme="minorHAnsi"/>
        </w:rPr>
      </w:pPr>
      <w:r>
        <w:rPr>
          <w:rFonts w:cstheme="minorHAnsi"/>
        </w:rPr>
        <w:object w:dxaOrig="1547" w:dyaOrig="1003">
          <v:shape id="_x0000_i1030" type="#_x0000_t75" style="width:77.2pt;height:50.1pt" o:ole="">
            <v:imagedata r:id="rId67" o:title=""/>
          </v:shape>
          <o:OLEObject Type="Embed" ProgID="AcroExch.Document.DC" ShapeID="_x0000_i1030" DrawAspect="Icon" ObjectID="_1531025179" r:id="rId68"/>
        </w:object>
      </w:r>
      <w:r>
        <w:rPr>
          <w:rFonts w:cstheme="minorHAnsi"/>
        </w:rPr>
        <w:tab/>
      </w:r>
      <w:r>
        <w:rPr>
          <w:rFonts w:cstheme="minorHAnsi"/>
        </w:rPr>
        <w:object w:dxaOrig="1547" w:dyaOrig="1003">
          <v:shape id="_x0000_i1031" type="#_x0000_t75" style="width:77.2pt;height:50.1pt" o:ole="">
            <v:imagedata r:id="rId69" o:title=""/>
          </v:shape>
          <o:OLEObject Type="Embed" ProgID="AcroExch.Document.DC" ShapeID="_x0000_i1031" DrawAspect="Icon" ObjectID="_1531025180" r:id="rId70"/>
        </w:object>
      </w:r>
      <w:r>
        <w:rPr>
          <w:rFonts w:cstheme="minorHAnsi"/>
        </w:rPr>
        <w:tab/>
      </w:r>
      <w:bookmarkStart w:id="36" w:name="_MON_1531024266"/>
      <w:bookmarkEnd w:id="36"/>
      <w:r>
        <w:rPr>
          <w:rFonts w:cstheme="minorHAnsi"/>
        </w:rPr>
        <w:object w:dxaOrig="1547" w:dyaOrig="1003">
          <v:shape id="_x0000_i1032" type="#_x0000_t75" style="width:77.2pt;height:50.1pt" o:ole="">
            <v:imagedata r:id="rId71" o:title=""/>
          </v:shape>
          <o:OLEObject Type="Embed" ProgID="Word.Document.12" ShapeID="_x0000_i1032" DrawAspect="Icon" ObjectID="_1531025181" r:id="rId72">
            <o:FieldCodes>\s</o:FieldCodes>
          </o:OLEObject>
        </w:object>
      </w:r>
      <w:r>
        <w:rPr>
          <w:rFonts w:cstheme="minorHAnsi"/>
        </w:rPr>
        <w:tab/>
      </w:r>
      <w:r>
        <w:rPr>
          <w:rFonts w:cstheme="minorHAnsi"/>
        </w:rPr>
        <w:object w:dxaOrig="1547" w:dyaOrig="1003">
          <v:shape id="_x0000_i1033" type="#_x0000_t75" style="width:77.2pt;height:50.1pt" o:ole="">
            <v:imagedata r:id="rId73" o:title=""/>
          </v:shape>
          <o:OLEObject Type="Embed" ProgID="AcroExch.Document.DC" ShapeID="_x0000_i1033" DrawAspect="Icon" ObjectID="_1531025182" r:id="rId74"/>
        </w:object>
      </w:r>
    </w:p>
    <w:p w:rsidR="003A3EBD" w:rsidRDefault="003A3EBD" w:rsidP="00E16609">
      <w:pPr>
        <w:rPr>
          <w:rFonts w:cstheme="minorHAnsi"/>
        </w:rPr>
      </w:pPr>
    </w:p>
    <w:p w:rsidR="003A3EBD" w:rsidRPr="00500C4E" w:rsidRDefault="003A3EBD" w:rsidP="00E16609">
      <w:pPr>
        <w:rPr>
          <w:rFonts w:cstheme="minorHAnsi"/>
        </w:rPr>
      </w:pPr>
    </w:p>
    <w:p w:rsidR="00C54EFF" w:rsidRPr="00500C4E" w:rsidRDefault="00C54EFF" w:rsidP="00E16609">
      <w:pPr>
        <w:rPr>
          <w:rFonts w:cstheme="minorHAnsi"/>
        </w:rPr>
      </w:pPr>
    </w:p>
    <w:p w:rsidR="00C54EFF" w:rsidRPr="00500C4E" w:rsidRDefault="00C54EFF">
      <w:pPr>
        <w:spacing w:after="200" w:line="276" w:lineRule="auto"/>
        <w:rPr>
          <w:rFonts w:cstheme="minorHAnsi"/>
        </w:rPr>
      </w:pPr>
      <w:r w:rsidRPr="00500C4E">
        <w:rPr>
          <w:rFonts w:cstheme="minorHAnsi"/>
        </w:rPr>
        <w:br w:type="page"/>
      </w:r>
    </w:p>
    <w:p w:rsidR="00C54EFF" w:rsidRPr="00500C4E" w:rsidRDefault="00C54EFF" w:rsidP="00C54EFF">
      <w:pPr>
        <w:pStyle w:val="Heading1"/>
        <w:rPr>
          <w:rFonts w:cstheme="minorHAnsi"/>
        </w:rPr>
      </w:pPr>
      <w:r w:rsidRPr="00500C4E">
        <w:rPr>
          <w:rFonts w:cstheme="minorHAnsi"/>
        </w:rPr>
        <w:lastRenderedPageBreak/>
        <w:t>References</w:t>
      </w:r>
    </w:p>
    <w:sectPr w:rsidR="00C54EFF" w:rsidRPr="00500C4E" w:rsidSect="00E87C8F">
      <w:headerReference w:type="even" r:id="rId75"/>
      <w:headerReference w:type="default" r:id="rId76"/>
      <w:footerReference w:type="default" r:id="rId77"/>
      <w:headerReference w:type="first" r:id="rId78"/>
      <w:pgSz w:w="12240" w:h="15840"/>
      <w:pgMar w:top="1440" w:right="1440" w:bottom="155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4445" w:rsidRDefault="002D4445" w:rsidP="00447D6E">
      <w:r>
        <w:separator/>
      </w:r>
    </w:p>
    <w:p w:rsidR="002D4445" w:rsidRDefault="002D4445"/>
  </w:endnote>
  <w:endnote w:type="continuationSeparator" w:id="0">
    <w:p w:rsidR="002D4445" w:rsidRDefault="002D4445" w:rsidP="00447D6E">
      <w:r>
        <w:continuationSeparator/>
      </w:r>
    </w:p>
    <w:p w:rsidR="002D4445" w:rsidRDefault="002D4445"/>
  </w:endnote>
  <w:endnote w:id="1">
    <w:p w:rsidR="003A3EBD" w:rsidRPr="00340A3D" w:rsidRDefault="003A3EBD" w:rsidP="00655B07">
      <w:pPr>
        <w:pStyle w:val="EndnoteText"/>
        <w:rPr>
          <w:rFonts w:asciiTheme="minorHAnsi" w:hAnsiTheme="minorHAnsi" w:cstheme="minorHAnsi"/>
          <w:sz w:val="22"/>
          <w:szCs w:val="22"/>
        </w:rPr>
      </w:pPr>
      <w:r w:rsidRPr="00340A3D">
        <w:rPr>
          <w:rFonts w:asciiTheme="minorHAnsi" w:hAnsiTheme="minorHAnsi" w:cstheme="minorHAnsi"/>
          <w:sz w:val="22"/>
          <w:szCs w:val="22"/>
        </w:rPr>
        <w:endnoteRef/>
      </w:r>
      <w:r w:rsidRPr="00340A3D">
        <w:rPr>
          <w:rFonts w:asciiTheme="minorHAnsi" w:hAnsiTheme="minorHAnsi" w:cstheme="minorHAnsi"/>
          <w:sz w:val="22"/>
          <w:szCs w:val="22"/>
        </w:rPr>
        <w:t xml:space="preserve"> </w:t>
      </w:r>
      <w:hyperlink r:id="rId1" w:history="1">
        <w:r w:rsidRPr="00340A3D">
          <w:rPr>
            <w:rStyle w:val="Hyperlink"/>
            <w:rFonts w:asciiTheme="minorHAnsi" w:hAnsiTheme="minorHAnsi" w:cstheme="minorHAnsi"/>
            <w:sz w:val="22"/>
            <w:szCs w:val="22"/>
          </w:rPr>
          <w:t>http://www.ncaee.org/modules/info/files/files_4adcd38174d01.pdf</w:t>
        </w:r>
      </w:hyperlink>
    </w:p>
    <w:p w:rsidR="003A3EBD" w:rsidRPr="00340A3D" w:rsidRDefault="003A3EBD" w:rsidP="00655B07">
      <w:pPr>
        <w:pStyle w:val="EndnoteText"/>
        <w:rPr>
          <w:rFonts w:asciiTheme="minorHAnsi" w:hAnsiTheme="minorHAnsi" w:cstheme="minorHAnsi"/>
          <w:sz w:val="22"/>
          <w:szCs w:val="22"/>
        </w:rPr>
      </w:pPr>
    </w:p>
  </w:endnote>
  <w:endnote w:id="2">
    <w:p w:rsidR="003A3EBD" w:rsidRPr="00340A3D" w:rsidRDefault="003A3EBD" w:rsidP="0034153C">
      <w:pPr>
        <w:pStyle w:val="EndnoteText"/>
        <w:rPr>
          <w:rFonts w:asciiTheme="minorHAnsi" w:hAnsiTheme="minorHAnsi"/>
          <w:sz w:val="22"/>
          <w:szCs w:val="22"/>
        </w:rPr>
      </w:pPr>
      <w:r w:rsidRPr="00340A3D">
        <w:rPr>
          <w:rStyle w:val="EndnoteReference"/>
          <w:rFonts w:asciiTheme="minorHAnsi" w:hAnsiTheme="minorHAnsi"/>
          <w:sz w:val="22"/>
          <w:szCs w:val="22"/>
        </w:rPr>
        <w:endnoteRef/>
      </w:r>
      <w:r w:rsidRPr="00340A3D">
        <w:rPr>
          <w:rFonts w:asciiTheme="minorHAnsi" w:hAnsiTheme="minorHAnsi"/>
          <w:sz w:val="22"/>
          <w:szCs w:val="22"/>
        </w:rPr>
        <w:t xml:space="preserve"> </w:t>
      </w:r>
      <w:hyperlink r:id="rId2" w:history="1">
        <w:r w:rsidRPr="00340A3D">
          <w:rPr>
            <w:rStyle w:val="Hyperlink"/>
            <w:rFonts w:asciiTheme="minorHAnsi" w:hAnsiTheme="minorHAnsi" w:cstheme="minorHAnsi"/>
            <w:sz w:val="22"/>
            <w:szCs w:val="22"/>
          </w:rPr>
          <w:t>http://www.lrc.rpi.edu/programs/nlpip/lightinganswers/led/dimmingLampLife.asp</w:t>
        </w:r>
      </w:hyperlink>
    </w:p>
    <w:p w:rsidR="003A3EBD" w:rsidRPr="00340A3D" w:rsidRDefault="003A3EBD" w:rsidP="0034153C">
      <w:pPr>
        <w:pStyle w:val="EndnoteText"/>
        <w:rPr>
          <w:rFonts w:asciiTheme="minorHAnsi" w:hAnsiTheme="minorHAnsi"/>
          <w:sz w:val="22"/>
          <w:szCs w:val="22"/>
        </w:rPr>
      </w:pPr>
    </w:p>
  </w:endnote>
  <w:endnote w:id="3">
    <w:p w:rsidR="003A3EBD" w:rsidRPr="00340A3D" w:rsidRDefault="003A3EBD">
      <w:pPr>
        <w:pStyle w:val="EndnoteText"/>
        <w:rPr>
          <w:rFonts w:asciiTheme="minorHAnsi" w:hAnsiTheme="minorHAnsi"/>
          <w:sz w:val="22"/>
          <w:szCs w:val="22"/>
        </w:rPr>
      </w:pPr>
      <w:r w:rsidRPr="00340A3D">
        <w:rPr>
          <w:rStyle w:val="EndnoteReference"/>
          <w:rFonts w:asciiTheme="minorHAnsi" w:hAnsiTheme="minorHAnsi"/>
          <w:sz w:val="22"/>
          <w:szCs w:val="22"/>
        </w:rPr>
        <w:endnoteRef/>
      </w:r>
      <w:r w:rsidRPr="00340A3D">
        <w:rPr>
          <w:rFonts w:asciiTheme="minorHAnsi" w:hAnsiTheme="minorHAnsi"/>
          <w:sz w:val="22"/>
          <w:szCs w:val="22"/>
        </w:rPr>
        <w:t xml:space="preserve"> http://www.ama-assn.org/ama/pub/news/news/2016/2016-06-14-community-guidance-street-lighting.page</w:t>
      </w:r>
    </w:p>
  </w:endnote>
  <w:endnote w:id="4">
    <w:p w:rsidR="003A3EBD" w:rsidRDefault="003A3EBD" w:rsidP="002D189D">
      <w:pPr>
        <w:pStyle w:val="EndnoteText"/>
        <w:rPr>
          <w:rFonts w:asciiTheme="minorHAnsi" w:hAnsiTheme="minorHAnsi"/>
          <w:sz w:val="22"/>
          <w:szCs w:val="22"/>
        </w:rPr>
      </w:pPr>
    </w:p>
    <w:p w:rsidR="003A3EBD" w:rsidRPr="00340A3D" w:rsidRDefault="003A3EBD" w:rsidP="002D189D">
      <w:pPr>
        <w:pStyle w:val="EndnoteText"/>
        <w:rPr>
          <w:rFonts w:asciiTheme="minorHAnsi" w:hAnsiTheme="minorHAnsi"/>
          <w:sz w:val="22"/>
          <w:szCs w:val="22"/>
        </w:rPr>
      </w:pPr>
      <w:r w:rsidRPr="00340A3D">
        <w:rPr>
          <w:rStyle w:val="EndnoteReference"/>
          <w:rFonts w:asciiTheme="minorHAnsi" w:hAnsiTheme="minorHAnsi"/>
          <w:sz w:val="22"/>
          <w:szCs w:val="22"/>
        </w:rPr>
        <w:endnoteRef/>
      </w:r>
      <w:r w:rsidRPr="00340A3D">
        <w:rPr>
          <w:rFonts w:asciiTheme="minorHAnsi" w:hAnsiTheme="minorHAnsi"/>
          <w:sz w:val="22"/>
          <w:szCs w:val="22"/>
        </w:rPr>
        <w:t xml:space="preserve"> Adoption of Light-Emitting Diodes in Common Lighting Applications</w:t>
      </w:r>
      <w:r w:rsidRPr="00340A3D">
        <w:rPr>
          <w:rFonts w:asciiTheme="minorHAnsi" w:hAnsiTheme="minorHAnsi" w:cs="Arial"/>
          <w:sz w:val="22"/>
          <w:szCs w:val="22"/>
        </w:rPr>
        <w:t>, U.S.DOE 2015 Report</w:t>
      </w:r>
      <w:r w:rsidRPr="00340A3D">
        <w:rPr>
          <w:rFonts w:asciiTheme="minorHAnsi" w:hAnsiTheme="minorHAnsi"/>
          <w:sz w:val="22"/>
          <w:szCs w:val="22"/>
        </w:rPr>
        <w:t xml:space="preserve">. Accessed at </w:t>
      </w:r>
      <w:hyperlink r:id="rId3" w:history="1">
        <w:r w:rsidRPr="00340A3D">
          <w:rPr>
            <w:rStyle w:val="Hyperlink"/>
            <w:rFonts w:asciiTheme="minorHAnsi" w:hAnsiTheme="minorHAnsi"/>
            <w:sz w:val="22"/>
            <w:szCs w:val="22"/>
          </w:rPr>
          <w:t>http://energy.gov/sites/prod/files/2015/07/f24/led-adoption-report_2015.pdf</w:t>
        </w:r>
      </w:hyperlink>
      <w:r w:rsidRPr="00340A3D">
        <w:rPr>
          <w:rFonts w:asciiTheme="minorHAnsi" w:hAnsiTheme="minorHAnsi"/>
          <w:sz w:val="22"/>
          <w:szCs w:val="22"/>
        </w:rPr>
        <w:t>, page 39</w:t>
      </w:r>
    </w:p>
  </w:endnote>
  <w:endnote w:id="5">
    <w:p w:rsidR="003A3EBD" w:rsidRDefault="003A3EBD" w:rsidP="00406E8E">
      <w:pPr>
        <w:pStyle w:val="EndnoteText"/>
      </w:pPr>
    </w:p>
    <w:p w:rsidR="003A3EBD" w:rsidRDefault="003A3EBD" w:rsidP="00406E8E">
      <w:pPr>
        <w:pStyle w:val="EndnoteText"/>
      </w:pPr>
      <w:r>
        <w:rPr>
          <w:rStyle w:val="EndnoteReference"/>
        </w:rPr>
        <w:endnoteRef/>
      </w:r>
      <w:r>
        <w:t xml:space="preserve"> </w:t>
      </w:r>
      <w:hyperlink r:id="rId4" w:history="1">
        <w:r w:rsidRPr="00501FAF">
          <w:rPr>
            <w:rStyle w:val="Hyperlink"/>
          </w:rPr>
          <w:t>https://www.google.com/webhp?sourceid=chrome-instant&amp;ion=1&amp;espv=2&amp;ie=UTF-8#q=evokit+led+retrofit&amp;tbm=shop&amp;spd=0</w:t>
        </w:r>
      </w:hyperlink>
    </w:p>
  </w:endnote>
  <w:endnote w:id="6">
    <w:p w:rsidR="003A3EBD" w:rsidRDefault="003A3EBD" w:rsidP="00406E8E">
      <w:pPr>
        <w:pStyle w:val="EndnoteText"/>
      </w:pPr>
    </w:p>
    <w:p w:rsidR="003A3EBD" w:rsidRDefault="003A3EBD" w:rsidP="00406E8E">
      <w:pPr>
        <w:pStyle w:val="EndnoteText"/>
      </w:pPr>
      <w:r>
        <w:rPr>
          <w:rStyle w:val="EndnoteReference"/>
        </w:rPr>
        <w:endnoteRef/>
      </w:r>
      <w:r>
        <w:t xml:space="preserve"> </w:t>
      </w:r>
      <w:hyperlink r:id="rId5" w:history="1">
        <w:r w:rsidRPr="00501FAF">
          <w:rPr>
            <w:rStyle w:val="Hyperlink"/>
          </w:rPr>
          <w:t>https://www.google.com/webhp?sourceid=chrome-instant&amp;ion=1&amp;espv=2&amp;ie=UTF-8#q=evokit+led+retrofit&amp;tbm=shop&amp;spd=0</w:t>
        </w:r>
      </w:hyperlink>
    </w:p>
  </w:endnote>
  <w:endnote w:id="7">
    <w:p w:rsidR="003A3EBD" w:rsidRDefault="003A3EBD" w:rsidP="00406E8E">
      <w:pPr>
        <w:pStyle w:val="EndnoteText"/>
      </w:pPr>
    </w:p>
    <w:p w:rsidR="003A3EBD" w:rsidRDefault="003A3EBD" w:rsidP="00406E8E">
      <w:pPr>
        <w:pStyle w:val="EndnoteText"/>
      </w:pPr>
      <w:r>
        <w:rPr>
          <w:rStyle w:val="EndnoteReference"/>
        </w:rPr>
        <w:endnoteRef/>
      </w:r>
      <w:r>
        <w:t xml:space="preserve"> </w:t>
      </w:r>
      <w:hyperlink r:id="rId6" w:history="1">
        <w:r w:rsidRPr="00501FAF">
          <w:rPr>
            <w:rStyle w:val="Hyperlink"/>
          </w:rPr>
          <w:t>https://www.google.com/webhp?sourceid=chrome-instant&amp;ion=1&amp;espv=2&amp;ie=UTF-8#q=evokit+led+retrofit&amp;tbm=shop&amp;spd=0</w:t>
        </w:r>
      </w:hyperlink>
    </w:p>
  </w:endnote>
  <w:endnote w:id="8">
    <w:p w:rsidR="003A3EBD" w:rsidRDefault="003A3EBD" w:rsidP="002F7BA1">
      <w:pPr>
        <w:pStyle w:val="EndnoteText"/>
        <w:rPr>
          <w:rFonts w:asciiTheme="minorHAnsi" w:hAnsiTheme="minorHAnsi"/>
          <w:sz w:val="22"/>
          <w:szCs w:val="22"/>
        </w:rPr>
      </w:pPr>
    </w:p>
    <w:p w:rsidR="003A3EBD" w:rsidRPr="00CA1504" w:rsidRDefault="003A3EBD" w:rsidP="002F7BA1">
      <w:pPr>
        <w:pStyle w:val="EndnoteText"/>
      </w:pPr>
      <w:r w:rsidRPr="00340A3D">
        <w:rPr>
          <w:rStyle w:val="EndnoteReference"/>
          <w:rFonts w:asciiTheme="minorHAnsi" w:hAnsiTheme="minorHAnsi"/>
          <w:sz w:val="22"/>
          <w:szCs w:val="22"/>
        </w:rPr>
        <w:endnoteRef/>
      </w:r>
      <w:r w:rsidRPr="00340A3D">
        <w:rPr>
          <w:rFonts w:asciiTheme="minorHAnsi" w:hAnsiTheme="minorHAnsi"/>
          <w:sz w:val="22"/>
          <w:szCs w:val="22"/>
        </w:rPr>
        <w:t xml:space="preserve"> </w:t>
      </w:r>
      <w:r>
        <w:rPr>
          <w:rFonts w:asciiTheme="minorHAnsi" w:hAnsiTheme="minorHAnsi"/>
          <w:sz w:val="22"/>
          <w:szCs w:val="22"/>
        </w:rPr>
        <w:t>Work Order 17 Labor Cost Study to install bi-level fluorescent fixtures in parking garages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Antiqua">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EBD" w:rsidRDefault="003A3EBD" w:rsidP="00F571A6">
    <w:pPr>
      <w:pStyle w:val="Footer"/>
      <w:jc w:val="right"/>
      <w:rPr>
        <w:rFonts w:cstheme="minorHAnsi"/>
        <w:b/>
        <w:sz w:val="36"/>
        <w:szCs w:val="36"/>
      </w:rPr>
    </w:pPr>
    <w:sdt>
      <w:sdtPr>
        <w:rPr>
          <w:rFonts w:cstheme="minorHAnsi"/>
          <w:b/>
          <w:sz w:val="36"/>
          <w:szCs w:val="36"/>
        </w:rPr>
        <w:alias w:val="Date"/>
        <w:tag w:val=""/>
        <w:id w:val="626895829"/>
        <w:placeholder>
          <w:docPart w:val="F35B0C5DED46403682E831B0B6DC2920"/>
        </w:placeholder>
        <w:dataBinding w:prefixMappings="xmlns:ns0='http://schemas.microsoft.com/office/2006/coverPageProps' " w:xpath="/ns0:CoverPageProperties[1]/ns0:PublishDate[1]" w:storeItemID="{55AF091B-3C7A-41E3-B477-F2FDAA23CFDA}"/>
        <w:date w:fullDate="2016-07-26T00:00:00Z">
          <w:dateFormat w:val="MMMM d, yyyy"/>
          <w:lid w:val="en-US"/>
          <w:storeMappedDataAs w:val="dateTime"/>
          <w:calendar w:val="gregorian"/>
        </w:date>
      </w:sdtPr>
      <w:sdtContent>
        <w:r>
          <w:rPr>
            <w:rFonts w:cstheme="minorHAnsi"/>
            <w:b/>
            <w:sz w:val="36"/>
            <w:szCs w:val="36"/>
          </w:rPr>
          <w:t>July 26, 2016</w:t>
        </w:r>
      </w:sdtContent>
    </w:sdt>
  </w:p>
  <w:p w:rsidR="003A3EBD" w:rsidRPr="009500DC" w:rsidRDefault="003A3EBD" w:rsidP="00447D6E">
    <w:pPr>
      <w:pStyle w:val="Footer"/>
      <w:jc w:val="right"/>
      <w:rPr>
        <w:rFonts w:cstheme="minorHAns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EBD" w:rsidRPr="009500DC" w:rsidRDefault="003A3EBD" w:rsidP="009500DC">
    <w:pPr>
      <w:pStyle w:val="Footer"/>
      <w:pBdr>
        <w:top w:val="single" w:sz="4" w:space="1" w:color="auto"/>
      </w:pBdr>
      <w:rPr>
        <w:rFonts w:cstheme="minorHAnsi"/>
        <w:b/>
        <w:sz w:val="20"/>
        <w:szCs w:val="20"/>
      </w:rPr>
    </w:pPr>
    <w:sdt>
      <w:sdtPr>
        <w:rPr>
          <w:rFonts w:cstheme="minorHAnsi"/>
          <w:b/>
          <w:sz w:val="20"/>
          <w:szCs w:val="20"/>
        </w:rPr>
        <w:alias w:val="Title"/>
        <w:tag w:val=""/>
        <w:id w:val="753098394"/>
        <w:dataBinding w:prefixMappings="xmlns:ns0='http://purl.org/dc/elements/1.1/' xmlns:ns1='http://schemas.openxmlformats.org/package/2006/metadata/core-properties' " w:xpath="/ns1:coreProperties[1]/ns0:title[1]" w:storeItemID="{6C3C8BC8-F283-45AE-878A-BAB7291924A1}"/>
        <w:text/>
      </w:sdtPr>
      <w:sdtContent>
        <w:r>
          <w:rPr>
            <w:rFonts w:cstheme="minorHAnsi"/>
            <w:b/>
            <w:sz w:val="20"/>
            <w:szCs w:val="20"/>
          </w:rPr>
          <w:t>SCE13LG123</w:t>
        </w:r>
      </w:sdtContent>
    </w:sdt>
    <w:r>
      <w:rPr>
        <w:rFonts w:cstheme="minorHAnsi"/>
        <w:b/>
        <w:sz w:val="20"/>
        <w:szCs w:val="20"/>
      </w:rPr>
      <w:t xml:space="preserve">, </w:t>
    </w:r>
    <w:sdt>
      <w:sdtPr>
        <w:rPr>
          <w:rFonts w:cstheme="minorHAnsi"/>
          <w:b/>
          <w:sz w:val="20"/>
          <w:szCs w:val="20"/>
        </w:rPr>
        <w:alias w:val="Revision"/>
        <w:tag w:val=""/>
        <w:id w:val="-2113278608"/>
        <w:dataBinding w:prefixMappings="xmlns:ns0='http://purl.org/dc/elements/1.1/' xmlns:ns1='http://schemas.openxmlformats.org/package/2006/metadata/core-properties' " w:xpath="/ns1:coreProperties[1]/ns1:contentStatus[1]" w:storeItemID="{6C3C8BC8-F283-45AE-878A-BAB7291924A1}"/>
        <w:text/>
      </w:sdtPr>
      <w:sdtContent>
        <w:r>
          <w:rPr>
            <w:rFonts w:cstheme="minorHAnsi"/>
            <w:b/>
            <w:sz w:val="20"/>
            <w:szCs w:val="20"/>
          </w:rPr>
          <w:t>Revision 0</w:t>
        </w:r>
      </w:sdtContent>
    </w:sdt>
    <w:r w:rsidRPr="009500DC">
      <w:rPr>
        <w:rFonts w:cstheme="minorHAnsi"/>
        <w:b/>
        <w:sz w:val="20"/>
        <w:szCs w:val="20"/>
      </w:rPr>
      <w:tab/>
    </w:r>
    <w:r w:rsidRPr="009500DC">
      <w:rPr>
        <w:rFonts w:cstheme="minorHAnsi"/>
        <w:b/>
        <w:sz w:val="20"/>
        <w:szCs w:val="20"/>
      </w:rPr>
      <w:fldChar w:fldCharType="begin"/>
    </w:r>
    <w:r w:rsidRPr="009500DC">
      <w:rPr>
        <w:rFonts w:cstheme="minorHAnsi"/>
        <w:b/>
        <w:sz w:val="20"/>
        <w:szCs w:val="20"/>
      </w:rPr>
      <w:instrText xml:space="preserve"> PAGE   \* MERGEFORMAT </w:instrText>
    </w:r>
    <w:r w:rsidRPr="009500DC">
      <w:rPr>
        <w:rFonts w:cstheme="minorHAnsi"/>
        <w:b/>
        <w:sz w:val="20"/>
        <w:szCs w:val="20"/>
      </w:rPr>
      <w:fldChar w:fldCharType="separate"/>
    </w:r>
    <w:r w:rsidR="00607F69">
      <w:rPr>
        <w:rFonts w:cstheme="minorHAnsi"/>
        <w:b/>
        <w:noProof/>
        <w:sz w:val="20"/>
        <w:szCs w:val="20"/>
      </w:rPr>
      <w:t>2</w:t>
    </w:r>
    <w:r w:rsidRPr="009500DC">
      <w:rPr>
        <w:rFonts w:cstheme="minorHAnsi"/>
        <w:b/>
        <w:noProof/>
        <w:sz w:val="20"/>
        <w:szCs w:val="20"/>
      </w:rPr>
      <w:fldChar w:fldCharType="end"/>
    </w:r>
    <w:r w:rsidRPr="009500DC">
      <w:rPr>
        <w:rFonts w:cstheme="minorHAnsi"/>
        <w:b/>
        <w:sz w:val="20"/>
        <w:szCs w:val="20"/>
      </w:rPr>
      <w:tab/>
    </w:r>
    <w:sdt>
      <w:sdtPr>
        <w:rPr>
          <w:rFonts w:cstheme="minorHAnsi"/>
          <w:b/>
          <w:sz w:val="20"/>
          <w:szCs w:val="20"/>
        </w:rPr>
        <w:alias w:val="Date"/>
        <w:tag w:val=""/>
        <w:id w:val="1618402214"/>
        <w:dataBinding w:prefixMappings="xmlns:ns0='http://schemas.microsoft.com/office/2006/coverPageProps' " w:xpath="/ns0:CoverPageProperties[1]/ns0:PublishDate[1]" w:storeItemID="{55AF091B-3C7A-41E3-B477-F2FDAA23CFDA}"/>
        <w:date w:fullDate="2016-07-26T00:00:00Z">
          <w:dateFormat w:val="MMMM d, yyyy"/>
          <w:lid w:val="en-US"/>
          <w:storeMappedDataAs w:val="dateTime"/>
          <w:calendar w:val="gregorian"/>
        </w:date>
      </w:sdtPr>
      <w:sdtContent>
        <w:r>
          <w:rPr>
            <w:rFonts w:cstheme="minorHAnsi"/>
            <w:b/>
            <w:sz w:val="20"/>
            <w:szCs w:val="20"/>
          </w:rPr>
          <w:t>July 26, 2016</w:t>
        </w:r>
      </w:sdtContent>
    </w:sdt>
  </w:p>
  <w:p w:rsidR="003A3EBD" w:rsidRPr="009500DC" w:rsidRDefault="003A3EBD" w:rsidP="009500DC">
    <w:pPr>
      <w:pStyle w:val="Footer"/>
      <w:pBdr>
        <w:top w:val="single" w:sz="4" w:space="1" w:color="auto"/>
      </w:pBdr>
      <w:rPr>
        <w:rFonts w:cstheme="minorHAnsi"/>
      </w:rPr>
    </w:pPr>
    <w:sdt>
      <w:sdtPr>
        <w:rPr>
          <w:rFonts w:cstheme="minorHAnsi"/>
          <w:b/>
          <w:sz w:val="20"/>
          <w:szCs w:val="20"/>
        </w:rPr>
        <w:alias w:val="Company"/>
        <w:tag w:val=""/>
        <w:id w:val="-368612514"/>
        <w:dataBinding w:prefixMappings="xmlns:ns0='http://schemas.openxmlformats.org/officeDocument/2006/extended-properties' " w:xpath="/ns0:Properties[1]/ns0:Company[1]" w:storeItemID="{6668398D-A668-4E3E-A5EB-62B293D839F1}"/>
        <w:text/>
      </w:sdtPr>
      <w:sdtContent>
        <w:r>
          <w:rPr>
            <w:rFonts w:cstheme="minorHAnsi"/>
            <w:b/>
            <w:sz w:val="20"/>
            <w:szCs w:val="20"/>
          </w:rPr>
          <w:t>Southern California Edison</w:t>
        </w:r>
      </w:sdtContent>
    </w:sdt>
  </w:p>
  <w:p w:rsidR="003A3EBD" w:rsidRDefault="003A3EBD"/>
  <w:p w:rsidR="003A3EBD" w:rsidRDefault="003A3EB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4445" w:rsidRDefault="002D4445" w:rsidP="00447D6E">
      <w:r>
        <w:separator/>
      </w:r>
    </w:p>
    <w:p w:rsidR="002D4445" w:rsidRDefault="002D4445"/>
  </w:footnote>
  <w:footnote w:type="continuationSeparator" w:id="0">
    <w:p w:rsidR="002D4445" w:rsidRDefault="002D4445" w:rsidP="00447D6E">
      <w:r>
        <w:continuationSeparator/>
      </w:r>
    </w:p>
    <w:p w:rsidR="002D4445" w:rsidRDefault="002D444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EBD" w:rsidRDefault="003A3EB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EBD" w:rsidRDefault="003A3EB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EBD" w:rsidRDefault="003A3E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E3825C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AD6F61"/>
    <w:multiLevelType w:val="hybridMultilevel"/>
    <w:tmpl w:val="365A89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33C319A"/>
    <w:multiLevelType w:val="hybridMultilevel"/>
    <w:tmpl w:val="365A89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5A422F5"/>
    <w:multiLevelType w:val="hybridMultilevel"/>
    <w:tmpl w:val="84089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EC6685"/>
    <w:multiLevelType w:val="hybridMultilevel"/>
    <w:tmpl w:val="2BB65E9C"/>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4AB1247"/>
    <w:multiLevelType w:val="hybridMultilevel"/>
    <w:tmpl w:val="BE320BAA"/>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5FC2081"/>
    <w:multiLevelType w:val="hybridMultilevel"/>
    <w:tmpl w:val="365A89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7891152"/>
    <w:multiLevelType w:val="hybridMultilevel"/>
    <w:tmpl w:val="31E21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D56259"/>
    <w:multiLevelType w:val="hybridMultilevel"/>
    <w:tmpl w:val="55CC0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D648A0"/>
    <w:multiLevelType w:val="hybridMultilevel"/>
    <w:tmpl w:val="D2A24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96A003A"/>
    <w:multiLevelType w:val="hybridMultilevel"/>
    <w:tmpl w:val="50C061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DF10A2C"/>
    <w:multiLevelType w:val="hybridMultilevel"/>
    <w:tmpl w:val="8AFAFD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49F56E8"/>
    <w:multiLevelType w:val="hybridMultilevel"/>
    <w:tmpl w:val="9C781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9E34EF0"/>
    <w:multiLevelType w:val="hybridMultilevel"/>
    <w:tmpl w:val="C256F848"/>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1921211"/>
    <w:multiLevelType w:val="multilevel"/>
    <w:tmpl w:val="84BCC1DA"/>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5655379D"/>
    <w:multiLevelType w:val="hybridMultilevel"/>
    <w:tmpl w:val="36525FB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57081C3C"/>
    <w:multiLevelType w:val="hybridMultilevel"/>
    <w:tmpl w:val="B8425F62"/>
    <w:lvl w:ilvl="0" w:tplc="C67C15F2">
      <w:start w:val="1"/>
      <w:numFmt w:val="bullet"/>
      <w:lvlText w:val=""/>
      <w:lvlJc w:val="left"/>
      <w:pPr>
        <w:ind w:left="720" w:hanging="360"/>
      </w:pPr>
      <w:rPr>
        <w:rFonts w:ascii="Symbol" w:hAnsi="Symbol"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80190C"/>
    <w:multiLevelType w:val="hybridMultilevel"/>
    <w:tmpl w:val="26AE6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4BC0F60"/>
    <w:multiLevelType w:val="hybridMultilevel"/>
    <w:tmpl w:val="37AC10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768636C4"/>
    <w:multiLevelType w:val="hybridMultilevel"/>
    <w:tmpl w:val="742AE9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F9E2E2F"/>
    <w:multiLevelType w:val="hybridMultilevel"/>
    <w:tmpl w:val="C256F848"/>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6"/>
  </w:num>
  <w:num w:numId="3">
    <w:abstractNumId w:val="14"/>
  </w:num>
  <w:num w:numId="4">
    <w:abstractNumId w:val="11"/>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20"/>
  </w:num>
  <w:num w:numId="9">
    <w:abstractNumId w:val="10"/>
  </w:num>
  <w:num w:numId="10">
    <w:abstractNumId w:val="5"/>
  </w:num>
  <w:num w:numId="11">
    <w:abstractNumId w:val="18"/>
  </w:num>
  <w:num w:numId="12">
    <w:abstractNumId w:val="17"/>
  </w:num>
  <w:num w:numId="13">
    <w:abstractNumId w:val="6"/>
  </w:num>
  <w:num w:numId="14">
    <w:abstractNumId w:val="13"/>
  </w:num>
  <w:num w:numId="15">
    <w:abstractNumId w:val="9"/>
  </w:num>
  <w:num w:numId="16">
    <w:abstractNumId w:val="8"/>
  </w:num>
  <w:num w:numId="17">
    <w:abstractNumId w:val="1"/>
  </w:num>
  <w:num w:numId="18">
    <w:abstractNumId w:val="3"/>
  </w:num>
  <w:num w:numId="19">
    <w:abstractNumId w:val="12"/>
  </w:num>
  <w:num w:numId="20">
    <w:abstractNumId w:val="19"/>
  </w:num>
  <w:num w:numId="21">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6609"/>
    <w:rsid w:val="000016DB"/>
    <w:rsid w:val="00005902"/>
    <w:rsid w:val="0001002B"/>
    <w:rsid w:val="00010806"/>
    <w:rsid w:val="00013F71"/>
    <w:rsid w:val="000173BF"/>
    <w:rsid w:val="0002248B"/>
    <w:rsid w:val="0002313E"/>
    <w:rsid w:val="00024252"/>
    <w:rsid w:val="000245B5"/>
    <w:rsid w:val="000256A0"/>
    <w:rsid w:val="00027183"/>
    <w:rsid w:val="000278ED"/>
    <w:rsid w:val="00033EA1"/>
    <w:rsid w:val="0003746D"/>
    <w:rsid w:val="0004020F"/>
    <w:rsid w:val="000436CB"/>
    <w:rsid w:val="00051A38"/>
    <w:rsid w:val="00052E17"/>
    <w:rsid w:val="00056947"/>
    <w:rsid w:val="00061A8E"/>
    <w:rsid w:val="00064CB3"/>
    <w:rsid w:val="00070BEE"/>
    <w:rsid w:val="00072040"/>
    <w:rsid w:val="00076DF4"/>
    <w:rsid w:val="00076F51"/>
    <w:rsid w:val="000807D3"/>
    <w:rsid w:val="00082632"/>
    <w:rsid w:val="00086F7F"/>
    <w:rsid w:val="0009074D"/>
    <w:rsid w:val="0009592B"/>
    <w:rsid w:val="000968C6"/>
    <w:rsid w:val="000A63C9"/>
    <w:rsid w:val="000B3765"/>
    <w:rsid w:val="000B655B"/>
    <w:rsid w:val="000C0000"/>
    <w:rsid w:val="000C18CC"/>
    <w:rsid w:val="000C687D"/>
    <w:rsid w:val="000C7283"/>
    <w:rsid w:val="000C7ED1"/>
    <w:rsid w:val="000D789A"/>
    <w:rsid w:val="000E4B5F"/>
    <w:rsid w:val="000E5A48"/>
    <w:rsid w:val="000E706D"/>
    <w:rsid w:val="000F130A"/>
    <w:rsid w:val="000F4FD8"/>
    <w:rsid w:val="000F54BF"/>
    <w:rsid w:val="00107242"/>
    <w:rsid w:val="00111CC5"/>
    <w:rsid w:val="001206F7"/>
    <w:rsid w:val="001236C1"/>
    <w:rsid w:val="00133EE8"/>
    <w:rsid w:val="00140B30"/>
    <w:rsid w:val="001455D1"/>
    <w:rsid w:val="001466FC"/>
    <w:rsid w:val="00147155"/>
    <w:rsid w:val="00153CB3"/>
    <w:rsid w:val="00154C3B"/>
    <w:rsid w:val="00160158"/>
    <w:rsid w:val="00165357"/>
    <w:rsid w:val="00167AAD"/>
    <w:rsid w:val="001722B7"/>
    <w:rsid w:val="001727D9"/>
    <w:rsid w:val="00174BB4"/>
    <w:rsid w:val="00175D14"/>
    <w:rsid w:val="001811EE"/>
    <w:rsid w:val="00183701"/>
    <w:rsid w:val="00185AD4"/>
    <w:rsid w:val="001879E2"/>
    <w:rsid w:val="001979AF"/>
    <w:rsid w:val="001A0EB4"/>
    <w:rsid w:val="001A1A86"/>
    <w:rsid w:val="001A5F62"/>
    <w:rsid w:val="001B015E"/>
    <w:rsid w:val="001B2301"/>
    <w:rsid w:val="001B618B"/>
    <w:rsid w:val="001C1338"/>
    <w:rsid w:val="001C2B40"/>
    <w:rsid w:val="001C4140"/>
    <w:rsid w:val="001C5A94"/>
    <w:rsid w:val="001D0196"/>
    <w:rsid w:val="001D2317"/>
    <w:rsid w:val="001D3223"/>
    <w:rsid w:val="001D33EF"/>
    <w:rsid w:val="001D5AB3"/>
    <w:rsid w:val="001E0519"/>
    <w:rsid w:val="001E0829"/>
    <w:rsid w:val="001E1320"/>
    <w:rsid w:val="001E3CB1"/>
    <w:rsid w:val="001E3E91"/>
    <w:rsid w:val="001E556A"/>
    <w:rsid w:val="001F01A6"/>
    <w:rsid w:val="001F05CE"/>
    <w:rsid w:val="001F1905"/>
    <w:rsid w:val="001F4A65"/>
    <w:rsid w:val="00202E78"/>
    <w:rsid w:val="00205C45"/>
    <w:rsid w:val="0021035B"/>
    <w:rsid w:val="00211153"/>
    <w:rsid w:val="002127A1"/>
    <w:rsid w:val="0023254A"/>
    <w:rsid w:val="002344FB"/>
    <w:rsid w:val="00236216"/>
    <w:rsid w:val="00236952"/>
    <w:rsid w:val="002405CD"/>
    <w:rsid w:val="00240B74"/>
    <w:rsid w:val="002437D7"/>
    <w:rsid w:val="00243B62"/>
    <w:rsid w:val="0024675B"/>
    <w:rsid w:val="002469DD"/>
    <w:rsid w:val="00247180"/>
    <w:rsid w:val="002475A1"/>
    <w:rsid w:val="00254671"/>
    <w:rsid w:val="00257D36"/>
    <w:rsid w:val="002614EE"/>
    <w:rsid w:val="00263C1C"/>
    <w:rsid w:val="002678E2"/>
    <w:rsid w:val="00271415"/>
    <w:rsid w:val="00274FBE"/>
    <w:rsid w:val="002762E1"/>
    <w:rsid w:val="002811BC"/>
    <w:rsid w:val="00283DE8"/>
    <w:rsid w:val="00285552"/>
    <w:rsid w:val="00285966"/>
    <w:rsid w:val="00285A0D"/>
    <w:rsid w:val="00290ED8"/>
    <w:rsid w:val="002950EC"/>
    <w:rsid w:val="00296B49"/>
    <w:rsid w:val="002A03FC"/>
    <w:rsid w:val="002A1329"/>
    <w:rsid w:val="002A1843"/>
    <w:rsid w:val="002A3D26"/>
    <w:rsid w:val="002A483E"/>
    <w:rsid w:val="002A50F7"/>
    <w:rsid w:val="002A523E"/>
    <w:rsid w:val="002B1ADF"/>
    <w:rsid w:val="002B4DCA"/>
    <w:rsid w:val="002B502E"/>
    <w:rsid w:val="002B657B"/>
    <w:rsid w:val="002C0F8F"/>
    <w:rsid w:val="002C2853"/>
    <w:rsid w:val="002C444C"/>
    <w:rsid w:val="002C458F"/>
    <w:rsid w:val="002C52CA"/>
    <w:rsid w:val="002C6C20"/>
    <w:rsid w:val="002C6C7A"/>
    <w:rsid w:val="002C7AE0"/>
    <w:rsid w:val="002C7F78"/>
    <w:rsid w:val="002D189D"/>
    <w:rsid w:val="002D1A24"/>
    <w:rsid w:val="002D4445"/>
    <w:rsid w:val="002D5277"/>
    <w:rsid w:val="002D71FA"/>
    <w:rsid w:val="002D73AF"/>
    <w:rsid w:val="002E4FD9"/>
    <w:rsid w:val="002E5B58"/>
    <w:rsid w:val="002F1437"/>
    <w:rsid w:val="002F3943"/>
    <w:rsid w:val="002F4E34"/>
    <w:rsid w:val="002F4FD2"/>
    <w:rsid w:val="002F6A42"/>
    <w:rsid w:val="002F79E7"/>
    <w:rsid w:val="002F7BA1"/>
    <w:rsid w:val="003003EC"/>
    <w:rsid w:val="003035E3"/>
    <w:rsid w:val="0030363A"/>
    <w:rsid w:val="003041D1"/>
    <w:rsid w:val="00305BEC"/>
    <w:rsid w:val="0030698E"/>
    <w:rsid w:val="00307B8A"/>
    <w:rsid w:val="00317970"/>
    <w:rsid w:val="00317EB0"/>
    <w:rsid w:val="00332700"/>
    <w:rsid w:val="003358BD"/>
    <w:rsid w:val="00340A3D"/>
    <w:rsid w:val="00340F68"/>
    <w:rsid w:val="0034153C"/>
    <w:rsid w:val="00344E88"/>
    <w:rsid w:val="00345D80"/>
    <w:rsid w:val="003471D4"/>
    <w:rsid w:val="00350BF1"/>
    <w:rsid w:val="003534CB"/>
    <w:rsid w:val="00353C49"/>
    <w:rsid w:val="003540B1"/>
    <w:rsid w:val="003557E9"/>
    <w:rsid w:val="003560BA"/>
    <w:rsid w:val="00356AF3"/>
    <w:rsid w:val="00360308"/>
    <w:rsid w:val="00364CC6"/>
    <w:rsid w:val="003650F6"/>
    <w:rsid w:val="0036726C"/>
    <w:rsid w:val="003832D2"/>
    <w:rsid w:val="003845E5"/>
    <w:rsid w:val="00393137"/>
    <w:rsid w:val="003936E0"/>
    <w:rsid w:val="00397406"/>
    <w:rsid w:val="003A3170"/>
    <w:rsid w:val="003A360E"/>
    <w:rsid w:val="003A3EBD"/>
    <w:rsid w:val="003A635C"/>
    <w:rsid w:val="003D17FF"/>
    <w:rsid w:val="003D2871"/>
    <w:rsid w:val="003D30B4"/>
    <w:rsid w:val="003D5B83"/>
    <w:rsid w:val="003E6E47"/>
    <w:rsid w:val="003F0623"/>
    <w:rsid w:val="003F33DE"/>
    <w:rsid w:val="003F3A41"/>
    <w:rsid w:val="003F67E9"/>
    <w:rsid w:val="00401031"/>
    <w:rsid w:val="004023B7"/>
    <w:rsid w:val="004045A0"/>
    <w:rsid w:val="00406E8E"/>
    <w:rsid w:val="00413CDB"/>
    <w:rsid w:val="004200FE"/>
    <w:rsid w:val="00421183"/>
    <w:rsid w:val="00421BA6"/>
    <w:rsid w:val="00421C17"/>
    <w:rsid w:val="00426CDE"/>
    <w:rsid w:val="00427E7A"/>
    <w:rsid w:val="00433EA1"/>
    <w:rsid w:val="00441957"/>
    <w:rsid w:val="00443D32"/>
    <w:rsid w:val="004469DD"/>
    <w:rsid w:val="004476B2"/>
    <w:rsid w:val="00447CE5"/>
    <w:rsid w:val="00447D6E"/>
    <w:rsid w:val="0045048F"/>
    <w:rsid w:val="0045181B"/>
    <w:rsid w:val="00452133"/>
    <w:rsid w:val="00452C7A"/>
    <w:rsid w:val="00456B53"/>
    <w:rsid w:val="0046005A"/>
    <w:rsid w:val="00461B2D"/>
    <w:rsid w:val="0046286E"/>
    <w:rsid w:val="004673A2"/>
    <w:rsid w:val="00471234"/>
    <w:rsid w:val="00472250"/>
    <w:rsid w:val="00472C01"/>
    <w:rsid w:val="0047437C"/>
    <w:rsid w:val="00475C8A"/>
    <w:rsid w:val="00477522"/>
    <w:rsid w:val="00480E7B"/>
    <w:rsid w:val="004843E5"/>
    <w:rsid w:val="00484BF6"/>
    <w:rsid w:val="0049052C"/>
    <w:rsid w:val="00493457"/>
    <w:rsid w:val="00493AFB"/>
    <w:rsid w:val="00494628"/>
    <w:rsid w:val="0049566B"/>
    <w:rsid w:val="00497338"/>
    <w:rsid w:val="004A1650"/>
    <w:rsid w:val="004A4CEF"/>
    <w:rsid w:val="004B0444"/>
    <w:rsid w:val="004B1184"/>
    <w:rsid w:val="004B4A3A"/>
    <w:rsid w:val="004B5CE5"/>
    <w:rsid w:val="004B750E"/>
    <w:rsid w:val="004C145B"/>
    <w:rsid w:val="004C2244"/>
    <w:rsid w:val="004C23F1"/>
    <w:rsid w:val="004D069A"/>
    <w:rsid w:val="004E01F5"/>
    <w:rsid w:val="004E297E"/>
    <w:rsid w:val="004E4005"/>
    <w:rsid w:val="004E76CA"/>
    <w:rsid w:val="004F1054"/>
    <w:rsid w:val="004F1698"/>
    <w:rsid w:val="00500C4E"/>
    <w:rsid w:val="00505CEC"/>
    <w:rsid w:val="0051020F"/>
    <w:rsid w:val="00510CD0"/>
    <w:rsid w:val="00512295"/>
    <w:rsid w:val="00513CAB"/>
    <w:rsid w:val="00516CF5"/>
    <w:rsid w:val="00522F90"/>
    <w:rsid w:val="00523597"/>
    <w:rsid w:val="00523736"/>
    <w:rsid w:val="00532530"/>
    <w:rsid w:val="00535CA4"/>
    <w:rsid w:val="00540EA9"/>
    <w:rsid w:val="005476F6"/>
    <w:rsid w:val="00551D72"/>
    <w:rsid w:val="005540B6"/>
    <w:rsid w:val="00554597"/>
    <w:rsid w:val="005552C3"/>
    <w:rsid w:val="00560934"/>
    <w:rsid w:val="00563E58"/>
    <w:rsid w:val="00564960"/>
    <w:rsid w:val="00570654"/>
    <w:rsid w:val="00570F38"/>
    <w:rsid w:val="005720F2"/>
    <w:rsid w:val="005729C8"/>
    <w:rsid w:val="00572D2F"/>
    <w:rsid w:val="005734A4"/>
    <w:rsid w:val="00594EF5"/>
    <w:rsid w:val="005A0E53"/>
    <w:rsid w:val="005A1078"/>
    <w:rsid w:val="005A2D26"/>
    <w:rsid w:val="005A4658"/>
    <w:rsid w:val="005A496B"/>
    <w:rsid w:val="005B28C1"/>
    <w:rsid w:val="005B6344"/>
    <w:rsid w:val="005C052E"/>
    <w:rsid w:val="005C1C74"/>
    <w:rsid w:val="005C2E48"/>
    <w:rsid w:val="005C3F23"/>
    <w:rsid w:val="005D3850"/>
    <w:rsid w:val="005D4DD7"/>
    <w:rsid w:val="005E12A9"/>
    <w:rsid w:val="005E38DA"/>
    <w:rsid w:val="005F139E"/>
    <w:rsid w:val="005F678F"/>
    <w:rsid w:val="005F69D5"/>
    <w:rsid w:val="006009E7"/>
    <w:rsid w:val="00602799"/>
    <w:rsid w:val="00602F18"/>
    <w:rsid w:val="00605EB9"/>
    <w:rsid w:val="00607C30"/>
    <w:rsid w:val="00607F69"/>
    <w:rsid w:val="00607F9D"/>
    <w:rsid w:val="006110F3"/>
    <w:rsid w:val="00612041"/>
    <w:rsid w:val="0061272E"/>
    <w:rsid w:val="00614AFF"/>
    <w:rsid w:val="00621ABA"/>
    <w:rsid w:val="0062322A"/>
    <w:rsid w:val="00624D47"/>
    <w:rsid w:val="00631157"/>
    <w:rsid w:val="006404E6"/>
    <w:rsid w:val="0064680F"/>
    <w:rsid w:val="00646D61"/>
    <w:rsid w:val="0064729D"/>
    <w:rsid w:val="00647ABE"/>
    <w:rsid w:val="006516BA"/>
    <w:rsid w:val="006546B7"/>
    <w:rsid w:val="00655B07"/>
    <w:rsid w:val="00664B05"/>
    <w:rsid w:val="00665C04"/>
    <w:rsid w:val="0066682D"/>
    <w:rsid w:val="006746FE"/>
    <w:rsid w:val="00676E9F"/>
    <w:rsid w:val="00680934"/>
    <w:rsid w:val="006855C9"/>
    <w:rsid w:val="00685D5C"/>
    <w:rsid w:val="0069264D"/>
    <w:rsid w:val="0069578B"/>
    <w:rsid w:val="00697868"/>
    <w:rsid w:val="006A055F"/>
    <w:rsid w:val="006A126F"/>
    <w:rsid w:val="006A14E9"/>
    <w:rsid w:val="006A2A65"/>
    <w:rsid w:val="006A5293"/>
    <w:rsid w:val="006A67E4"/>
    <w:rsid w:val="006A6D15"/>
    <w:rsid w:val="006B0DF3"/>
    <w:rsid w:val="006B0F11"/>
    <w:rsid w:val="006B27FA"/>
    <w:rsid w:val="006B4A48"/>
    <w:rsid w:val="006C0B03"/>
    <w:rsid w:val="006C2C55"/>
    <w:rsid w:val="006C430A"/>
    <w:rsid w:val="006D2809"/>
    <w:rsid w:val="006E01F8"/>
    <w:rsid w:val="006E27A3"/>
    <w:rsid w:val="006E3342"/>
    <w:rsid w:val="006E3C2D"/>
    <w:rsid w:val="006E4B12"/>
    <w:rsid w:val="006E65D0"/>
    <w:rsid w:val="006E7642"/>
    <w:rsid w:val="006F1B21"/>
    <w:rsid w:val="006F21E8"/>
    <w:rsid w:val="006F23DA"/>
    <w:rsid w:val="006F78D5"/>
    <w:rsid w:val="0070091B"/>
    <w:rsid w:val="00702146"/>
    <w:rsid w:val="0070400C"/>
    <w:rsid w:val="007048AC"/>
    <w:rsid w:val="00717572"/>
    <w:rsid w:val="00725869"/>
    <w:rsid w:val="00726338"/>
    <w:rsid w:val="007264CF"/>
    <w:rsid w:val="00726AD5"/>
    <w:rsid w:val="00733C7D"/>
    <w:rsid w:val="00740761"/>
    <w:rsid w:val="00745F77"/>
    <w:rsid w:val="007464DE"/>
    <w:rsid w:val="007529EA"/>
    <w:rsid w:val="00755A45"/>
    <w:rsid w:val="00760CDC"/>
    <w:rsid w:val="0076388F"/>
    <w:rsid w:val="00764D0D"/>
    <w:rsid w:val="00772628"/>
    <w:rsid w:val="00777C53"/>
    <w:rsid w:val="00780E9D"/>
    <w:rsid w:val="00786E92"/>
    <w:rsid w:val="007933F1"/>
    <w:rsid w:val="00795049"/>
    <w:rsid w:val="007A5F52"/>
    <w:rsid w:val="007B090A"/>
    <w:rsid w:val="007C5FC1"/>
    <w:rsid w:val="007E43F8"/>
    <w:rsid w:val="007E5076"/>
    <w:rsid w:val="007E656B"/>
    <w:rsid w:val="007F2997"/>
    <w:rsid w:val="007F50E8"/>
    <w:rsid w:val="007F54E2"/>
    <w:rsid w:val="007F7FBA"/>
    <w:rsid w:val="00800319"/>
    <w:rsid w:val="0080044E"/>
    <w:rsid w:val="00800706"/>
    <w:rsid w:val="0080189A"/>
    <w:rsid w:val="00801F7F"/>
    <w:rsid w:val="00803C2B"/>
    <w:rsid w:val="00804B87"/>
    <w:rsid w:val="008079CB"/>
    <w:rsid w:val="00811945"/>
    <w:rsid w:val="00811E1D"/>
    <w:rsid w:val="00824F1C"/>
    <w:rsid w:val="00826688"/>
    <w:rsid w:val="00831738"/>
    <w:rsid w:val="0083369B"/>
    <w:rsid w:val="00835D38"/>
    <w:rsid w:val="00847A4E"/>
    <w:rsid w:val="008527D5"/>
    <w:rsid w:val="00871D79"/>
    <w:rsid w:val="0087393E"/>
    <w:rsid w:val="00875A5E"/>
    <w:rsid w:val="00881A42"/>
    <w:rsid w:val="00882386"/>
    <w:rsid w:val="0088361D"/>
    <w:rsid w:val="00885E0A"/>
    <w:rsid w:val="0088603B"/>
    <w:rsid w:val="008877AF"/>
    <w:rsid w:val="00893FC3"/>
    <w:rsid w:val="0089577B"/>
    <w:rsid w:val="008973FB"/>
    <w:rsid w:val="00897F6A"/>
    <w:rsid w:val="008B1024"/>
    <w:rsid w:val="008B1357"/>
    <w:rsid w:val="008B2DF3"/>
    <w:rsid w:val="008B3C6A"/>
    <w:rsid w:val="008C2E0E"/>
    <w:rsid w:val="008C4DE0"/>
    <w:rsid w:val="008D368C"/>
    <w:rsid w:val="008D3930"/>
    <w:rsid w:val="008D67F9"/>
    <w:rsid w:val="008E17CC"/>
    <w:rsid w:val="008E25B1"/>
    <w:rsid w:val="008E56FB"/>
    <w:rsid w:val="008F2167"/>
    <w:rsid w:val="008F2B17"/>
    <w:rsid w:val="008F33B4"/>
    <w:rsid w:val="008F4F3C"/>
    <w:rsid w:val="008F5FA0"/>
    <w:rsid w:val="008F6298"/>
    <w:rsid w:val="008F7A3C"/>
    <w:rsid w:val="0090077A"/>
    <w:rsid w:val="00900F47"/>
    <w:rsid w:val="00904ADA"/>
    <w:rsid w:val="00907697"/>
    <w:rsid w:val="00910A69"/>
    <w:rsid w:val="009138A0"/>
    <w:rsid w:val="0091424C"/>
    <w:rsid w:val="00917DE4"/>
    <w:rsid w:val="00920905"/>
    <w:rsid w:val="00922B85"/>
    <w:rsid w:val="00930CDC"/>
    <w:rsid w:val="00931E45"/>
    <w:rsid w:val="00933188"/>
    <w:rsid w:val="009333FA"/>
    <w:rsid w:val="00935AF9"/>
    <w:rsid w:val="009367DF"/>
    <w:rsid w:val="0093771C"/>
    <w:rsid w:val="009403A5"/>
    <w:rsid w:val="009500DC"/>
    <w:rsid w:val="00951923"/>
    <w:rsid w:val="00951FE1"/>
    <w:rsid w:val="00954C67"/>
    <w:rsid w:val="00972C81"/>
    <w:rsid w:val="009824E9"/>
    <w:rsid w:val="009826E5"/>
    <w:rsid w:val="009844A1"/>
    <w:rsid w:val="00986E20"/>
    <w:rsid w:val="00987193"/>
    <w:rsid w:val="00995479"/>
    <w:rsid w:val="00995CB0"/>
    <w:rsid w:val="00997E77"/>
    <w:rsid w:val="009A2734"/>
    <w:rsid w:val="009B2A02"/>
    <w:rsid w:val="009B2B61"/>
    <w:rsid w:val="009B4977"/>
    <w:rsid w:val="009B5B7B"/>
    <w:rsid w:val="009C1777"/>
    <w:rsid w:val="009C2C86"/>
    <w:rsid w:val="009C6FE0"/>
    <w:rsid w:val="009D0753"/>
    <w:rsid w:val="009D10A4"/>
    <w:rsid w:val="009D5131"/>
    <w:rsid w:val="009D6F71"/>
    <w:rsid w:val="009E1802"/>
    <w:rsid w:val="009E1CDE"/>
    <w:rsid w:val="009E2B06"/>
    <w:rsid w:val="009E3829"/>
    <w:rsid w:val="009E51E2"/>
    <w:rsid w:val="009F7A61"/>
    <w:rsid w:val="00A04CA0"/>
    <w:rsid w:val="00A11800"/>
    <w:rsid w:val="00A11C16"/>
    <w:rsid w:val="00A1423E"/>
    <w:rsid w:val="00A175EB"/>
    <w:rsid w:val="00A17664"/>
    <w:rsid w:val="00A20FAF"/>
    <w:rsid w:val="00A2280A"/>
    <w:rsid w:val="00A24520"/>
    <w:rsid w:val="00A27852"/>
    <w:rsid w:val="00A3164A"/>
    <w:rsid w:val="00A37F42"/>
    <w:rsid w:val="00A40886"/>
    <w:rsid w:val="00A43C7B"/>
    <w:rsid w:val="00A4411F"/>
    <w:rsid w:val="00A46FAC"/>
    <w:rsid w:val="00A474EF"/>
    <w:rsid w:val="00A500D6"/>
    <w:rsid w:val="00A523FF"/>
    <w:rsid w:val="00A54756"/>
    <w:rsid w:val="00A54C66"/>
    <w:rsid w:val="00A54FF8"/>
    <w:rsid w:val="00A57D36"/>
    <w:rsid w:val="00A61BB6"/>
    <w:rsid w:val="00A65734"/>
    <w:rsid w:val="00A6687F"/>
    <w:rsid w:val="00A67907"/>
    <w:rsid w:val="00A73CC1"/>
    <w:rsid w:val="00A74C92"/>
    <w:rsid w:val="00A80270"/>
    <w:rsid w:val="00A8254B"/>
    <w:rsid w:val="00A82DB1"/>
    <w:rsid w:val="00A84127"/>
    <w:rsid w:val="00A86DA2"/>
    <w:rsid w:val="00A90DFC"/>
    <w:rsid w:val="00A91BF3"/>
    <w:rsid w:val="00AA0A9C"/>
    <w:rsid w:val="00AA16C0"/>
    <w:rsid w:val="00AA4CDC"/>
    <w:rsid w:val="00AB21D4"/>
    <w:rsid w:val="00AB21F5"/>
    <w:rsid w:val="00AB3386"/>
    <w:rsid w:val="00AB36DB"/>
    <w:rsid w:val="00AC0B1D"/>
    <w:rsid w:val="00AC15C8"/>
    <w:rsid w:val="00AC2F5B"/>
    <w:rsid w:val="00AC3DAD"/>
    <w:rsid w:val="00AC5309"/>
    <w:rsid w:val="00AC5B97"/>
    <w:rsid w:val="00AD4DD0"/>
    <w:rsid w:val="00AE0A8D"/>
    <w:rsid w:val="00AE49A7"/>
    <w:rsid w:val="00AE7716"/>
    <w:rsid w:val="00AF6342"/>
    <w:rsid w:val="00B01D8C"/>
    <w:rsid w:val="00B02941"/>
    <w:rsid w:val="00B053FB"/>
    <w:rsid w:val="00B05647"/>
    <w:rsid w:val="00B07EE5"/>
    <w:rsid w:val="00B21CC5"/>
    <w:rsid w:val="00B26778"/>
    <w:rsid w:val="00B26B83"/>
    <w:rsid w:val="00B32479"/>
    <w:rsid w:val="00B33FE2"/>
    <w:rsid w:val="00B403ED"/>
    <w:rsid w:val="00B4065F"/>
    <w:rsid w:val="00B45091"/>
    <w:rsid w:val="00B45447"/>
    <w:rsid w:val="00B614F1"/>
    <w:rsid w:val="00B77BCE"/>
    <w:rsid w:val="00B866B4"/>
    <w:rsid w:val="00B94226"/>
    <w:rsid w:val="00BA0A8C"/>
    <w:rsid w:val="00BA0CEB"/>
    <w:rsid w:val="00BA2383"/>
    <w:rsid w:val="00BA2E7E"/>
    <w:rsid w:val="00BA590A"/>
    <w:rsid w:val="00BA5D89"/>
    <w:rsid w:val="00BA5FE4"/>
    <w:rsid w:val="00BB0179"/>
    <w:rsid w:val="00BB060F"/>
    <w:rsid w:val="00BB0B39"/>
    <w:rsid w:val="00BB30D1"/>
    <w:rsid w:val="00BB39D8"/>
    <w:rsid w:val="00BB5F75"/>
    <w:rsid w:val="00BB6FD9"/>
    <w:rsid w:val="00BB7505"/>
    <w:rsid w:val="00BC6524"/>
    <w:rsid w:val="00BD3931"/>
    <w:rsid w:val="00BD5B88"/>
    <w:rsid w:val="00BD5F58"/>
    <w:rsid w:val="00BE0AEB"/>
    <w:rsid w:val="00BF4BDF"/>
    <w:rsid w:val="00C00908"/>
    <w:rsid w:val="00C018E0"/>
    <w:rsid w:val="00C05AAF"/>
    <w:rsid w:val="00C118C7"/>
    <w:rsid w:val="00C20877"/>
    <w:rsid w:val="00C20E7B"/>
    <w:rsid w:val="00C21456"/>
    <w:rsid w:val="00C24D03"/>
    <w:rsid w:val="00C24E2E"/>
    <w:rsid w:val="00C25E61"/>
    <w:rsid w:val="00C3409D"/>
    <w:rsid w:val="00C35A1B"/>
    <w:rsid w:val="00C413F3"/>
    <w:rsid w:val="00C54EFF"/>
    <w:rsid w:val="00C55D03"/>
    <w:rsid w:val="00C62009"/>
    <w:rsid w:val="00C63548"/>
    <w:rsid w:val="00C63F96"/>
    <w:rsid w:val="00C65450"/>
    <w:rsid w:val="00C65B0C"/>
    <w:rsid w:val="00C677AF"/>
    <w:rsid w:val="00C67E59"/>
    <w:rsid w:val="00C709EF"/>
    <w:rsid w:val="00C72B8B"/>
    <w:rsid w:val="00C72CB5"/>
    <w:rsid w:val="00C76D4F"/>
    <w:rsid w:val="00C805BC"/>
    <w:rsid w:val="00C81928"/>
    <w:rsid w:val="00C94A9E"/>
    <w:rsid w:val="00C959CA"/>
    <w:rsid w:val="00C95D16"/>
    <w:rsid w:val="00CA2AB4"/>
    <w:rsid w:val="00CA7849"/>
    <w:rsid w:val="00CB0100"/>
    <w:rsid w:val="00CB04D2"/>
    <w:rsid w:val="00CC321D"/>
    <w:rsid w:val="00CC7166"/>
    <w:rsid w:val="00CD7EFE"/>
    <w:rsid w:val="00CE0429"/>
    <w:rsid w:val="00CE0C66"/>
    <w:rsid w:val="00CE127B"/>
    <w:rsid w:val="00CE28CF"/>
    <w:rsid w:val="00CE4386"/>
    <w:rsid w:val="00CE4CDC"/>
    <w:rsid w:val="00CE5BEB"/>
    <w:rsid w:val="00CE69E9"/>
    <w:rsid w:val="00CE71F2"/>
    <w:rsid w:val="00CF3F65"/>
    <w:rsid w:val="00CF464D"/>
    <w:rsid w:val="00D17EF4"/>
    <w:rsid w:val="00D2025A"/>
    <w:rsid w:val="00D23156"/>
    <w:rsid w:val="00D23770"/>
    <w:rsid w:val="00D25074"/>
    <w:rsid w:val="00D34517"/>
    <w:rsid w:val="00D36798"/>
    <w:rsid w:val="00D47E80"/>
    <w:rsid w:val="00D70563"/>
    <w:rsid w:val="00D70D89"/>
    <w:rsid w:val="00D72051"/>
    <w:rsid w:val="00D7380B"/>
    <w:rsid w:val="00D75D77"/>
    <w:rsid w:val="00D7639E"/>
    <w:rsid w:val="00D835EF"/>
    <w:rsid w:val="00D85E5C"/>
    <w:rsid w:val="00D85F09"/>
    <w:rsid w:val="00D86A9D"/>
    <w:rsid w:val="00DA089A"/>
    <w:rsid w:val="00DA11A0"/>
    <w:rsid w:val="00DA2822"/>
    <w:rsid w:val="00DA690B"/>
    <w:rsid w:val="00DA7225"/>
    <w:rsid w:val="00DA74CA"/>
    <w:rsid w:val="00DB44E9"/>
    <w:rsid w:val="00DC0C8B"/>
    <w:rsid w:val="00DC1966"/>
    <w:rsid w:val="00DC3259"/>
    <w:rsid w:val="00DC33E0"/>
    <w:rsid w:val="00DD0523"/>
    <w:rsid w:val="00DD2BB9"/>
    <w:rsid w:val="00DE5758"/>
    <w:rsid w:val="00DE5FCF"/>
    <w:rsid w:val="00DF0D19"/>
    <w:rsid w:val="00DF2EE9"/>
    <w:rsid w:val="00DF6FD8"/>
    <w:rsid w:val="00E00701"/>
    <w:rsid w:val="00E02853"/>
    <w:rsid w:val="00E05A80"/>
    <w:rsid w:val="00E06A37"/>
    <w:rsid w:val="00E071A5"/>
    <w:rsid w:val="00E07752"/>
    <w:rsid w:val="00E114AC"/>
    <w:rsid w:val="00E12B1B"/>
    <w:rsid w:val="00E15FE7"/>
    <w:rsid w:val="00E16609"/>
    <w:rsid w:val="00E16F08"/>
    <w:rsid w:val="00E22006"/>
    <w:rsid w:val="00E233F3"/>
    <w:rsid w:val="00E25B89"/>
    <w:rsid w:val="00E25F67"/>
    <w:rsid w:val="00E26B34"/>
    <w:rsid w:val="00E314BA"/>
    <w:rsid w:val="00E325BE"/>
    <w:rsid w:val="00E326BA"/>
    <w:rsid w:val="00E331AF"/>
    <w:rsid w:val="00E34202"/>
    <w:rsid w:val="00E37F72"/>
    <w:rsid w:val="00E40BE5"/>
    <w:rsid w:val="00E40CF9"/>
    <w:rsid w:val="00E42A30"/>
    <w:rsid w:val="00E463E6"/>
    <w:rsid w:val="00E5437F"/>
    <w:rsid w:val="00E561CB"/>
    <w:rsid w:val="00E5625D"/>
    <w:rsid w:val="00E648BB"/>
    <w:rsid w:val="00E67ACA"/>
    <w:rsid w:val="00E70A91"/>
    <w:rsid w:val="00E76B31"/>
    <w:rsid w:val="00E77E1A"/>
    <w:rsid w:val="00E81F3E"/>
    <w:rsid w:val="00E844BB"/>
    <w:rsid w:val="00E84C48"/>
    <w:rsid w:val="00E859BD"/>
    <w:rsid w:val="00E86B70"/>
    <w:rsid w:val="00E87C8F"/>
    <w:rsid w:val="00E924C3"/>
    <w:rsid w:val="00E954EE"/>
    <w:rsid w:val="00E96759"/>
    <w:rsid w:val="00E97909"/>
    <w:rsid w:val="00EA232E"/>
    <w:rsid w:val="00EA4437"/>
    <w:rsid w:val="00EA4D87"/>
    <w:rsid w:val="00EB34FC"/>
    <w:rsid w:val="00EB4556"/>
    <w:rsid w:val="00EB76E1"/>
    <w:rsid w:val="00EC2499"/>
    <w:rsid w:val="00ED5740"/>
    <w:rsid w:val="00EE4120"/>
    <w:rsid w:val="00EF12C7"/>
    <w:rsid w:val="00EF2E8A"/>
    <w:rsid w:val="00EF4E6B"/>
    <w:rsid w:val="00EF5416"/>
    <w:rsid w:val="00F0633E"/>
    <w:rsid w:val="00F06CCF"/>
    <w:rsid w:val="00F1053D"/>
    <w:rsid w:val="00F110D5"/>
    <w:rsid w:val="00F11E63"/>
    <w:rsid w:val="00F12733"/>
    <w:rsid w:val="00F171E1"/>
    <w:rsid w:val="00F20DCF"/>
    <w:rsid w:val="00F2221D"/>
    <w:rsid w:val="00F249E2"/>
    <w:rsid w:val="00F25659"/>
    <w:rsid w:val="00F25B36"/>
    <w:rsid w:val="00F3052A"/>
    <w:rsid w:val="00F341E3"/>
    <w:rsid w:val="00F35D09"/>
    <w:rsid w:val="00F4304D"/>
    <w:rsid w:val="00F46612"/>
    <w:rsid w:val="00F4752B"/>
    <w:rsid w:val="00F476E8"/>
    <w:rsid w:val="00F541AE"/>
    <w:rsid w:val="00F56792"/>
    <w:rsid w:val="00F571A6"/>
    <w:rsid w:val="00F6018B"/>
    <w:rsid w:val="00F60265"/>
    <w:rsid w:val="00F60E32"/>
    <w:rsid w:val="00F644FF"/>
    <w:rsid w:val="00F65ABA"/>
    <w:rsid w:val="00F65DE4"/>
    <w:rsid w:val="00F65E15"/>
    <w:rsid w:val="00F67C59"/>
    <w:rsid w:val="00F7242E"/>
    <w:rsid w:val="00F74B33"/>
    <w:rsid w:val="00F810DD"/>
    <w:rsid w:val="00F95E2F"/>
    <w:rsid w:val="00F96DEB"/>
    <w:rsid w:val="00FA1872"/>
    <w:rsid w:val="00FA4F34"/>
    <w:rsid w:val="00FA5432"/>
    <w:rsid w:val="00FB171F"/>
    <w:rsid w:val="00FB2590"/>
    <w:rsid w:val="00FB2882"/>
    <w:rsid w:val="00FB44DE"/>
    <w:rsid w:val="00FB73FD"/>
    <w:rsid w:val="00FC44C8"/>
    <w:rsid w:val="00FD5A8C"/>
    <w:rsid w:val="00FE286E"/>
    <w:rsid w:val="00FE3233"/>
    <w:rsid w:val="00FE4C68"/>
    <w:rsid w:val="00FE5FAF"/>
    <w:rsid w:val="00FE6D74"/>
    <w:rsid w:val="00FF73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Contemporary"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3188"/>
    <w:pPr>
      <w:spacing w:after="0" w:line="240" w:lineRule="auto"/>
    </w:pPr>
    <w:rPr>
      <w:rFonts w:eastAsia="Times New Roman" w:cs="Times New Roman"/>
      <w:szCs w:val="24"/>
    </w:rPr>
  </w:style>
  <w:style w:type="paragraph" w:styleId="Heading1">
    <w:name w:val="heading 1"/>
    <w:basedOn w:val="Normal"/>
    <w:next w:val="Normal"/>
    <w:link w:val="Heading1Char"/>
    <w:qFormat/>
    <w:rsid w:val="00933188"/>
    <w:pPr>
      <w:keepNext/>
      <w:spacing w:before="240" w:after="120"/>
      <w:outlineLvl w:val="0"/>
    </w:pPr>
    <w:rPr>
      <w:rFonts w:cs="Arial"/>
      <w:b/>
      <w:bCs/>
      <w:smallCaps/>
      <w:kern w:val="32"/>
      <w:sz w:val="36"/>
      <w:szCs w:val="32"/>
    </w:rPr>
  </w:style>
  <w:style w:type="paragraph" w:styleId="Heading2">
    <w:name w:val="heading 2"/>
    <w:basedOn w:val="Normal"/>
    <w:next w:val="Normal"/>
    <w:link w:val="Heading2Char"/>
    <w:qFormat/>
    <w:rsid w:val="00E16609"/>
    <w:pPr>
      <w:keepNext/>
      <w:spacing w:before="240" w:after="60"/>
      <w:outlineLvl w:val="1"/>
    </w:pPr>
    <w:rPr>
      <w:rFonts w:ascii="Arial Narrow" w:hAnsi="Arial Narrow" w:cs="Arial"/>
      <w:b/>
      <w:bCs/>
      <w:iCs/>
      <w:smallCaps/>
      <w:sz w:val="28"/>
      <w:szCs w:val="28"/>
    </w:rPr>
  </w:style>
  <w:style w:type="paragraph" w:styleId="Heading3">
    <w:name w:val="heading 3"/>
    <w:basedOn w:val="Normal"/>
    <w:next w:val="Normal"/>
    <w:link w:val="Heading3Char"/>
    <w:qFormat/>
    <w:rsid w:val="00E16609"/>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2F4F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F4FD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33188"/>
    <w:rPr>
      <w:rFonts w:eastAsia="Times New Roman" w:cs="Arial"/>
      <w:b/>
      <w:bCs/>
      <w:smallCaps/>
      <w:kern w:val="32"/>
      <w:sz w:val="36"/>
      <w:szCs w:val="32"/>
    </w:rPr>
  </w:style>
  <w:style w:type="character" w:customStyle="1" w:styleId="Heading2Char">
    <w:name w:val="Heading 2 Char"/>
    <w:basedOn w:val="DefaultParagraphFont"/>
    <w:link w:val="Heading2"/>
    <w:rsid w:val="00E16609"/>
    <w:rPr>
      <w:rFonts w:ascii="Arial Narrow" w:eastAsia="Times New Roman" w:hAnsi="Arial Narrow" w:cs="Arial"/>
      <w:b/>
      <w:bCs/>
      <w:iCs/>
      <w:smallCaps/>
      <w:sz w:val="28"/>
      <w:szCs w:val="28"/>
    </w:rPr>
  </w:style>
  <w:style w:type="character" w:customStyle="1" w:styleId="Heading3Char">
    <w:name w:val="Heading 3 Char"/>
    <w:basedOn w:val="DefaultParagraphFont"/>
    <w:link w:val="Heading3"/>
    <w:rsid w:val="00E16609"/>
    <w:rPr>
      <w:rFonts w:ascii="Arial" w:eastAsia="Times New Roman" w:hAnsi="Arial" w:cs="Arial"/>
      <w:b/>
      <w:bCs/>
      <w:sz w:val="26"/>
      <w:szCs w:val="26"/>
    </w:rPr>
  </w:style>
  <w:style w:type="paragraph" w:customStyle="1" w:styleId="Reminders">
    <w:name w:val="Reminders"/>
    <w:basedOn w:val="Normal"/>
    <w:link w:val="RemindersChar"/>
    <w:rsid w:val="00E16609"/>
    <w:pPr>
      <w:spacing w:before="40" w:after="40"/>
    </w:pPr>
    <w:rPr>
      <w:rFonts w:ascii="Trebuchet MS" w:hAnsi="Trebuchet MS"/>
      <w:i/>
      <w:color w:val="FF0000"/>
    </w:rPr>
  </w:style>
  <w:style w:type="paragraph" w:customStyle="1" w:styleId="Reminder">
    <w:name w:val="Reminder"/>
    <w:basedOn w:val="Reminders"/>
    <w:link w:val="ReminderChar"/>
    <w:rsid w:val="00E16609"/>
  </w:style>
  <w:style w:type="character" w:customStyle="1" w:styleId="RemindersChar">
    <w:name w:val="Reminders Char"/>
    <w:basedOn w:val="DefaultParagraphFont"/>
    <w:link w:val="Reminders"/>
    <w:rsid w:val="00E16609"/>
    <w:rPr>
      <w:rFonts w:ascii="Trebuchet MS" w:eastAsia="Times New Roman" w:hAnsi="Trebuchet MS" w:cs="Times New Roman"/>
      <w:i/>
      <w:color w:val="FF0000"/>
      <w:sz w:val="24"/>
      <w:szCs w:val="24"/>
    </w:rPr>
  </w:style>
  <w:style w:type="character" w:customStyle="1" w:styleId="ReminderChar">
    <w:name w:val="Reminder Char"/>
    <w:basedOn w:val="RemindersChar"/>
    <w:link w:val="Reminder"/>
    <w:rsid w:val="00E16609"/>
    <w:rPr>
      <w:rFonts w:ascii="Trebuchet MS" w:eastAsia="Times New Roman" w:hAnsi="Trebuchet MS" w:cs="Times New Roman"/>
      <w:i/>
      <w:color w:val="FF0000"/>
      <w:sz w:val="24"/>
      <w:szCs w:val="24"/>
    </w:rPr>
  </w:style>
  <w:style w:type="table" w:styleId="TableContemporary">
    <w:name w:val="Table Contemporary"/>
    <w:aliases w:val="WP Table"/>
    <w:basedOn w:val="TableNormal"/>
    <w:rsid w:val="00076F51"/>
    <w:pPr>
      <w:spacing w:after="0" w:line="240" w:lineRule="auto"/>
    </w:pPr>
    <w:rPr>
      <w:rFonts w:ascii="Calibri" w:eastAsia="Times New Roman" w:hAnsi="Calibri"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aption">
    <w:name w:val="caption"/>
    <w:basedOn w:val="Normal"/>
    <w:next w:val="Normal"/>
    <w:link w:val="CaptionChar"/>
    <w:qFormat/>
    <w:rsid w:val="00E16609"/>
    <w:rPr>
      <w:b/>
      <w:bCs/>
      <w:szCs w:val="3276"/>
    </w:rPr>
  </w:style>
  <w:style w:type="character" w:customStyle="1" w:styleId="CaptionChar">
    <w:name w:val="Caption Char"/>
    <w:basedOn w:val="DefaultParagraphFont"/>
    <w:link w:val="Caption"/>
    <w:rsid w:val="00E16609"/>
    <w:rPr>
      <w:rFonts w:ascii="Times New Roman" w:eastAsia="Times New Roman" w:hAnsi="Times New Roman" w:cs="Times New Roman"/>
      <w:b/>
      <w:bCs/>
      <w:sz w:val="24"/>
      <w:szCs w:val="3276"/>
    </w:rPr>
  </w:style>
  <w:style w:type="character" w:styleId="Hyperlink">
    <w:name w:val="Hyperlink"/>
    <w:basedOn w:val="DefaultParagraphFont"/>
    <w:uiPriority w:val="99"/>
    <w:unhideWhenUsed/>
    <w:rsid w:val="000F130A"/>
    <w:rPr>
      <w:color w:val="0000FF" w:themeColor="hyperlink"/>
      <w:u w:val="single"/>
    </w:rPr>
  </w:style>
  <w:style w:type="paragraph" w:styleId="BalloonText">
    <w:name w:val="Balloon Text"/>
    <w:basedOn w:val="Normal"/>
    <w:link w:val="BalloonTextChar"/>
    <w:semiHidden/>
    <w:rsid w:val="000F130A"/>
    <w:pPr>
      <w:ind w:left="360"/>
      <w:jc w:val="both"/>
    </w:pPr>
    <w:rPr>
      <w:rFonts w:ascii="Tahoma" w:hAnsi="Tahoma" w:cs="Tahoma"/>
      <w:bCs/>
      <w:sz w:val="16"/>
      <w:szCs w:val="16"/>
    </w:rPr>
  </w:style>
  <w:style w:type="character" w:customStyle="1" w:styleId="BalloonTextChar">
    <w:name w:val="Balloon Text Char"/>
    <w:basedOn w:val="DefaultParagraphFont"/>
    <w:link w:val="BalloonText"/>
    <w:semiHidden/>
    <w:rsid w:val="000F130A"/>
    <w:rPr>
      <w:rFonts w:ascii="Tahoma" w:eastAsia="Times New Roman" w:hAnsi="Tahoma" w:cs="Tahoma"/>
      <w:bCs/>
      <w:sz w:val="16"/>
      <w:szCs w:val="16"/>
    </w:rPr>
  </w:style>
  <w:style w:type="table" w:styleId="TableGrid">
    <w:name w:val="Table Grid"/>
    <w:basedOn w:val="TableNormal"/>
    <w:uiPriority w:val="59"/>
    <w:rsid w:val="005B28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
    <w:name w:val="Char Char4"/>
    <w:basedOn w:val="Normal"/>
    <w:rsid w:val="00801F7F"/>
    <w:pPr>
      <w:spacing w:after="160" w:line="240" w:lineRule="exact"/>
    </w:pPr>
    <w:rPr>
      <w:rFonts w:ascii="Verdana" w:hAnsi="Verdana"/>
      <w:sz w:val="20"/>
      <w:szCs w:val="20"/>
    </w:rPr>
  </w:style>
  <w:style w:type="paragraph" w:customStyle="1" w:styleId="reminders0">
    <w:name w:val="reminders"/>
    <w:basedOn w:val="Normal"/>
    <w:rsid w:val="00DA690B"/>
    <w:rPr>
      <w:rFonts w:ascii="Trebuchet MS" w:hAnsi="Trebuchet MS" w:cs="Arial"/>
      <w:color w:val="FF0000"/>
    </w:rPr>
  </w:style>
  <w:style w:type="paragraph" w:styleId="Header">
    <w:name w:val="header"/>
    <w:basedOn w:val="Normal"/>
    <w:link w:val="HeaderChar"/>
    <w:uiPriority w:val="99"/>
    <w:unhideWhenUsed/>
    <w:rsid w:val="00447D6E"/>
    <w:pPr>
      <w:tabs>
        <w:tab w:val="center" w:pos="4680"/>
        <w:tab w:val="right" w:pos="9360"/>
      </w:tabs>
    </w:pPr>
  </w:style>
  <w:style w:type="character" w:customStyle="1" w:styleId="HeaderChar">
    <w:name w:val="Header Char"/>
    <w:basedOn w:val="DefaultParagraphFont"/>
    <w:link w:val="Header"/>
    <w:uiPriority w:val="99"/>
    <w:rsid w:val="00447D6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7D6E"/>
    <w:pPr>
      <w:tabs>
        <w:tab w:val="center" w:pos="4680"/>
        <w:tab w:val="right" w:pos="9360"/>
      </w:tabs>
    </w:pPr>
  </w:style>
  <w:style w:type="character" w:customStyle="1" w:styleId="FooterChar">
    <w:name w:val="Footer Char"/>
    <w:basedOn w:val="DefaultParagraphFont"/>
    <w:link w:val="Footer"/>
    <w:uiPriority w:val="99"/>
    <w:rsid w:val="00447D6E"/>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147155"/>
    <w:rPr>
      <w:sz w:val="16"/>
      <w:szCs w:val="16"/>
    </w:rPr>
  </w:style>
  <w:style w:type="paragraph" w:styleId="CommentText">
    <w:name w:val="annotation text"/>
    <w:basedOn w:val="Normal"/>
    <w:link w:val="CommentTextChar"/>
    <w:uiPriority w:val="99"/>
    <w:semiHidden/>
    <w:unhideWhenUsed/>
    <w:rsid w:val="00147155"/>
    <w:rPr>
      <w:sz w:val="20"/>
      <w:szCs w:val="20"/>
    </w:rPr>
  </w:style>
  <w:style w:type="character" w:customStyle="1" w:styleId="CommentTextChar">
    <w:name w:val="Comment Text Char"/>
    <w:basedOn w:val="DefaultParagraphFont"/>
    <w:link w:val="CommentText"/>
    <w:uiPriority w:val="99"/>
    <w:semiHidden/>
    <w:rsid w:val="0014715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47155"/>
    <w:rPr>
      <w:b/>
      <w:bCs/>
    </w:rPr>
  </w:style>
  <w:style w:type="character" w:customStyle="1" w:styleId="CommentSubjectChar">
    <w:name w:val="Comment Subject Char"/>
    <w:basedOn w:val="CommentTextChar"/>
    <w:link w:val="CommentSubject"/>
    <w:uiPriority w:val="99"/>
    <w:semiHidden/>
    <w:rsid w:val="00147155"/>
    <w:rPr>
      <w:rFonts w:ascii="Times New Roman" w:eastAsia="Times New Roman" w:hAnsi="Times New Roman" w:cs="Times New Roman"/>
      <w:b/>
      <w:bCs/>
      <w:sz w:val="20"/>
      <w:szCs w:val="20"/>
    </w:rPr>
  </w:style>
  <w:style w:type="character" w:styleId="Strong">
    <w:name w:val="Strong"/>
    <w:qFormat/>
    <w:rsid w:val="00290ED8"/>
    <w:rPr>
      <w:rFonts w:ascii="Arial" w:hAnsi="Arial"/>
      <w:b/>
      <w:bCs/>
      <w:sz w:val="22"/>
    </w:rPr>
  </w:style>
  <w:style w:type="character" w:customStyle="1" w:styleId="TitleChar">
    <w:name w:val="Title Char"/>
    <w:locked/>
    <w:rsid w:val="00290ED8"/>
    <w:rPr>
      <w:rFonts w:ascii="Arial" w:hAnsi="Arial"/>
      <w:b/>
      <w:color w:val="17365D"/>
      <w:spacing w:val="5"/>
      <w:kern w:val="28"/>
      <w:sz w:val="48"/>
      <w:szCs w:val="52"/>
      <w:lang w:eastAsia="ko-KR"/>
    </w:rPr>
  </w:style>
  <w:style w:type="character" w:customStyle="1" w:styleId="Strong1">
    <w:name w:val="Strong1"/>
    <w:qFormat/>
    <w:rsid w:val="00290ED8"/>
    <w:rPr>
      <w:b/>
      <w:bCs/>
    </w:rPr>
  </w:style>
  <w:style w:type="table" w:styleId="LightShading">
    <w:name w:val="Light Shading"/>
    <w:basedOn w:val="TableNormal"/>
    <w:uiPriority w:val="60"/>
    <w:rsid w:val="00AC530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DE5758"/>
    <w:rPr>
      <w:color w:val="808080"/>
    </w:rPr>
  </w:style>
  <w:style w:type="character" w:customStyle="1" w:styleId="apple-converted-space">
    <w:name w:val="apple-converted-space"/>
    <w:basedOn w:val="DefaultParagraphFont"/>
    <w:rsid w:val="008D3930"/>
  </w:style>
  <w:style w:type="paragraph" w:customStyle="1" w:styleId="WPnumber">
    <w:name w:val="WPnumber"/>
    <w:basedOn w:val="Normal"/>
    <w:link w:val="WPnumberChar"/>
    <w:rsid w:val="00024252"/>
    <w:pPr>
      <w:jc w:val="right"/>
    </w:pPr>
    <w:rPr>
      <w:rFonts w:cstheme="minorHAnsi"/>
      <w:b/>
      <w:sz w:val="48"/>
      <w:szCs w:val="48"/>
    </w:rPr>
  </w:style>
  <w:style w:type="character" w:customStyle="1" w:styleId="WPnumberChar">
    <w:name w:val="WPnumber Char"/>
    <w:basedOn w:val="DefaultParagraphFont"/>
    <w:link w:val="WPnumber"/>
    <w:rsid w:val="00024252"/>
    <w:rPr>
      <w:rFonts w:eastAsia="Times New Roman" w:cstheme="minorHAnsi"/>
      <w:b/>
      <w:sz w:val="48"/>
      <w:szCs w:val="48"/>
    </w:rPr>
  </w:style>
  <w:style w:type="paragraph" w:customStyle="1" w:styleId="Revnumber">
    <w:name w:val="Revnumber"/>
    <w:basedOn w:val="WPnumber"/>
    <w:link w:val="RevnumberChar"/>
    <w:rsid w:val="00285A0D"/>
  </w:style>
  <w:style w:type="paragraph" w:customStyle="1" w:styleId="Datenumber">
    <w:name w:val="Datenumber"/>
    <w:basedOn w:val="Revnumber"/>
    <w:link w:val="DatenumberChar"/>
    <w:rsid w:val="00285A0D"/>
  </w:style>
  <w:style w:type="character" w:customStyle="1" w:styleId="RevnumberChar">
    <w:name w:val="Revnumber Char"/>
    <w:basedOn w:val="WPnumberChar"/>
    <w:link w:val="Revnumber"/>
    <w:rsid w:val="00285A0D"/>
    <w:rPr>
      <w:rFonts w:eastAsia="Times New Roman" w:cstheme="minorHAnsi"/>
      <w:b/>
      <w:sz w:val="48"/>
      <w:szCs w:val="48"/>
    </w:rPr>
  </w:style>
  <w:style w:type="character" w:customStyle="1" w:styleId="DatenumberChar">
    <w:name w:val="Datenumber Char"/>
    <w:basedOn w:val="RevnumberChar"/>
    <w:link w:val="Datenumber"/>
    <w:rsid w:val="00285A0D"/>
    <w:rPr>
      <w:rFonts w:eastAsia="Times New Roman" w:cstheme="minorHAnsi"/>
      <w:b/>
      <w:sz w:val="48"/>
      <w:szCs w:val="48"/>
    </w:rPr>
  </w:style>
  <w:style w:type="paragraph" w:styleId="ListParagraph">
    <w:name w:val="List Paragraph"/>
    <w:basedOn w:val="Normal"/>
    <w:uiPriority w:val="34"/>
    <w:qFormat/>
    <w:rsid w:val="00AC0B1D"/>
    <w:pPr>
      <w:ind w:left="720"/>
      <w:contextualSpacing/>
    </w:pPr>
  </w:style>
  <w:style w:type="table" w:customStyle="1" w:styleId="TableGrid1">
    <w:name w:val="Table Grid1"/>
    <w:basedOn w:val="TableNormal"/>
    <w:next w:val="TableGrid"/>
    <w:rsid w:val="00CE4C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rsid w:val="00572D2F"/>
    <w:rPr>
      <w:rFonts w:ascii="Arial" w:hAnsi="Arial"/>
      <w:sz w:val="20"/>
      <w:szCs w:val="20"/>
    </w:rPr>
  </w:style>
  <w:style w:type="character" w:customStyle="1" w:styleId="EndnoteTextChar">
    <w:name w:val="Endnote Text Char"/>
    <w:basedOn w:val="DefaultParagraphFont"/>
    <w:link w:val="EndnoteText"/>
    <w:rsid w:val="00572D2F"/>
    <w:rPr>
      <w:rFonts w:ascii="Arial" w:eastAsia="Times New Roman" w:hAnsi="Arial" w:cs="Times New Roman"/>
      <w:sz w:val="20"/>
      <w:szCs w:val="20"/>
    </w:rPr>
  </w:style>
  <w:style w:type="character" w:styleId="EndnoteReference">
    <w:name w:val="endnote reference"/>
    <w:rsid w:val="00572D2F"/>
    <w:rPr>
      <w:vertAlign w:val="superscript"/>
    </w:rPr>
  </w:style>
  <w:style w:type="table" w:customStyle="1" w:styleId="TableContemporary1">
    <w:name w:val="Table Contemporary1"/>
    <w:basedOn w:val="TableNormal"/>
    <w:next w:val="TableContemporary"/>
    <w:rsid w:val="00E326BA"/>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GridTableLight">
    <w:name w:val="Grid Table Light"/>
    <w:basedOn w:val="TableNormal"/>
    <w:uiPriority w:val="40"/>
    <w:rsid w:val="006468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nfoExpander">
    <w:name w:val="InfoExpander"/>
    <w:basedOn w:val="Heading3"/>
    <w:link w:val="InfoExpanderChar"/>
    <w:qFormat/>
    <w:rsid w:val="00C05AAF"/>
    <w:pPr>
      <w:tabs>
        <w:tab w:val="num" w:pos="360"/>
      </w:tabs>
      <w:spacing w:before="0" w:after="0"/>
    </w:pPr>
    <w:rPr>
      <w:rFonts w:asciiTheme="minorHAnsi" w:hAnsiTheme="minorHAnsi" w:cstheme="minorHAnsi"/>
      <w:b w:val="0"/>
      <w:sz w:val="22"/>
      <w:szCs w:val="22"/>
      <w:u w:val="single"/>
    </w:rPr>
  </w:style>
  <w:style w:type="character" w:customStyle="1" w:styleId="InfoExpanderChar">
    <w:name w:val="InfoExpander Char"/>
    <w:basedOn w:val="RemindersChar"/>
    <w:link w:val="InfoExpander"/>
    <w:rsid w:val="00C05AAF"/>
    <w:rPr>
      <w:rFonts w:ascii="Trebuchet MS" w:eastAsia="Times New Roman" w:hAnsi="Trebuchet MS" w:cstheme="minorHAnsi"/>
      <w:bCs/>
      <w:i w:val="0"/>
      <w:color w:val="FF0000"/>
      <w:sz w:val="24"/>
      <w:szCs w:val="24"/>
      <w:u w:val="single"/>
    </w:rPr>
  </w:style>
  <w:style w:type="paragraph" w:styleId="NoSpacing">
    <w:name w:val="No Spacing"/>
    <w:uiPriority w:val="1"/>
    <w:qFormat/>
    <w:rsid w:val="00C05AAF"/>
    <w:pPr>
      <w:spacing w:after="0" w:line="240" w:lineRule="auto"/>
    </w:pPr>
  </w:style>
  <w:style w:type="paragraph" w:styleId="ListBullet">
    <w:name w:val="List Bullet"/>
    <w:basedOn w:val="Normal"/>
    <w:uiPriority w:val="99"/>
    <w:unhideWhenUsed/>
    <w:rsid w:val="00A54C66"/>
    <w:pPr>
      <w:numPr>
        <w:numId w:val="1"/>
      </w:numPr>
      <w:contextualSpacing/>
    </w:pPr>
  </w:style>
  <w:style w:type="character" w:styleId="FootnoteReference">
    <w:name w:val="footnote reference"/>
    <w:basedOn w:val="DefaultParagraphFont"/>
    <w:uiPriority w:val="99"/>
    <w:unhideWhenUsed/>
    <w:rsid w:val="00484BF6"/>
    <w:rPr>
      <w:vertAlign w:val="superscript"/>
    </w:rPr>
  </w:style>
  <w:style w:type="paragraph" w:styleId="FootnoteText">
    <w:name w:val="footnote text"/>
    <w:basedOn w:val="Normal"/>
    <w:link w:val="FootnoteTextChar"/>
    <w:uiPriority w:val="99"/>
    <w:semiHidden/>
    <w:unhideWhenUsed/>
    <w:rsid w:val="008877AF"/>
    <w:rPr>
      <w:sz w:val="20"/>
      <w:szCs w:val="20"/>
    </w:rPr>
  </w:style>
  <w:style w:type="character" w:customStyle="1" w:styleId="FootnoteTextChar">
    <w:name w:val="Footnote Text Char"/>
    <w:basedOn w:val="DefaultParagraphFont"/>
    <w:link w:val="FootnoteText"/>
    <w:uiPriority w:val="99"/>
    <w:semiHidden/>
    <w:rsid w:val="008877AF"/>
    <w:rPr>
      <w:rFonts w:eastAsia="Times New Roman" w:cs="Times New Roman"/>
      <w:sz w:val="20"/>
      <w:szCs w:val="20"/>
    </w:rPr>
  </w:style>
  <w:style w:type="character" w:customStyle="1" w:styleId="Heading4Char">
    <w:name w:val="Heading 4 Char"/>
    <w:basedOn w:val="DefaultParagraphFont"/>
    <w:link w:val="Heading4"/>
    <w:uiPriority w:val="9"/>
    <w:rsid w:val="002F4FD2"/>
    <w:rPr>
      <w:rFonts w:asciiTheme="majorHAnsi" w:eastAsiaTheme="majorEastAsia" w:hAnsiTheme="majorHAnsi" w:cstheme="majorBidi"/>
      <w:b/>
      <w:bCs/>
      <w:i/>
      <w:iCs/>
      <w:color w:val="4F81BD" w:themeColor="accent1"/>
      <w:szCs w:val="24"/>
    </w:rPr>
  </w:style>
  <w:style w:type="character" w:customStyle="1" w:styleId="Heading5Char">
    <w:name w:val="Heading 5 Char"/>
    <w:basedOn w:val="DefaultParagraphFont"/>
    <w:link w:val="Heading5"/>
    <w:uiPriority w:val="9"/>
    <w:rsid w:val="002F4FD2"/>
    <w:rPr>
      <w:rFonts w:asciiTheme="majorHAnsi" w:eastAsiaTheme="majorEastAsia" w:hAnsiTheme="majorHAnsi" w:cstheme="majorBidi"/>
      <w:color w:val="243F60" w:themeColor="accent1" w:themeShade="7F"/>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Contemporary"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3188"/>
    <w:pPr>
      <w:spacing w:after="0" w:line="240" w:lineRule="auto"/>
    </w:pPr>
    <w:rPr>
      <w:rFonts w:eastAsia="Times New Roman" w:cs="Times New Roman"/>
      <w:szCs w:val="24"/>
    </w:rPr>
  </w:style>
  <w:style w:type="paragraph" w:styleId="Heading1">
    <w:name w:val="heading 1"/>
    <w:basedOn w:val="Normal"/>
    <w:next w:val="Normal"/>
    <w:link w:val="Heading1Char"/>
    <w:qFormat/>
    <w:rsid w:val="00933188"/>
    <w:pPr>
      <w:keepNext/>
      <w:spacing w:before="240" w:after="120"/>
      <w:outlineLvl w:val="0"/>
    </w:pPr>
    <w:rPr>
      <w:rFonts w:cs="Arial"/>
      <w:b/>
      <w:bCs/>
      <w:smallCaps/>
      <w:kern w:val="32"/>
      <w:sz w:val="36"/>
      <w:szCs w:val="32"/>
    </w:rPr>
  </w:style>
  <w:style w:type="paragraph" w:styleId="Heading2">
    <w:name w:val="heading 2"/>
    <w:basedOn w:val="Normal"/>
    <w:next w:val="Normal"/>
    <w:link w:val="Heading2Char"/>
    <w:qFormat/>
    <w:rsid w:val="00E16609"/>
    <w:pPr>
      <w:keepNext/>
      <w:spacing w:before="240" w:after="60"/>
      <w:outlineLvl w:val="1"/>
    </w:pPr>
    <w:rPr>
      <w:rFonts w:ascii="Arial Narrow" w:hAnsi="Arial Narrow" w:cs="Arial"/>
      <w:b/>
      <w:bCs/>
      <w:iCs/>
      <w:smallCaps/>
      <w:sz w:val="28"/>
      <w:szCs w:val="28"/>
    </w:rPr>
  </w:style>
  <w:style w:type="paragraph" w:styleId="Heading3">
    <w:name w:val="heading 3"/>
    <w:basedOn w:val="Normal"/>
    <w:next w:val="Normal"/>
    <w:link w:val="Heading3Char"/>
    <w:qFormat/>
    <w:rsid w:val="00E16609"/>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2F4F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F4FD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33188"/>
    <w:rPr>
      <w:rFonts w:eastAsia="Times New Roman" w:cs="Arial"/>
      <w:b/>
      <w:bCs/>
      <w:smallCaps/>
      <w:kern w:val="32"/>
      <w:sz w:val="36"/>
      <w:szCs w:val="32"/>
    </w:rPr>
  </w:style>
  <w:style w:type="character" w:customStyle="1" w:styleId="Heading2Char">
    <w:name w:val="Heading 2 Char"/>
    <w:basedOn w:val="DefaultParagraphFont"/>
    <w:link w:val="Heading2"/>
    <w:rsid w:val="00E16609"/>
    <w:rPr>
      <w:rFonts w:ascii="Arial Narrow" w:eastAsia="Times New Roman" w:hAnsi="Arial Narrow" w:cs="Arial"/>
      <w:b/>
      <w:bCs/>
      <w:iCs/>
      <w:smallCaps/>
      <w:sz w:val="28"/>
      <w:szCs w:val="28"/>
    </w:rPr>
  </w:style>
  <w:style w:type="character" w:customStyle="1" w:styleId="Heading3Char">
    <w:name w:val="Heading 3 Char"/>
    <w:basedOn w:val="DefaultParagraphFont"/>
    <w:link w:val="Heading3"/>
    <w:rsid w:val="00E16609"/>
    <w:rPr>
      <w:rFonts w:ascii="Arial" w:eastAsia="Times New Roman" w:hAnsi="Arial" w:cs="Arial"/>
      <w:b/>
      <w:bCs/>
      <w:sz w:val="26"/>
      <w:szCs w:val="26"/>
    </w:rPr>
  </w:style>
  <w:style w:type="paragraph" w:customStyle="1" w:styleId="Reminders">
    <w:name w:val="Reminders"/>
    <w:basedOn w:val="Normal"/>
    <w:link w:val="RemindersChar"/>
    <w:rsid w:val="00E16609"/>
    <w:pPr>
      <w:spacing w:before="40" w:after="40"/>
    </w:pPr>
    <w:rPr>
      <w:rFonts w:ascii="Trebuchet MS" w:hAnsi="Trebuchet MS"/>
      <w:i/>
      <w:color w:val="FF0000"/>
    </w:rPr>
  </w:style>
  <w:style w:type="paragraph" w:customStyle="1" w:styleId="Reminder">
    <w:name w:val="Reminder"/>
    <w:basedOn w:val="Reminders"/>
    <w:link w:val="ReminderChar"/>
    <w:rsid w:val="00E16609"/>
  </w:style>
  <w:style w:type="character" w:customStyle="1" w:styleId="RemindersChar">
    <w:name w:val="Reminders Char"/>
    <w:basedOn w:val="DefaultParagraphFont"/>
    <w:link w:val="Reminders"/>
    <w:rsid w:val="00E16609"/>
    <w:rPr>
      <w:rFonts w:ascii="Trebuchet MS" w:eastAsia="Times New Roman" w:hAnsi="Trebuchet MS" w:cs="Times New Roman"/>
      <w:i/>
      <w:color w:val="FF0000"/>
      <w:sz w:val="24"/>
      <w:szCs w:val="24"/>
    </w:rPr>
  </w:style>
  <w:style w:type="character" w:customStyle="1" w:styleId="ReminderChar">
    <w:name w:val="Reminder Char"/>
    <w:basedOn w:val="RemindersChar"/>
    <w:link w:val="Reminder"/>
    <w:rsid w:val="00E16609"/>
    <w:rPr>
      <w:rFonts w:ascii="Trebuchet MS" w:eastAsia="Times New Roman" w:hAnsi="Trebuchet MS" w:cs="Times New Roman"/>
      <w:i/>
      <w:color w:val="FF0000"/>
      <w:sz w:val="24"/>
      <w:szCs w:val="24"/>
    </w:rPr>
  </w:style>
  <w:style w:type="table" w:styleId="TableContemporary">
    <w:name w:val="Table Contemporary"/>
    <w:aliases w:val="WP Table"/>
    <w:basedOn w:val="TableNormal"/>
    <w:rsid w:val="00076F51"/>
    <w:pPr>
      <w:spacing w:after="0" w:line="240" w:lineRule="auto"/>
    </w:pPr>
    <w:rPr>
      <w:rFonts w:ascii="Calibri" w:eastAsia="Times New Roman" w:hAnsi="Calibri"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aption">
    <w:name w:val="caption"/>
    <w:basedOn w:val="Normal"/>
    <w:next w:val="Normal"/>
    <w:link w:val="CaptionChar"/>
    <w:qFormat/>
    <w:rsid w:val="00E16609"/>
    <w:rPr>
      <w:b/>
      <w:bCs/>
      <w:szCs w:val="3276"/>
    </w:rPr>
  </w:style>
  <w:style w:type="character" w:customStyle="1" w:styleId="CaptionChar">
    <w:name w:val="Caption Char"/>
    <w:basedOn w:val="DefaultParagraphFont"/>
    <w:link w:val="Caption"/>
    <w:rsid w:val="00E16609"/>
    <w:rPr>
      <w:rFonts w:ascii="Times New Roman" w:eastAsia="Times New Roman" w:hAnsi="Times New Roman" w:cs="Times New Roman"/>
      <w:b/>
      <w:bCs/>
      <w:sz w:val="24"/>
      <w:szCs w:val="3276"/>
    </w:rPr>
  </w:style>
  <w:style w:type="character" w:styleId="Hyperlink">
    <w:name w:val="Hyperlink"/>
    <w:basedOn w:val="DefaultParagraphFont"/>
    <w:uiPriority w:val="99"/>
    <w:unhideWhenUsed/>
    <w:rsid w:val="000F130A"/>
    <w:rPr>
      <w:color w:val="0000FF" w:themeColor="hyperlink"/>
      <w:u w:val="single"/>
    </w:rPr>
  </w:style>
  <w:style w:type="paragraph" w:styleId="BalloonText">
    <w:name w:val="Balloon Text"/>
    <w:basedOn w:val="Normal"/>
    <w:link w:val="BalloonTextChar"/>
    <w:semiHidden/>
    <w:rsid w:val="000F130A"/>
    <w:pPr>
      <w:ind w:left="360"/>
      <w:jc w:val="both"/>
    </w:pPr>
    <w:rPr>
      <w:rFonts w:ascii="Tahoma" w:hAnsi="Tahoma" w:cs="Tahoma"/>
      <w:bCs/>
      <w:sz w:val="16"/>
      <w:szCs w:val="16"/>
    </w:rPr>
  </w:style>
  <w:style w:type="character" w:customStyle="1" w:styleId="BalloonTextChar">
    <w:name w:val="Balloon Text Char"/>
    <w:basedOn w:val="DefaultParagraphFont"/>
    <w:link w:val="BalloonText"/>
    <w:semiHidden/>
    <w:rsid w:val="000F130A"/>
    <w:rPr>
      <w:rFonts w:ascii="Tahoma" w:eastAsia="Times New Roman" w:hAnsi="Tahoma" w:cs="Tahoma"/>
      <w:bCs/>
      <w:sz w:val="16"/>
      <w:szCs w:val="16"/>
    </w:rPr>
  </w:style>
  <w:style w:type="table" w:styleId="TableGrid">
    <w:name w:val="Table Grid"/>
    <w:basedOn w:val="TableNormal"/>
    <w:uiPriority w:val="59"/>
    <w:rsid w:val="005B28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
    <w:name w:val="Char Char4"/>
    <w:basedOn w:val="Normal"/>
    <w:rsid w:val="00801F7F"/>
    <w:pPr>
      <w:spacing w:after="160" w:line="240" w:lineRule="exact"/>
    </w:pPr>
    <w:rPr>
      <w:rFonts w:ascii="Verdana" w:hAnsi="Verdana"/>
      <w:sz w:val="20"/>
      <w:szCs w:val="20"/>
    </w:rPr>
  </w:style>
  <w:style w:type="paragraph" w:customStyle="1" w:styleId="reminders0">
    <w:name w:val="reminders"/>
    <w:basedOn w:val="Normal"/>
    <w:rsid w:val="00DA690B"/>
    <w:rPr>
      <w:rFonts w:ascii="Trebuchet MS" w:hAnsi="Trebuchet MS" w:cs="Arial"/>
      <w:color w:val="FF0000"/>
    </w:rPr>
  </w:style>
  <w:style w:type="paragraph" w:styleId="Header">
    <w:name w:val="header"/>
    <w:basedOn w:val="Normal"/>
    <w:link w:val="HeaderChar"/>
    <w:uiPriority w:val="99"/>
    <w:unhideWhenUsed/>
    <w:rsid w:val="00447D6E"/>
    <w:pPr>
      <w:tabs>
        <w:tab w:val="center" w:pos="4680"/>
        <w:tab w:val="right" w:pos="9360"/>
      </w:tabs>
    </w:pPr>
  </w:style>
  <w:style w:type="character" w:customStyle="1" w:styleId="HeaderChar">
    <w:name w:val="Header Char"/>
    <w:basedOn w:val="DefaultParagraphFont"/>
    <w:link w:val="Header"/>
    <w:uiPriority w:val="99"/>
    <w:rsid w:val="00447D6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7D6E"/>
    <w:pPr>
      <w:tabs>
        <w:tab w:val="center" w:pos="4680"/>
        <w:tab w:val="right" w:pos="9360"/>
      </w:tabs>
    </w:pPr>
  </w:style>
  <w:style w:type="character" w:customStyle="1" w:styleId="FooterChar">
    <w:name w:val="Footer Char"/>
    <w:basedOn w:val="DefaultParagraphFont"/>
    <w:link w:val="Footer"/>
    <w:uiPriority w:val="99"/>
    <w:rsid w:val="00447D6E"/>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147155"/>
    <w:rPr>
      <w:sz w:val="16"/>
      <w:szCs w:val="16"/>
    </w:rPr>
  </w:style>
  <w:style w:type="paragraph" w:styleId="CommentText">
    <w:name w:val="annotation text"/>
    <w:basedOn w:val="Normal"/>
    <w:link w:val="CommentTextChar"/>
    <w:uiPriority w:val="99"/>
    <w:semiHidden/>
    <w:unhideWhenUsed/>
    <w:rsid w:val="00147155"/>
    <w:rPr>
      <w:sz w:val="20"/>
      <w:szCs w:val="20"/>
    </w:rPr>
  </w:style>
  <w:style w:type="character" w:customStyle="1" w:styleId="CommentTextChar">
    <w:name w:val="Comment Text Char"/>
    <w:basedOn w:val="DefaultParagraphFont"/>
    <w:link w:val="CommentText"/>
    <w:uiPriority w:val="99"/>
    <w:semiHidden/>
    <w:rsid w:val="0014715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47155"/>
    <w:rPr>
      <w:b/>
      <w:bCs/>
    </w:rPr>
  </w:style>
  <w:style w:type="character" w:customStyle="1" w:styleId="CommentSubjectChar">
    <w:name w:val="Comment Subject Char"/>
    <w:basedOn w:val="CommentTextChar"/>
    <w:link w:val="CommentSubject"/>
    <w:uiPriority w:val="99"/>
    <w:semiHidden/>
    <w:rsid w:val="00147155"/>
    <w:rPr>
      <w:rFonts w:ascii="Times New Roman" w:eastAsia="Times New Roman" w:hAnsi="Times New Roman" w:cs="Times New Roman"/>
      <w:b/>
      <w:bCs/>
      <w:sz w:val="20"/>
      <w:szCs w:val="20"/>
    </w:rPr>
  </w:style>
  <w:style w:type="character" w:styleId="Strong">
    <w:name w:val="Strong"/>
    <w:qFormat/>
    <w:rsid w:val="00290ED8"/>
    <w:rPr>
      <w:rFonts w:ascii="Arial" w:hAnsi="Arial"/>
      <w:b/>
      <w:bCs/>
      <w:sz w:val="22"/>
    </w:rPr>
  </w:style>
  <w:style w:type="character" w:customStyle="1" w:styleId="TitleChar">
    <w:name w:val="Title Char"/>
    <w:locked/>
    <w:rsid w:val="00290ED8"/>
    <w:rPr>
      <w:rFonts w:ascii="Arial" w:hAnsi="Arial"/>
      <w:b/>
      <w:color w:val="17365D"/>
      <w:spacing w:val="5"/>
      <w:kern w:val="28"/>
      <w:sz w:val="48"/>
      <w:szCs w:val="52"/>
      <w:lang w:eastAsia="ko-KR"/>
    </w:rPr>
  </w:style>
  <w:style w:type="character" w:customStyle="1" w:styleId="Strong1">
    <w:name w:val="Strong1"/>
    <w:qFormat/>
    <w:rsid w:val="00290ED8"/>
    <w:rPr>
      <w:b/>
      <w:bCs/>
    </w:rPr>
  </w:style>
  <w:style w:type="table" w:styleId="LightShading">
    <w:name w:val="Light Shading"/>
    <w:basedOn w:val="TableNormal"/>
    <w:uiPriority w:val="60"/>
    <w:rsid w:val="00AC530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DE5758"/>
    <w:rPr>
      <w:color w:val="808080"/>
    </w:rPr>
  </w:style>
  <w:style w:type="character" w:customStyle="1" w:styleId="apple-converted-space">
    <w:name w:val="apple-converted-space"/>
    <w:basedOn w:val="DefaultParagraphFont"/>
    <w:rsid w:val="008D3930"/>
  </w:style>
  <w:style w:type="paragraph" w:customStyle="1" w:styleId="WPnumber">
    <w:name w:val="WPnumber"/>
    <w:basedOn w:val="Normal"/>
    <w:link w:val="WPnumberChar"/>
    <w:rsid w:val="00024252"/>
    <w:pPr>
      <w:jc w:val="right"/>
    </w:pPr>
    <w:rPr>
      <w:rFonts w:cstheme="minorHAnsi"/>
      <w:b/>
      <w:sz w:val="48"/>
      <w:szCs w:val="48"/>
    </w:rPr>
  </w:style>
  <w:style w:type="character" w:customStyle="1" w:styleId="WPnumberChar">
    <w:name w:val="WPnumber Char"/>
    <w:basedOn w:val="DefaultParagraphFont"/>
    <w:link w:val="WPnumber"/>
    <w:rsid w:val="00024252"/>
    <w:rPr>
      <w:rFonts w:eastAsia="Times New Roman" w:cstheme="minorHAnsi"/>
      <w:b/>
      <w:sz w:val="48"/>
      <w:szCs w:val="48"/>
    </w:rPr>
  </w:style>
  <w:style w:type="paragraph" w:customStyle="1" w:styleId="Revnumber">
    <w:name w:val="Revnumber"/>
    <w:basedOn w:val="WPnumber"/>
    <w:link w:val="RevnumberChar"/>
    <w:rsid w:val="00285A0D"/>
  </w:style>
  <w:style w:type="paragraph" w:customStyle="1" w:styleId="Datenumber">
    <w:name w:val="Datenumber"/>
    <w:basedOn w:val="Revnumber"/>
    <w:link w:val="DatenumberChar"/>
    <w:rsid w:val="00285A0D"/>
  </w:style>
  <w:style w:type="character" w:customStyle="1" w:styleId="RevnumberChar">
    <w:name w:val="Revnumber Char"/>
    <w:basedOn w:val="WPnumberChar"/>
    <w:link w:val="Revnumber"/>
    <w:rsid w:val="00285A0D"/>
    <w:rPr>
      <w:rFonts w:eastAsia="Times New Roman" w:cstheme="minorHAnsi"/>
      <w:b/>
      <w:sz w:val="48"/>
      <w:szCs w:val="48"/>
    </w:rPr>
  </w:style>
  <w:style w:type="character" w:customStyle="1" w:styleId="DatenumberChar">
    <w:name w:val="Datenumber Char"/>
    <w:basedOn w:val="RevnumberChar"/>
    <w:link w:val="Datenumber"/>
    <w:rsid w:val="00285A0D"/>
    <w:rPr>
      <w:rFonts w:eastAsia="Times New Roman" w:cstheme="minorHAnsi"/>
      <w:b/>
      <w:sz w:val="48"/>
      <w:szCs w:val="48"/>
    </w:rPr>
  </w:style>
  <w:style w:type="paragraph" w:styleId="ListParagraph">
    <w:name w:val="List Paragraph"/>
    <w:basedOn w:val="Normal"/>
    <w:uiPriority w:val="34"/>
    <w:qFormat/>
    <w:rsid w:val="00AC0B1D"/>
    <w:pPr>
      <w:ind w:left="720"/>
      <w:contextualSpacing/>
    </w:pPr>
  </w:style>
  <w:style w:type="table" w:customStyle="1" w:styleId="TableGrid1">
    <w:name w:val="Table Grid1"/>
    <w:basedOn w:val="TableNormal"/>
    <w:next w:val="TableGrid"/>
    <w:rsid w:val="00CE4C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rsid w:val="00572D2F"/>
    <w:rPr>
      <w:rFonts w:ascii="Arial" w:hAnsi="Arial"/>
      <w:sz w:val="20"/>
      <w:szCs w:val="20"/>
    </w:rPr>
  </w:style>
  <w:style w:type="character" w:customStyle="1" w:styleId="EndnoteTextChar">
    <w:name w:val="Endnote Text Char"/>
    <w:basedOn w:val="DefaultParagraphFont"/>
    <w:link w:val="EndnoteText"/>
    <w:rsid w:val="00572D2F"/>
    <w:rPr>
      <w:rFonts w:ascii="Arial" w:eastAsia="Times New Roman" w:hAnsi="Arial" w:cs="Times New Roman"/>
      <w:sz w:val="20"/>
      <w:szCs w:val="20"/>
    </w:rPr>
  </w:style>
  <w:style w:type="character" w:styleId="EndnoteReference">
    <w:name w:val="endnote reference"/>
    <w:rsid w:val="00572D2F"/>
    <w:rPr>
      <w:vertAlign w:val="superscript"/>
    </w:rPr>
  </w:style>
  <w:style w:type="table" w:customStyle="1" w:styleId="TableContemporary1">
    <w:name w:val="Table Contemporary1"/>
    <w:basedOn w:val="TableNormal"/>
    <w:next w:val="TableContemporary"/>
    <w:rsid w:val="00E326BA"/>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GridTableLight">
    <w:name w:val="Grid Table Light"/>
    <w:basedOn w:val="TableNormal"/>
    <w:uiPriority w:val="40"/>
    <w:rsid w:val="006468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nfoExpander">
    <w:name w:val="InfoExpander"/>
    <w:basedOn w:val="Heading3"/>
    <w:link w:val="InfoExpanderChar"/>
    <w:qFormat/>
    <w:rsid w:val="00C05AAF"/>
    <w:pPr>
      <w:tabs>
        <w:tab w:val="num" w:pos="360"/>
      </w:tabs>
      <w:spacing w:before="0" w:after="0"/>
    </w:pPr>
    <w:rPr>
      <w:rFonts w:asciiTheme="minorHAnsi" w:hAnsiTheme="minorHAnsi" w:cstheme="minorHAnsi"/>
      <w:b w:val="0"/>
      <w:sz w:val="22"/>
      <w:szCs w:val="22"/>
      <w:u w:val="single"/>
    </w:rPr>
  </w:style>
  <w:style w:type="character" w:customStyle="1" w:styleId="InfoExpanderChar">
    <w:name w:val="InfoExpander Char"/>
    <w:basedOn w:val="RemindersChar"/>
    <w:link w:val="InfoExpander"/>
    <w:rsid w:val="00C05AAF"/>
    <w:rPr>
      <w:rFonts w:ascii="Trebuchet MS" w:eastAsia="Times New Roman" w:hAnsi="Trebuchet MS" w:cstheme="minorHAnsi"/>
      <w:bCs/>
      <w:i w:val="0"/>
      <w:color w:val="FF0000"/>
      <w:sz w:val="24"/>
      <w:szCs w:val="24"/>
      <w:u w:val="single"/>
    </w:rPr>
  </w:style>
  <w:style w:type="paragraph" w:styleId="NoSpacing">
    <w:name w:val="No Spacing"/>
    <w:uiPriority w:val="1"/>
    <w:qFormat/>
    <w:rsid w:val="00C05AAF"/>
    <w:pPr>
      <w:spacing w:after="0" w:line="240" w:lineRule="auto"/>
    </w:pPr>
  </w:style>
  <w:style w:type="paragraph" w:styleId="ListBullet">
    <w:name w:val="List Bullet"/>
    <w:basedOn w:val="Normal"/>
    <w:uiPriority w:val="99"/>
    <w:unhideWhenUsed/>
    <w:rsid w:val="00A54C66"/>
    <w:pPr>
      <w:numPr>
        <w:numId w:val="1"/>
      </w:numPr>
      <w:contextualSpacing/>
    </w:pPr>
  </w:style>
  <w:style w:type="character" w:styleId="FootnoteReference">
    <w:name w:val="footnote reference"/>
    <w:basedOn w:val="DefaultParagraphFont"/>
    <w:uiPriority w:val="99"/>
    <w:unhideWhenUsed/>
    <w:rsid w:val="00484BF6"/>
    <w:rPr>
      <w:vertAlign w:val="superscript"/>
    </w:rPr>
  </w:style>
  <w:style w:type="paragraph" w:styleId="FootnoteText">
    <w:name w:val="footnote text"/>
    <w:basedOn w:val="Normal"/>
    <w:link w:val="FootnoteTextChar"/>
    <w:uiPriority w:val="99"/>
    <w:semiHidden/>
    <w:unhideWhenUsed/>
    <w:rsid w:val="008877AF"/>
    <w:rPr>
      <w:sz w:val="20"/>
      <w:szCs w:val="20"/>
    </w:rPr>
  </w:style>
  <w:style w:type="character" w:customStyle="1" w:styleId="FootnoteTextChar">
    <w:name w:val="Footnote Text Char"/>
    <w:basedOn w:val="DefaultParagraphFont"/>
    <w:link w:val="FootnoteText"/>
    <w:uiPriority w:val="99"/>
    <w:semiHidden/>
    <w:rsid w:val="008877AF"/>
    <w:rPr>
      <w:rFonts w:eastAsia="Times New Roman" w:cs="Times New Roman"/>
      <w:sz w:val="20"/>
      <w:szCs w:val="20"/>
    </w:rPr>
  </w:style>
  <w:style w:type="character" w:customStyle="1" w:styleId="Heading4Char">
    <w:name w:val="Heading 4 Char"/>
    <w:basedOn w:val="DefaultParagraphFont"/>
    <w:link w:val="Heading4"/>
    <w:uiPriority w:val="9"/>
    <w:rsid w:val="002F4FD2"/>
    <w:rPr>
      <w:rFonts w:asciiTheme="majorHAnsi" w:eastAsiaTheme="majorEastAsia" w:hAnsiTheme="majorHAnsi" w:cstheme="majorBidi"/>
      <w:b/>
      <w:bCs/>
      <w:i/>
      <w:iCs/>
      <w:color w:val="4F81BD" w:themeColor="accent1"/>
      <w:szCs w:val="24"/>
    </w:rPr>
  </w:style>
  <w:style w:type="character" w:customStyle="1" w:styleId="Heading5Char">
    <w:name w:val="Heading 5 Char"/>
    <w:basedOn w:val="DefaultParagraphFont"/>
    <w:link w:val="Heading5"/>
    <w:uiPriority w:val="9"/>
    <w:rsid w:val="002F4FD2"/>
    <w:rPr>
      <w:rFonts w:asciiTheme="majorHAnsi" w:eastAsiaTheme="majorEastAsia" w:hAnsiTheme="majorHAnsi" w:cstheme="majorBidi"/>
      <w:color w:val="243F60"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423410">
      <w:bodyDiv w:val="1"/>
      <w:marLeft w:val="0"/>
      <w:marRight w:val="0"/>
      <w:marTop w:val="0"/>
      <w:marBottom w:val="0"/>
      <w:divBdr>
        <w:top w:val="none" w:sz="0" w:space="0" w:color="auto"/>
        <w:left w:val="none" w:sz="0" w:space="0" w:color="auto"/>
        <w:bottom w:val="none" w:sz="0" w:space="0" w:color="auto"/>
        <w:right w:val="none" w:sz="0" w:space="0" w:color="auto"/>
      </w:divBdr>
    </w:div>
    <w:div w:id="782457817">
      <w:bodyDiv w:val="1"/>
      <w:marLeft w:val="0"/>
      <w:marRight w:val="0"/>
      <w:marTop w:val="0"/>
      <w:marBottom w:val="0"/>
      <w:divBdr>
        <w:top w:val="none" w:sz="0" w:space="0" w:color="auto"/>
        <w:left w:val="none" w:sz="0" w:space="0" w:color="auto"/>
        <w:bottom w:val="none" w:sz="0" w:space="0" w:color="auto"/>
        <w:right w:val="none" w:sz="0" w:space="0" w:color="auto"/>
      </w:divBdr>
    </w:div>
    <w:div w:id="918900845">
      <w:bodyDiv w:val="1"/>
      <w:marLeft w:val="0"/>
      <w:marRight w:val="0"/>
      <w:marTop w:val="0"/>
      <w:marBottom w:val="0"/>
      <w:divBdr>
        <w:top w:val="none" w:sz="0" w:space="0" w:color="auto"/>
        <w:left w:val="none" w:sz="0" w:space="0" w:color="auto"/>
        <w:bottom w:val="none" w:sz="0" w:space="0" w:color="auto"/>
        <w:right w:val="none" w:sz="0" w:space="0" w:color="auto"/>
      </w:divBdr>
    </w:div>
    <w:div w:id="1033505279">
      <w:bodyDiv w:val="1"/>
      <w:marLeft w:val="0"/>
      <w:marRight w:val="0"/>
      <w:marTop w:val="0"/>
      <w:marBottom w:val="0"/>
      <w:divBdr>
        <w:top w:val="none" w:sz="0" w:space="0" w:color="auto"/>
        <w:left w:val="none" w:sz="0" w:space="0" w:color="auto"/>
        <w:bottom w:val="none" w:sz="0" w:space="0" w:color="auto"/>
        <w:right w:val="none" w:sz="0" w:space="0" w:color="auto"/>
      </w:divBdr>
    </w:div>
    <w:div w:id="1304113907">
      <w:bodyDiv w:val="1"/>
      <w:marLeft w:val="0"/>
      <w:marRight w:val="0"/>
      <w:marTop w:val="0"/>
      <w:marBottom w:val="0"/>
      <w:divBdr>
        <w:top w:val="none" w:sz="0" w:space="0" w:color="auto"/>
        <w:left w:val="none" w:sz="0" w:space="0" w:color="auto"/>
        <w:bottom w:val="none" w:sz="0" w:space="0" w:color="auto"/>
        <w:right w:val="none" w:sz="0" w:space="0" w:color="auto"/>
      </w:divBdr>
    </w:div>
    <w:div w:id="1304967731">
      <w:bodyDiv w:val="1"/>
      <w:marLeft w:val="0"/>
      <w:marRight w:val="0"/>
      <w:marTop w:val="0"/>
      <w:marBottom w:val="0"/>
      <w:divBdr>
        <w:top w:val="none" w:sz="0" w:space="0" w:color="auto"/>
        <w:left w:val="none" w:sz="0" w:space="0" w:color="auto"/>
        <w:bottom w:val="none" w:sz="0" w:space="0" w:color="auto"/>
        <w:right w:val="none" w:sz="0" w:space="0" w:color="auto"/>
      </w:divBdr>
    </w:div>
    <w:div w:id="1338728660">
      <w:bodyDiv w:val="1"/>
      <w:marLeft w:val="0"/>
      <w:marRight w:val="0"/>
      <w:marTop w:val="0"/>
      <w:marBottom w:val="0"/>
      <w:divBdr>
        <w:top w:val="none" w:sz="0" w:space="0" w:color="auto"/>
        <w:left w:val="none" w:sz="0" w:space="0" w:color="auto"/>
        <w:bottom w:val="none" w:sz="0" w:space="0" w:color="auto"/>
        <w:right w:val="none" w:sz="0" w:space="0" w:color="auto"/>
      </w:divBdr>
    </w:div>
    <w:div w:id="1348362898">
      <w:bodyDiv w:val="1"/>
      <w:marLeft w:val="0"/>
      <w:marRight w:val="0"/>
      <w:marTop w:val="0"/>
      <w:marBottom w:val="0"/>
      <w:divBdr>
        <w:top w:val="none" w:sz="0" w:space="0" w:color="auto"/>
        <w:left w:val="none" w:sz="0" w:space="0" w:color="auto"/>
        <w:bottom w:val="none" w:sz="0" w:space="0" w:color="auto"/>
        <w:right w:val="none" w:sz="0" w:space="0" w:color="auto"/>
      </w:divBdr>
    </w:div>
    <w:div w:id="1952350147">
      <w:bodyDiv w:val="1"/>
      <w:marLeft w:val="0"/>
      <w:marRight w:val="0"/>
      <w:marTop w:val="0"/>
      <w:marBottom w:val="0"/>
      <w:divBdr>
        <w:top w:val="none" w:sz="0" w:space="0" w:color="auto"/>
        <w:left w:val="none" w:sz="0" w:space="0" w:color="auto"/>
        <w:bottom w:val="none" w:sz="0" w:space="0" w:color="auto"/>
        <w:right w:val="none" w:sz="0" w:space="0" w:color="auto"/>
      </w:divBdr>
    </w:div>
    <w:div w:id="2136747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caltf.org/" TargetMode="External"/><Relationship Id="rId42" Type="http://schemas.openxmlformats.org/officeDocument/2006/relationships/image" Target="media/image24.png"/><Relationship Id="rId47" Type="http://schemas.openxmlformats.org/officeDocument/2006/relationships/image" Target="media/image29.emf"/><Relationship Id="rId63" Type="http://schemas.openxmlformats.org/officeDocument/2006/relationships/hyperlink" Target="https://www.google.com/aclk?sa=l&amp;ai=DChcSEwjJgOeN_o_OAhUKhH4KHR6hCWkYABAu&amp;sig=AOD64_1365Z40KMDHYiI-tviAS2gxPxbFw&amp;ctype=5&amp;q=&amp;ved=0ahUKEwjo7eSN_o_OAhVhHGMKHa3lDZMQ2CkI8QIwDQ&amp;adurl=" TargetMode="External"/><Relationship Id="rId68" Type="http://schemas.openxmlformats.org/officeDocument/2006/relationships/oleObject" Target="embeddings/oleObject1.bin"/><Relationship Id="rId16" Type="http://schemas.openxmlformats.org/officeDocument/2006/relationships/package" Target="embeddings/Microsoft_Word_Document3.docx"/><Relationship Id="rId11" Type="http://schemas.openxmlformats.org/officeDocument/2006/relationships/image" Target="media/image1.emf"/><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hyperlink" Target="https://www.google.com/shopping/product/17703307574718433548?q=evokit+led+retrofit&amp;espv=2&amp;biw=1280&amp;bih=595&amp;bav=on.2,or.&amp;bvm=bv.128153897,d.cGc&amp;ion=1&amp;tch=1&amp;ech=1&amp;psi=w72WV4jRHuWqjQPJpbPADA.1469496766618.5&amp;prds=paur:ClkAsKraX4Wc1mWYLQFKnITAZ5Ib5NX7X5XPXZjcIy4jRrlya_MTkqc8xMa8zZGP4pnx2_eo-zXPprsrqwLauufH_cJx57oPodxW3hTrmQbQ8hBMfa2PgOrHtxIZAFPVH70z1ox77V6DKSKgKKyvvCcTJQadwg&amp;sa=X&amp;ved=0ahUKEwjo7eSN_o_OAhVhHGMKHa3lDZMQ8wIIqwIwAw" TargetMode="External"/><Relationship Id="rId58" Type="http://schemas.openxmlformats.org/officeDocument/2006/relationships/hyperlink" Target="https://www.google.com/shopping/product/16844586790537780315?q=evokit+led+retrofit&amp;espv=2&amp;biw=1280&amp;bih=595&amp;bav=on.2,or.&amp;bvm=bv.128153897,d.cGc&amp;ion=1&amp;tch=1&amp;ech=1&amp;psi=w72WV4jRHuWqjQPJpbPADA.1469496766618.5&amp;prds=paur:ClkAsKraX_G_iyc5OspC4HaSZg_jdUt-PMGclYifFag5dBeh9mQ3lQxfHzR7dBjM-cUh0OrVUepFLhz4vpuhcJB5suVgc7ILnFj-pVvXYNckYozREIHxpfV6yhIZAFPVH70h070fcCdcNuY_IqhkgNU_hhYp0g&amp;sa=X&amp;ved=0ahUKEwjo7eSN_o_OAhVhHGMKHa3lDZMQ8wIIzgIwCA" TargetMode="External"/><Relationship Id="rId74" Type="http://schemas.openxmlformats.org/officeDocument/2006/relationships/oleObject" Target="embeddings/oleObject3.bin"/><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hyperlink" Target="https://www.google.com/shopping/product/9323393797507987597?q=evokit+led+retrofit&amp;espv=2&amp;biw=1280&amp;bih=595&amp;bav=on.2,or.&amp;bvm=bv.128153897,d.cGc&amp;ion=1&amp;tch=1&amp;ech=1&amp;psi=w72WV4jRHuWqjQPJpbPADA.1469496766618.5&amp;prds=paur:ClkAsKraX3VW10oRxU41sZJNkzcp4JdwPs1iSgfeyNWVVMStqzA3X2aWmAMYntCOG8yuOgKyZLs9OdJVqD4T7DhmP1ZcjM-EuyvNRLgpjhslpQ6lPInGgXLTVBIZAFPVH71VjGC0Ntl_Pf6X1_SYM2HCwOh6IA&amp;sa=X&amp;ved=0ahUKEwjo7eSN_o_OAhVhHGMKHa3lDZMQ8wII4wIwCw" TargetMode="External"/><Relationship Id="rId19" Type="http://schemas.openxmlformats.org/officeDocument/2006/relationships/image" Target="media/image5.emf"/><Relationship Id="rId14" Type="http://schemas.openxmlformats.org/officeDocument/2006/relationships/package" Target="embeddings/Microsoft_Word_Document2.docx"/><Relationship Id="rId22" Type="http://schemas.openxmlformats.org/officeDocument/2006/relationships/hyperlink" Target="http://www.caltf.org/approved-measures/" TargetMode="Externa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hyperlink" Target="https://www.google.com/shopping/product/10211721798487398115?q=evokit+led+retrofit&amp;espv=2&amp;biw=1280&amp;bih=595&amp;bav=on.2,or.&amp;bvm=bv.128153897,d.cGc&amp;ion=1&amp;tch=1&amp;ech=1&amp;psi=w72WV4jRHuWqjQPJpbPADA.1469496766618.5&amp;prds=paur:ClkAsKraX_iG9mgIWlbnYx2V5z0kCFKiLo5gtPlj_HZhQFQQKEfXyb0cAsgiis0kZ0shVDtVkTkpriN_jxqQ_VjVElwRIn4ZKAESAygSc9Hey41oAVV5pwoj7BIZAFPVH71y2fzcaOJJ-CylEvkzrrJRbx0JsQ&amp;sa=X&amp;ved=0ahUKEwjo7eSN_o_OAhVhHGMKHa3lDZMQ8wIIlgIwAA" TargetMode="External"/><Relationship Id="rId56" Type="http://schemas.openxmlformats.org/officeDocument/2006/relationships/hyperlink" Target="https://www.google.com/shopping/product/18004974828336718480?q=evokit+led+retrofit&amp;espv=2&amp;biw=1280&amp;bih=595&amp;bav=on.2,or.&amp;bvm=bv.128153897,d.cGc&amp;ion=1&amp;tch=1&amp;ech=1&amp;psi=w72WV4jRHuWqjQPJpbPADA.1469496766618.5&amp;prds=paur:ClkAsKraX8rE2G_ZsdAhex8i5qXxadQMZ3gc2_nQJI0kFg5MELGxQzkDjSyQ3EjuEOiNk586JdZMlTLLXkVs1-roHtSKmmfqPGhloJItU6wiz7OQ_o09Gk8SixIZAFPVH72okpurNVEfOc-ha0v9fvfCWGgnXA&amp;sa=X&amp;ved=0ahUKEwjo7eSN_o_OAhVhHGMKHa3lDZMQ8wIIwAIwBg" TargetMode="External"/><Relationship Id="rId64" Type="http://schemas.openxmlformats.org/officeDocument/2006/relationships/hyperlink" Target="https://www.google.com/aclk?sa=l&amp;ai=DChcSEwjJgOeN_o_OAhUKhH4KHR6hCWkYABAw&amp;sig=AOD64_0hI1rgMh1RqHmLRwd4KGKQMZr71A&amp;ctype=5&amp;q=&amp;ved=0ahUKEwjo7eSN_o_OAhVhHGMKHa3lDZMQ2CkI-AIwDg&amp;adurl=" TargetMode="External"/><Relationship Id="rId69" Type="http://schemas.openxmlformats.org/officeDocument/2006/relationships/image" Target="media/image32.emf"/><Relationship Id="rId77"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package" Target="embeddings/Microsoft_Word_Document6.docx"/><Relationship Id="rId80"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www.google.com/shopping/product/18036831267870621114?q=evokit+led+retrofit&amp;espv=2&amp;biw=1280&amp;bih=595&amp;bav=on.2,or.&amp;bvm=bv.128153897,d.cGc&amp;ion=1&amp;tch=1&amp;ech=1&amp;psi=w72WV4jRHuWqjQPJpbPADA.1469496766618.5&amp;prds=paur:ClkAsKraX4F9lNxWhFPWTxhGUhVLcP8xdFEEQAz3gdAXEDKk8ia-aNvu2Uxu_W0h5r_CyhIEuH85pNB65I49_1UjPls7O0vJ5he2sP2tCjw2cAmYlC90vG5oGBIZAFPVH72V2lh8ORO0ZaxxySdzo7cpv3DeoA&amp;sa=X&amp;ved=0ahUKEwjo7eSN_o_OAhVhHGMKHa3lDZMQ8wII1QIwCQ" TargetMode="External"/><Relationship Id="rId67" Type="http://schemas.openxmlformats.org/officeDocument/2006/relationships/image" Target="media/image31.emf"/><Relationship Id="rId20" Type="http://schemas.openxmlformats.org/officeDocument/2006/relationships/package" Target="embeddings/Microsoft_Word_Document5.docx"/><Relationship Id="rId41" Type="http://schemas.openxmlformats.org/officeDocument/2006/relationships/image" Target="media/image23.png"/><Relationship Id="rId54" Type="http://schemas.openxmlformats.org/officeDocument/2006/relationships/hyperlink" Target="https://www.google.com/shopping/product/1212035769781967238?q=evokit+led+retrofit&amp;espv=2&amp;biw=1280&amp;bih=595&amp;bav=on.2,or.&amp;bvm=bv.128153897,d.cGc&amp;ion=1&amp;tch=1&amp;ech=1&amp;psi=w72WV4jRHuWqjQPJpbPADA.1469496766618.5&amp;prds=paur:ClkAsKraX70LtZ0tMx09-kmm2WyA32tn6Lsp8aOXdMoIQkE1n3yFlnIKlsqLCprVO9s6X5hP_ZuhF_lNzPXMOuFMp1T8i14ovGCKcHdbKFlT2piWF84kZZdQHhIZAFPVH73f7QPun1pw-heT0Bkitj9xGHSWPQ&amp;sa=X&amp;ved=0ahUKEwjo7eSN_o_OAhVhHGMKHa3lDZMQ8wIIsgIwBA" TargetMode="External"/><Relationship Id="rId62" Type="http://schemas.openxmlformats.org/officeDocument/2006/relationships/hyperlink" Target="https://www.google.com/aclk?sa=L&amp;ai=DChcSEwjJgOeN_o_OAhUKhH4KHR6hCWkYABAs&amp;sig=AOD64_05Q254QbJ6xglaKeGNswzYKZQ_lQ&amp;ctype=5&amp;q=&amp;ved=0ahUKEwjo7eSN_o_OAhVhHGMKHa3lDZMQ2CkI6gIwDA&amp;adurl=" TargetMode="External"/><Relationship Id="rId70" Type="http://schemas.openxmlformats.org/officeDocument/2006/relationships/oleObject" Target="embeddings/oleObject2.bin"/><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6.emf"/><Relationship Id="rId28" Type="http://schemas.microsoft.com/office/2007/relationships/hdphoto" Target="media/hdphoto1.wdp"/><Relationship Id="rId36" Type="http://schemas.openxmlformats.org/officeDocument/2006/relationships/image" Target="media/image18.png"/><Relationship Id="rId49" Type="http://schemas.openxmlformats.org/officeDocument/2006/relationships/hyperlink" Target="https://www.google.com/shopping/product/17804107371891870663?q=evokit+led+retrofit&amp;espv=2&amp;biw=1280&amp;bih=595&amp;bav=on.2,or.&amp;bvm=bv.128153897,d.cGc&amp;ion=1&amp;tch=1&amp;ech=1&amp;psi=w72WV4jRHuWqjQPJpbPADA.1469496766618.5&amp;prds=paur:ClkAsKraXyoWqDURiNYK8Sv1Y8vrPt7y_rt1b1qEttij6c40G_tgdMKzHeAgWlBAJEk98esSqM_fFO1Ea_WwvUmFtj0GhktHGJ8XCEYY9ijlqShY2BZ4-RbYqxIZAFPVH73-Bs2j0VM4Z-E-zbB5-EPRELh0Dw&amp;sa=X&amp;ved=0ahUKEwjo7eSN_o_OAhVhHGMKHa3lDZMQ8wIInQIwAQ" TargetMode="External"/><Relationship Id="rId57" Type="http://schemas.openxmlformats.org/officeDocument/2006/relationships/hyperlink" Target="https://www.google.com/shopping/product/3839586057037998914?q=evokit+led+retrofit&amp;espv=2&amp;biw=1280&amp;bih=595&amp;bav=on.2,or.&amp;bvm=bv.128153897,d.cGc&amp;ion=1&amp;tch=1&amp;ech=1&amp;psi=w72WV4jRHuWqjQPJpbPADA.1469496766618.5&amp;prds=paur:ClkAsKraXx01fPovDHD2uyZEdCubZEYBD8FtOekh_tz2cAY51HZD7tBXsJil_hMrebXiPCWrqti9y_68tlKNox52sSZf0CMAkXj715B2dfdr_X-NvwvN9ooa7RIZAFPVH71PClhUseuZku2prEWE5ABfO4egiw&amp;sa=X&amp;ved=0ahUKEwjo7eSN_o_OAhVhHGMKHa3lDZMQ8wIIxwIwBw" TargetMode="Externa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emf"/><Relationship Id="rId52" Type="http://schemas.openxmlformats.org/officeDocument/2006/relationships/hyperlink" Target="https://www.google.com/shopping/product/3152433530888449364?q=evokit+led+retrofit&amp;espv=2&amp;biw=1280&amp;bih=595&amp;bav=on.2,or.&amp;bvm=bv.128153897,d.cGc&amp;ion=1&amp;tch=1&amp;ech=1&amp;psi=w72WV4jRHuWqjQPJpbPADA.1469496766618.5&amp;prds=paur:ClkAsKraX-Q3vWwyaBVV6xj7P3bcEVi5JmUy2vKWW7rRH9wWvgXyNXnaL3q4VazTMJLFtfJv1GtqKAjOwjW1dzmj9YlrYekjuUZdIUlnSYpzIo1Mlid0b6LLshIZAFPVH70pAX08__htlyQzSq7Ps5JU-4Teug&amp;sa=X&amp;ved=0ahUKEwjo7eSN_o_OAhVhHGMKHa3lDZMQ8wIIpAIwAg" TargetMode="External"/><Relationship Id="rId60" Type="http://schemas.openxmlformats.org/officeDocument/2006/relationships/hyperlink" Target="https://www.google.com/shopping/product/1770337416226854957?q=evokit+led+retrofit&amp;espv=2&amp;biw=1280&amp;bih=595&amp;bav=on.2,or.&amp;bvm=bv.128153897,d.cGc&amp;ion=1&amp;tch=1&amp;ech=1&amp;psi=w72WV4jRHuWqjQPJpbPADA.1469496766618.5&amp;prds=paur:ClkAsKraXzscuEFZlPirepruQJfoKkTSt7UkeSK_XPHBWELeSoVPh5jIlGLjwq_46CDqaLXDNOZ0yNF3ue28hC2wIwS0PRkXmkdNp71uyiVBT4b5M9Fg8luaJhIZAFPVH71Det8w8SB_OwNoXEXnIROWItpNBw&amp;sa=X&amp;ved=0ahUKEwjo7eSN_o_OAhVhHGMKHa3lDZMQ8wII3AIwCg" TargetMode="External"/><Relationship Id="rId65" Type="http://schemas.openxmlformats.org/officeDocument/2006/relationships/hyperlink" Target="https://www.google.com/aclk?sa=l&amp;ai=DChcSEwjJgOeN_o_OAhUKhH4KHR6hCWkYABAy&amp;sig=AOD64_0xrm2JDTUqri0y83g2IMfMDkpnlA&amp;ctype=5&amp;q=&amp;ved=0ahUKEwjo7eSN_o_OAhVhHGMKHa3lDZMQ2CkI_wIwDw&amp;adurl=" TargetMode="External"/><Relationship Id="rId73" Type="http://schemas.openxmlformats.org/officeDocument/2006/relationships/image" Target="media/image34.emf"/><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package" Target="embeddings/Microsoft_Word_Document4.docx"/><Relationship Id="rId39" Type="http://schemas.openxmlformats.org/officeDocument/2006/relationships/image" Target="media/image21.jpeg"/><Relationship Id="rId34" Type="http://schemas.openxmlformats.org/officeDocument/2006/relationships/image" Target="media/image16.png"/><Relationship Id="rId50" Type="http://schemas.openxmlformats.org/officeDocument/2006/relationships/hyperlink" Target="https://www.google.com/shopping/product/3152433530888449364?q=evokit+led+retrofit&amp;espv=2&amp;biw=1280&amp;bih=595&amp;bav=on.2,or.&amp;bvm=bv.128153897,d.cGc&amp;ion=1&amp;tch=1&amp;ech=1&amp;psi=w72WV4jRHuWqjQPJpbPADA.1469496766618.5&amp;prds=paur:ClkAsKraX-Q3vWwyaBVV6xj7P3bcEVi5JmUy2vKWW7rRH9wWvgXyNXnaL3q4VazTMJLFtfJv1GtqKAjOwjW1dzmj9YlrYekjuUZdIUlnSYpzIo1Mlid0b6LLshIZAFPVH70pAX08__htlyQzSq7Ps5JU-4Teug&amp;sa=X&amp;ved=0ahUKEwjo7eSN_o_OAhVhHGMKHa3lDZMQ8gIIowIwAg" TargetMode="External"/><Relationship Id="rId55" Type="http://schemas.openxmlformats.org/officeDocument/2006/relationships/hyperlink" Target="https://www.google.com/shopping/product/10878707592925660935?q=evokit+led+retrofit&amp;espv=2&amp;biw=1280&amp;bih=595&amp;bav=on.2,or.&amp;bvm=bv.128153897,d.cGc&amp;ion=1&amp;tch=1&amp;ech=1&amp;psi=w72WV4jRHuWqjQPJpbPADA.1469496766618.5&amp;prds=paur:ClkAsKraX0q2JQEmpgYRdtiTPgnzhyQmXFNhCO9KAQmjf2M0WgG36LTDjxYh3pKhx49SEqUGfDeJvRM5TNwc-vlvb2yCehFMTERBhmsNW2sTEcLm-Rij3T2WwBIZAFPVH73-jCJ6S0nI9fEEjiChpW1gIEtD4Q&amp;sa=X&amp;ved=0ahUKEwjo7eSN_o_OAhVhHGMKHa3lDZMQ8wIIuQIwBQ" TargetMode="External"/><Relationship Id="rId76"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7.emf"/><Relationship Id="rId40" Type="http://schemas.openxmlformats.org/officeDocument/2006/relationships/image" Target="media/image22.jpeg"/><Relationship Id="rId45" Type="http://schemas.openxmlformats.org/officeDocument/2006/relationships/image" Target="media/image27.emf"/><Relationship Id="rId66" Type="http://schemas.openxmlformats.org/officeDocument/2006/relationships/hyperlink" Target="https://www.google.com/aclk?sa=L&amp;ai=DChcSEwjJgOeN_o_OAhUKhH4KHR6hCWkYABA0&amp;sig=AOD64_0wzVup4-6LaT1XQFEbgzUd_TYYFA&amp;ctype=5&amp;q=&amp;ved=0ahUKEwjo7eSN_o_OAhVhHGMKHa3lDZMQ2CkIhwMwEA&amp;adurl="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energy.gov/sites/prod/files/2015/07/f24/led-adoption-report_2015.pdf" TargetMode="External"/><Relationship Id="rId2" Type="http://schemas.openxmlformats.org/officeDocument/2006/relationships/hyperlink" Target="http://www.lrc.rpi.edu/programs/nlpip/lightinganswers/led/dimmingLampLife.asp" TargetMode="External"/><Relationship Id="rId1" Type="http://schemas.openxmlformats.org/officeDocument/2006/relationships/hyperlink" Target="http://www.ncaee.org/modules/info/files/files_4adcd38174d01.pdf" TargetMode="External"/><Relationship Id="rId6" Type="http://schemas.openxmlformats.org/officeDocument/2006/relationships/hyperlink" Target="https://www.google.com/webhp?sourceid=chrome-instant&amp;ion=1&amp;espv=2&amp;ie=UTF-8#q=evokit+led+retrofit&amp;tbm=shop&amp;spd=0" TargetMode="External"/><Relationship Id="rId5" Type="http://schemas.openxmlformats.org/officeDocument/2006/relationships/hyperlink" Target="https://www.google.com/webhp?sourceid=chrome-instant&amp;ion=1&amp;espv=2&amp;ie=UTF-8#q=evokit+led+retrofit&amp;tbm=shop&amp;spd=0" TargetMode="External"/><Relationship Id="rId4" Type="http://schemas.openxmlformats.org/officeDocument/2006/relationships/hyperlink" Target="https://www.google.com/webhp?sourceid=chrome-instant&amp;ion=1&amp;espv=2&amp;ie=UTF-8#q=evokit+led+retrofit&amp;tbm=shop&amp;spd=0"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AF76D4BA89F40508BA1A114A8B4767F"/>
        <w:category>
          <w:name w:val="General"/>
          <w:gallery w:val="placeholder"/>
        </w:category>
        <w:types>
          <w:type w:val="bbPlcHdr"/>
        </w:types>
        <w:behaviors>
          <w:behavior w:val="content"/>
        </w:behaviors>
        <w:guid w:val="{D9212476-36C1-46C6-9BBF-7FC8C09E36C8}"/>
      </w:docPartPr>
      <w:docPartBody>
        <w:p w:rsidR="00F7350A" w:rsidRDefault="00F7350A">
          <w:r w:rsidRPr="0033327F">
            <w:rPr>
              <w:rStyle w:val="PlaceholderText"/>
            </w:rPr>
            <w:t>[Title]</w:t>
          </w:r>
        </w:p>
      </w:docPartBody>
    </w:docPart>
    <w:docPart>
      <w:docPartPr>
        <w:name w:val="96BEE5C1219847A898CB0CD2E0B5BB49"/>
        <w:category>
          <w:name w:val="General"/>
          <w:gallery w:val="placeholder"/>
        </w:category>
        <w:types>
          <w:type w:val="bbPlcHdr"/>
        </w:types>
        <w:behaviors>
          <w:behavior w:val="content"/>
        </w:behaviors>
        <w:guid w:val="{3C72B563-D91D-4B97-B5A9-042CAE314B12}"/>
      </w:docPartPr>
      <w:docPartBody>
        <w:p w:rsidR="00F7350A" w:rsidRDefault="00F7350A">
          <w:r w:rsidRPr="0033327F">
            <w:rPr>
              <w:rStyle w:val="PlaceholderText"/>
            </w:rPr>
            <w:t>[Status]</w:t>
          </w:r>
        </w:p>
      </w:docPartBody>
    </w:docPart>
    <w:docPart>
      <w:docPartPr>
        <w:name w:val="031487B9D5364842B3F71E059B0301DC"/>
        <w:category>
          <w:name w:val="General"/>
          <w:gallery w:val="placeholder"/>
        </w:category>
        <w:types>
          <w:type w:val="bbPlcHdr"/>
        </w:types>
        <w:behaviors>
          <w:behavior w:val="content"/>
        </w:behaviors>
        <w:guid w:val="{DD44B3E5-F6FB-44D4-830B-6091C72982EE}"/>
      </w:docPartPr>
      <w:docPartBody>
        <w:p w:rsidR="00F7350A" w:rsidRDefault="00F7350A">
          <w:r w:rsidRPr="0033327F">
            <w:rPr>
              <w:rStyle w:val="PlaceholderText"/>
            </w:rPr>
            <w:t>[Company]</w:t>
          </w:r>
        </w:p>
      </w:docPartBody>
    </w:docPart>
    <w:docPart>
      <w:docPartPr>
        <w:name w:val="F35B0C5DED46403682E831B0B6DC2920"/>
        <w:category>
          <w:name w:val="General"/>
          <w:gallery w:val="placeholder"/>
        </w:category>
        <w:types>
          <w:type w:val="bbPlcHdr"/>
        </w:types>
        <w:behaviors>
          <w:behavior w:val="content"/>
        </w:behaviors>
        <w:guid w:val="{3A94A3CC-A5DD-4501-A19C-1D08C776C6B5}"/>
      </w:docPartPr>
      <w:docPartBody>
        <w:p w:rsidR="00874653" w:rsidRDefault="006B7FA8" w:rsidP="006B7FA8">
          <w:pPr>
            <w:pStyle w:val="F35B0C5DED46403682E831B0B6DC2920"/>
          </w:pPr>
          <w:r w:rsidRPr="0033327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Antiqua">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50A"/>
    <w:rsid w:val="00146151"/>
    <w:rsid w:val="00204A7F"/>
    <w:rsid w:val="002B514B"/>
    <w:rsid w:val="002C0C03"/>
    <w:rsid w:val="00311B0D"/>
    <w:rsid w:val="003A131F"/>
    <w:rsid w:val="003B42F7"/>
    <w:rsid w:val="00560392"/>
    <w:rsid w:val="006B7FA8"/>
    <w:rsid w:val="00806CFE"/>
    <w:rsid w:val="008211B5"/>
    <w:rsid w:val="00874653"/>
    <w:rsid w:val="00A5022A"/>
    <w:rsid w:val="00AE4C28"/>
    <w:rsid w:val="00B002FA"/>
    <w:rsid w:val="00B719CE"/>
    <w:rsid w:val="00B73964"/>
    <w:rsid w:val="00B74704"/>
    <w:rsid w:val="00C947B8"/>
    <w:rsid w:val="00CA6CD6"/>
    <w:rsid w:val="00D0496D"/>
    <w:rsid w:val="00D051F5"/>
    <w:rsid w:val="00D222A3"/>
    <w:rsid w:val="00D577D8"/>
    <w:rsid w:val="00EC59D9"/>
    <w:rsid w:val="00F735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514B"/>
    <w:rPr>
      <w:color w:val="808080"/>
    </w:rPr>
  </w:style>
  <w:style w:type="paragraph" w:customStyle="1" w:styleId="F35B0C5DED46403682E831B0B6DC2920">
    <w:name w:val="F35B0C5DED46403682E831B0B6DC2920"/>
    <w:rsid w:val="006B7FA8"/>
    <w:pPr>
      <w:spacing w:after="160" w:line="259" w:lineRule="auto"/>
    </w:pPr>
  </w:style>
  <w:style w:type="paragraph" w:customStyle="1" w:styleId="F4F72F71CE83490A85DD03B36E552E1D">
    <w:name w:val="F4F72F71CE83490A85DD03B36E552E1D"/>
    <w:rsid w:val="00D051F5"/>
    <w:pPr>
      <w:spacing w:after="160" w:line="259" w:lineRule="auto"/>
    </w:pPr>
  </w:style>
  <w:style w:type="paragraph" w:customStyle="1" w:styleId="CA45D373B496491FAC135DEBCDD45FB2">
    <w:name w:val="CA45D373B496491FAC135DEBCDD45FB2"/>
    <w:rsid w:val="002B514B"/>
    <w:pPr>
      <w:spacing w:after="160" w:line="259" w:lineRule="auto"/>
    </w:pPr>
  </w:style>
  <w:style w:type="paragraph" w:customStyle="1" w:styleId="98241B5D33574DD88B37D7D7DB9C42F2">
    <w:name w:val="98241B5D33574DD88B37D7D7DB9C42F2"/>
    <w:rsid w:val="002B514B"/>
    <w:pPr>
      <w:spacing w:after="160" w:line="259"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514B"/>
    <w:rPr>
      <w:color w:val="808080"/>
    </w:rPr>
  </w:style>
  <w:style w:type="paragraph" w:customStyle="1" w:styleId="F35B0C5DED46403682E831B0B6DC2920">
    <w:name w:val="F35B0C5DED46403682E831B0B6DC2920"/>
    <w:rsid w:val="006B7FA8"/>
    <w:pPr>
      <w:spacing w:after="160" w:line="259" w:lineRule="auto"/>
    </w:pPr>
  </w:style>
  <w:style w:type="paragraph" w:customStyle="1" w:styleId="F4F72F71CE83490A85DD03B36E552E1D">
    <w:name w:val="F4F72F71CE83490A85DD03B36E552E1D"/>
    <w:rsid w:val="00D051F5"/>
    <w:pPr>
      <w:spacing w:after="160" w:line="259" w:lineRule="auto"/>
    </w:pPr>
  </w:style>
  <w:style w:type="paragraph" w:customStyle="1" w:styleId="CA45D373B496491FAC135DEBCDD45FB2">
    <w:name w:val="CA45D373B496491FAC135DEBCDD45FB2"/>
    <w:rsid w:val="002B514B"/>
    <w:pPr>
      <w:spacing w:after="160" w:line="259" w:lineRule="auto"/>
    </w:pPr>
  </w:style>
  <w:style w:type="paragraph" w:customStyle="1" w:styleId="98241B5D33574DD88B37D7D7DB9C42F2">
    <w:name w:val="98241B5D33574DD88B37D7D7DB9C42F2"/>
    <w:rsid w:val="002B514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2016-07-26T00:00:00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E19D79-286C-46A8-9B4B-9D24C5167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11828</Words>
  <Characters>67421</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SCE13LG123</vt:lpstr>
    </vt:vector>
  </TitlesOfParts>
  <Company>Southern California Edison</Company>
  <LinksUpToDate>false</LinksUpToDate>
  <CharactersWithSpaces>79091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SCE13LG123</dc:title>
  <dc:creator>Jim Wyatt (PG&amp;E);Jason Wang (SCE)</dc:creator>
  <cp:lastModifiedBy>Martin Vu</cp:lastModifiedBy>
  <cp:revision>2</cp:revision>
  <dcterms:created xsi:type="dcterms:W3CDTF">2016-07-26T14:56:00Z</dcterms:created>
  <dcterms:modified xsi:type="dcterms:W3CDTF">2016-07-26T14:56:00Z</dcterms:modified>
  <cp:contentStatus>Revision 0</cp:contentStatus>
</cp:coreProperties>
</file>