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A0867" w14:textId="59F266F0" w:rsidR="00DD6B5E" w:rsidRPr="00520480" w:rsidRDefault="003129E8" w:rsidP="00DD6B5E">
      <w:pPr>
        <w:jc w:val="right"/>
        <w:rPr>
          <w:rFonts w:cs="Arial"/>
          <w:b/>
          <w:sz w:val="48"/>
          <w:szCs w:val="48"/>
        </w:rPr>
      </w:pPr>
      <w:bookmarkStart w:id="0" w:name="_Toc153189646"/>
      <w:bookmarkStart w:id="1" w:name="_GoBack"/>
      <w:bookmarkEnd w:id="1"/>
      <w:r w:rsidRPr="00520480">
        <w:rPr>
          <w:rFonts w:cs="Arial"/>
          <w:b/>
          <w:sz w:val="48"/>
          <w:szCs w:val="48"/>
        </w:rPr>
        <w:t>Work Paper</w:t>
      </w:r>
      <w:bookmarkEnd w:id="0"/>
      <w:r w:rsidR="00560E6F" w:rsidRPr="00520480">
        <w:rPr>
          <w:rFonts w:cs="Arial"/>
          <w:b/>
          <w:color w:val="FF0000"/>
          <w:sz w:val="48"/>
          <w:szCs w:val="48"/>
        </w:rPr>
        <w:t xml:space="preserve"> </w:t>
      </w:r>
      <w:r w:rsidR="00FB641F" w:rsidRPr="00520480">
        <w:rPr>
          <w:rFonts w:cs="Arial"/>
          <w:b/>
          <w:sz w:val="48"/>
          <w:szCs w:val="48"/>
        </w:rPr>
        <w:t>CODE</w:t>
      </w:r>
    </w:p>
    <w:p w14:paraId="393A0868" w14:textId="1E7D81F2" w:rsidR="00A167EC" w:rsidRPr="00520480" w:rsidRDefault="002E6845" w:rsidP="00A167EC">
      <w:pPr>
        <w:jc w:val="right"/>
        <w:rPr>
          <w:rFonts w:cs="Arial"/>
          <w:b/>
          <w:color w:val="FF0000"/>
          <w:sz w:val="48"/>
          <w:szCs w:val="48"/>
        </w:rPr>
      </w:pPr>
      <w:r>
        <w:rPr>
          <w:rFonts w:cs="Arial"/>
          <w:b/>
          <w:sz w:val="48"/>
          <w:szCs w:val="48"/>
        </w:rPr>
        <w:t>Appliances and Plug Loads</w:t>
      </w:r>
    </w:p>
    <w:p w14:paraId="393A0869" w14:textId="58C20F4A" w:rsidR="003129E8" w:rsidRPr="00520480" w:rsidRDefault="003129E8" w:rsidP="002E0043">
      <w:pPr>
        <w:jc w:val="right"/>
        <w:rPr>
          <w:rFonts w:cs="Arial"/>
          <w:b/>
          <w:sz w:val="48"/>
          <w:szCs w:val="48"/>
        </w:rPr>
      </w:pPr>
      <w:bookmarkStart w:id="2" w:name="_Toc153189647"/>
      <w:r w:rsidRPr="00520480">
        <w:rPr>
          <w:rFonts w:cs="Arial"/>
          <w:b/>
          <w:sz w:val="48"/>
          <w:szCs w:val="48"/>
        </w:rPr>
        <w:t>Revision #</w:t>
      </w:r>
      <w:bookmarkEnd w:id="2"/>
      <w:r w:rsidR="00D7047A" w:rsidRPr="00520480">
        <w:rPr>
          <w:rFonts w:cs="Arial"/>
          <w:b/>
          <w:sz w:val="48"/>
          <w:szCs w:val="48"/>
        </w:rPr>
        <w:t xml:space="preserve"> </w:t>
      </w:r>
      <w:r w:rsidR="00CF0421">
        <w:rPr>
          <w:rFonts w:cs="Arial"/>
          <w:b/>
          <w:sz w:val="48"/>
          <w:szCs w:val="48"/>
        </w:rPr>
        <w:t>0</w:t>
      </w:r>
    </w:p>
    <w:p w14:paraId="393A086A" w14:textId="77777777" w:rsidR="003129E8" w:rsidRPr="00520480" w:rsidRDefault="003129E8" w:rsidP="003129E8"/>
    <w:p w14:paraId="2C5836DC" w14:textId="77777777" w:rsidR="005C4FE4" w:rsidRDefault="005C4FE4" w:rsidP="00D7047A">
      <w:pPr>
        <w:pBdr>
          <w:bottom w:val="single" w:sz="4" w:space="1" w:color="auto"/>
        </w:pBdr>
        <w:rPr>
          <w:rFonts w:cs="Arial"/>
          <w:b/>
          <w:sz w:val="36"/>
          <w:szCs w:val="36"/>
        </w:rPr>
      </w:pPr>
    </w:p>
    <w:p w14:paraId="4F3D6139" w14:textId="77777777" w:rsidR="005C4FE4" w:rsidRDefault="005C4FE4" w:rsidP="00D7047A">
      <w:pPr>
        <w:pBdr>
          <w:bottom w:val="single" w:sz="4" w:space="1" w:color="auto"/>
        </w:pBdr>
        <w:rPr>
          <w:rFonts w:cs="Arial"/>
          <w:b/>
          <w:sz w:val="36"/>
          <w:szCs w:val="36"/>
        </w:rPr>
      </w:pPr>
    </w:p>
    <w:p w14:paraId="393A086B" w14:textId="72B80131" w:rsidR="00D7047A" w:rsidRPr="00520480" w:rsidRDefault="00CF0421" w:rsidP="00D7047A">
      <w:pPr>
        <w:pBdr>
          <w:bottom w:val="single" w:sz="4" w:space="1" w:color="auto"/>
        </w:pBdr>
        <w:rPr>
          <w:rFonts w:cs="Arial"/>
          <w:b/>
          <w:sz w:val="36"/>
          <w:szCs w:val="36"/>
        </w:rPr>
      </w:pPr>
      <w:r>
        <w:rPr>
          <w:rFonts w:cs="Arial"/>
          <w:b/>
          <w:sz w:val="36"/>
          <w:szCs w:val="36"/>
        </w:rPr>
        <w:t xml:space="preserve">Natural Resources Defense Council </w:t>
      </w:r>
    </w:p>
    <w:p w14:paraId="393A086E" w14:textId="77777777" w:rsidR="00C274E0" w:rsidRPr="00520480" w:rsidRDefault="00C274E0" w:rsidP="00324D0F">
      <w:pPr>
        <w:rPr>
          <w:rFonts w:cs="Arial"/>
          <w:b/>
        </w:rPr>
      </w:pPr>
    </w:p>
    <w:p w14:paraId="393A086F" w14:textId="77777777" w:rsidR="00C274E0" w:rsidRDefault="00C274E0" w:rsidP="00324D0F">
      <w:pPr>
        <w:rPr>
          <w:rFonts w:cs="Arial"/>
          <w:b/>
        </w:rPr>
      </w:pPr>
    </w:p>
    <w:p w14:paraId="7F3096BB" w14:textId="77777777" w:rsidR="00434BAD" w:rsidRDefault="00434BAD" w:rsidP="00324D0F">
      <w:pPr>
        <w:rPr>
          <w:rFonts w:cs="Arial"/>
          <w:b/>
        </w:rPr>
      </w:pPr>
    </w:p>
    <w:p w14:paraId="06138111" w14:textId="77777777" w:rsidR="00434BAD" w:rsidRDefault="00434BAD" w:rsidP="00324D0F">
      <w:pPr>
        <w:rPr>
          <w:rFonts w:cs="Arial"/>
          <w:b/>
        </w:rPr>
      </w:pPr>
    </w:p>
    <w:p w14:paraId="354B29D7" w14:textId="77777777" w:rsidR="00434BAD" w:rsidRPr="00520480" w:rsidRDefault="00434BAD" w:rsidP="00324D0F">
      <w:pPr>
        <w:rPr>
          <w:rFonts w:cs="Arial"/>
          <w:b/>
        </w:rPr>
      </w:pPr>
    </w:p>
    <w:p w14:paraId="393A0873" w14:textId="1C137C0E" w:rsidR="00324D0F" w:rsidRPr="00520480" w:rsidRDefault="00324D0F" w:rsidP="00324D0F">
      <w:pPr>
        <w:rPr>
          <w:rFonts w:cs="Arial"/>
          <w:b/>
          <w:bCs/>
          <w:i/>
        </w:rPr>
      </w:pPr>
    </w:p>
    <w:p w14:paraId="393A0874" w14:textId="2C8E7781" w:rsidR="00324D0F" w:rsidRPr="00E76876" w:rsidRDefault="00CF0421" w:rsidP="00A167EC">
      <w:pPr>
        <w:ind w:right="-720"/>
        <w:rPr>
          <w:rFonts w:cs="Arial"/>
          <w:b/>
          <w:sz w:val="72"/>
          <w:szCs w:val="72"/>
        </w:rPr>
      </w:pPr>
      <w:r>
        <w:rPr>
          <w:rFonts w:cs="Arial"/>
          <w:b/>
          <w:sz w:val="72"/>
          <w:szCs w:val="72"/>
        </w:rPr>
        <w:t>Clothes Washer Recycling</w:t>
      </w:r>
    </w:p>
    <w:p w14:paraId="393A0878" w14:textId="77777777" w:rsidR="003D3F36" w:rsidRPr="00C274E0" w:rsidRDefault="003D3F36" w:rsidP="00844B27">
      <w:pPr>
        <w:rPr>
          <w:rFonts w:cs="Arial"/>
          <w:b/>
          <w:i/>
          <w:highlight w:val="cyan"/>
        </w:rPr>
      </w:pPr>
    </w:p>
    <w:p w14:paraId="393A0879" w14:textId="77777777" w:rsidR="00E84DBD" w:rsidRDefault="00E84DBD" w:rsidP="00844B27">
      <w:pPr>
        <w:rPr>
          <w:rFonts w:cs="Arial"/>
          <w:b/>
          <w:i/>
        </w:rPr>
      </w:pPr>
    </w:p>
    <w:p w14:paraId="393A087A" w14:textId="77777777" w:rsidR="00C274E0" w:rsidRDefault="00C274E0" w:rsidP="00844B27">
      <w:pPr>
        <w:rPr>
          <w:rFonts w:cs="Arial"/>
          <w:b/>
          <w:i/>
        </w:rPr>
      </w:pPr>
    </w:p>
    <w:p w14:paraId="393A087B" w14:textId="77777777" w:rsidR="00C274E0" w:rsidRDefault="00C274E0" w:rsidP="00844B27">
      <w:pPr>
        <w:rPr>
          <w:rFonts w:cs="Arial"/>
          <w:b/>
          <w:i/>
        </w:rPr>
      </w:pPr>
    </w:p>
    <w:p w14:paraId="393A087C" w14:textId="77777777" w:rsidR="00C274E0" w:rsidRDefault="00C274E0" w:rsidP="00844B27">
      <w:pPr>
        <w:rPr>
          <w:rFonts w:cs="Arial"/>
          <w:b/>
          <w:i/>
        </w:rPr>
      </w:pPr>
    </w:p>
    <w:p w14:paraId="393A087D" w14:textId="77777777" w:rsidR="00C274E0" w:rsidRDefault="00C274E0" w:rsidP="00844B27">
      <w:pPr>
        <w:rPr>
          <w:rFonts w:cs="Arial"/>
          <w:b/>
          <w:i/>
        </w:rPr>
      </w:pPr>
    </w:p>
    <w:p w14:paraId="393A087E" w14:textId="77777777" w:rsidR="00C274E0" w:rsidRDefault="00C274E0" w:rsidP="00844B27">
      <w:pPr>
        <w:rPr>
          <w:rFonts w:cs="Arial"/>
          <w:b/>
          <w:i/>
        </w:rPr>
      </w:pPr>
    </w:p>
    <w:p w14:paraId="393A087F" w14:textId="77777777" w:rsidR="00C274E0" w:rsidRDefault="00C274E0" w:rsidP="00844B27">
      <w:pPr>
        <w:rPr>
          <w:rFonts w:cs="Arial"/>
          <w:b/>
          <w:i/>
        </w:rPr>
      </w:pPr>
    </w:p>
    <w:p w14:paraId="393A0880" w14:textId="77777777" w:rsidR="00C274E0" w:rsidRDefault="00C274E0" w:rsidP="00844B27">
      <w:pPr>
        <w:rPr>
          <w:rFonts w:cs="Arial"/>
          <w:b/>
          <w:i/>
        </w:rPr>
      </w:pPr>
    </w:p>
    <w:p w14:paraId="393A0881" w14:textId="77777777" w:rsidR="00C274E0" w:rsidRDefault="00C274E0" w:rsidP="00844B27">
      <w:pPr>
        <w:rPr>
          <w:rFonts w:cs="Arial"/>
          <w:b/>
          <w:i/>
        </w:rPr>
      </w:pPr>
    </w:p>
    <w:p w14:paraId="393A0882" w14:textId="65E81755" w:rsidR="000D5482" w:rsidRDefault="000D5482">
      <w:pPr>
        <w:rPr>
          <w:rFonts w:cs="Arial"/>
          <w:b/>
          <w:i/>
        </w:rPr>
      </w:pPr>
      <w:r>
        <w:rPr>
          <w:rFonts w:cs="Arial"/>
          <w:b/>
          <w:i/>
        </w:rPr>
        <w:br w:type="page"/>
      </w:r>
    </w:p>
    <w:p w14:paraId="393A0886" w14:textId="77777777" w:rsidR="00534386" w:rsidRPr="00C274E0" w:rsidRDefault="00534386" w:rsidP="00844B27">
      <w:pPr>
        <w:rPr>
          <w:rFonts w:cs="Arial"/>
          <w:b/>
          <w:i/>
        </w:rPr>
        <w:sectPr w:rsidR="00534386" w:rsidRPr="00C274E0" w:rsidSect="00FB641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header="720" w:footer="720" w:gutter="0"/>
          <w:pgNumType w:fmt="lowerRoman" w:start="1"/>
          <w:cols w:space="720"/>
          <w:titlePg/>
          <w:docGrid w:linePitch="360"/>
        </w:sectPr>
      </w:pPr>
    </w:p>
    <w:p w14:paraId="393A0887" w14:textId="77777777" w:rsidR="00E71EF1" w:rsidRDefault="00E731C6" w:rsidP="006D318D">
      <w:pPr>
        <w:pStyle w:val="Heading1-NoSectionNo"/>
      </w:pPr>
      <w:bookmarkStart w:id="3" w:name="_Toc304800192"/>
      <w:bookmarkStart w:id="4" w:name="_Toc324318330"/>
      <w:bookmarkStart w:id="5" w:name="_Toc324340474"/>
      <w:bookmarkStart w:id="6" w:name="_Toc385592977"/>
      <w:r>
        <w:lastRenderedPageBreak/>
        <w:t>At-</w:t>
      </w:r>
      <w:r w:rsidR="00E71EF1">
        <w:t>a</w:t>
      </w:r>
      <w:r>
        <w:t>-</w:t>
      </w:r>
      <w:r w:rsidR="00E71EF1">
        <w:t>Glance Summary</w:t>
      </w:r>
      <w:bookmarkEnd w:id="3"/>
      <w:bookmarkEnd w:id="4"/>
      <w:bookmarkEnd w:id="5"/>
      <w:bookmarkEnd w:id="6"/>
    </w:p>
    <w:p w14:paraId="0F894076" w14:textId="77777777" w:rsidR="00520480" w:rsidRPr="00520480" w:rsidRDefault="00520480" w:rsidP="00520480"/>
    <w:tbl>
      <w:tblPr>
        <w:tblW w:w="6488" w:type="dxa"/>
        <w:tblInd w:w="10" w:type="dxa"/>
        <w:tblBorders>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2389"/>
        <w:gridCol w:w="4099"/>
      </w:tblGrid>
      <w:tr w:rsidR="007E55E6" w:rsidRPr="00A55DD1" w14:paraId="36272FA3" w14:textId="77777777" w:rsidTr="002418C3">
        <w:trPr>
          <w:trHeight w:val="465"/>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9E54FC" w14:textId="5BC2D5D2" w:rsidR="007E55E6" w:rsidRPr="00607339" w:rsidRDefault="007E55E6" w:rsidP="00C0265C">
            <w:pPr>
              <w:spacing w:before="100" w:after="100"/>
              <w:jc w:val="right"/>
              <w:rPr>
                <w:rStyle w:val="Strong"/>
                <w:b w:val="0"/>
                <w:sz w:val="20"/>
                <w:szCs w:val="20"/>
              </w:rPr>
            </w:pPr>
            <w:r w:rsidRPr="00607339">
              <w:rPr>
                <w:rStyle w:val="Strong"/>
                <w:b w:val="0"/>
                <w:sz w:val="20"/>
                <w:szCs w:val="20"/>
              </w:rPr>
              <w:t xml:space="preserve">Measure description </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2F06A3" w14:textId="3626BDF0" w:rsidR="007E55E6" w:rsidRPr="00C0265C" w:rsidRDefault="006F77BE" w:rsidP="00C0265C">
            <w:pPr>
              <w:spacing w:before="100" w:after="100"/>
              <w:rPr>
                <w:rFonts w:cs="Arial"/>
                <w:sz w:val="20"/>
                <w:szCs w:val="20"/>
              </w:rPr>
            </w:pPr>
            <w:r>
              <w:rPr>
                <w:rFonts w:cs="Arial"/>
                <w:sz w:val="20"/>
                <w:szCs w:val="20"/>
              </w:rPr>
              <w:t xml:space="preserve">Recycling of </w:t>
            </w:r>
            <w:r w:rsidR="007A37BA">
              <w:rPr>
                <w:rFonts w:cs="Arial"/>
                <w:sz w:val="20"/>
                <w:szCs w:val="20"/>
              </w:rPr>
              <w:t xml:space="preserve">working, </w:t>
            </w:r>
            <w:r>
              <w:rPr>
                <w:rFonts w:cs="Arial"/>
                <w:sz w:val="20"/>
                <w:szCs w:val="20"/>
              </w:rPr>
              <w:t>used inefficient clothes washers</w:t>
            </w:r>
          </w:p>
        </w:tc>
      </w:tr>
      <w:tr w:rsidR="007E55E6" w:rsidRPr="00A55DD1" w14:paraId="6711F1CE" w14:textId="77777777"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E106A8" w14:textId="21E059FD" w:rsidR="007E55E6" w:rsidRPr="00607339" w:rsidRDefault="007E55E6" w:rsidP="00B87109">
            <w:pPr>
              <w:spacing w:before="100" w:after="100"/>
              <w:jc w:val="right"/>
              <w:rPr>
                <w:rStyle w:val="Strong"/>
                <w:b w:val="0"/>
                <w:sz w:val="20"/>
                <w:szCs w:val="20"/>
              </w:rPr>
            </w:pPr>
            <w:r w:rsidRPr="00607339">
              <w:rPr>
                <w:rStyle w:val="Strong"/>
                <w:b w:val="0"/>
                <w:sz w:val="20"/>
                <w:szCs w:val="20"/>
              </w:rPr>
              <w:t>Program delivery method</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C932EC" w14:textId="769AF365" w:rsidR="007E55E6" w:rsidRPr="00C0265C" w:rsidRDefault="006F77BE" w:rsidP="0085508A">
            <w:pPr>
              <w:spacing w:before="100" w:after="100"/>
              <w:rPr>
                <w:rFonts w:cs="Arial"/>
                <w:sz w:val="20"/>
                <w:szCs w:val="20"/>
              </w:rPr>
            </w:pPr>
            <w:r>
              <w:rPr>
                <w:rFonts w:cs="Arial"/>
                <w:sz w:val="20"/>
                <w:szCs w:val="20"/>
              </w:rPr>
              <w:t>Downstream or midstream</w:t>
            </w:r>
          </w:p>
        </w:tc>
      </w:tr>
      <w:tr w:rsidR="007E55E6" w:rsidRPr="00A55DD1" w14:paraId="5A022821" w14:textId="77777777"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E9E7EB" w14:textId="36E90F0C" w:rsidR="007E55E6" w:rsidRPr="00607339" w:rsidRDefault="007E55E6" w:rsidP="00B87109">
            <w:pPr>
              <w:spacing w:before="100" w:after="100"/>
              <w:jc w:val="right"/>
              <w:rPr>
                <w:rStyle w:val="Strong"/>
                <w:b w:val="0"/>
                <w:sz w:val="20"/>
                <w:szCs w:val="20"/>
              </w:rPr>
            </w:pPr>
            <w:r w:rsidRPr="00607339">
              <w:rPr>
                <w:rStyle w:val="Strong"/>
                <w:b w:val="0"/>
                <w:sz w:val="20"/>
                <w:szCs w:val="20"/>
              </w:rPr>
              <w:t>Measure application type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72E042" w14:textId="7363A948" w:rsidR="007E55E6" w:rsidRPr="00C0265C" w:rsidRDefault="006F77BE" w:rsidP="0085508A">
            <w:pPr>
              <w:spacing w:before="100" w:after="100"/>
              <w:rPr>
                <w:rFonts w:cs="Arial"/>
                <w:sz w:val="20"/>
                <w:szCs w:val="20"/>
              </w:rPr>
            </w:pPr>
            <w:r>
              <w:rPr>
                <w:rFonts w:cs="Arial"/>
                <w:sz w:val="20"/>
                <w:szCs w:val="20"/>
              </w:rPr>
              <w:t>Early Retirement (ER)</w:t>
            </w:r>
          </w:p>
        </w:tc>
      </w:tr>
      <w:tr w:rsidR="007E55E6" w:rsidRPr="00A55DD1" w14:paraId="393A0895" w14:textId="5FF69D6C" w:rsidTr="002418C3">
        <w:trPr>
          <w:trHeight w:val="465"/>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3A0893" w14:textId="4B661516" w:rsidR="007E55E6" w:rsidRPr="00607339" w:rsidRDefault="007E55E6" w:rsidP="00C0265C">
            <w:pPr>
              <w:spacing w:before="100" w:after="100"/>
              <w:jc w:val="right"/>
              <w:rPr>
                <w:rStyle w:val="Strong"/>
                <w:b w:val="0"/>
                <w:sz w:val="20"/>
                <w:szCs w:val="20"/>
              </w:rPr>
            </w:pPr>
            <w:r w:rsidRPr="00607339">
              <w:rPr>
                <w:rStyle w:val="Strong"/>
                <w:b w:val="0"/>
                <w:sz w:val="20"/>
                <w:szCs w:val="20"/>
              </w:rPr>
              <w:t>Base case description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94" w14:textId="3FB9C2FE" w:rsidR="007E55E6" w:rsidRPr="00C0265C" w:rsidRDefault="006F77BE" w:rsidP="00C0265C">
            <w:pPr>
              <w:spacing w:before="100" w:after="100"/>
              <w:rPr>
                <w:rFonts w:cs="Arial"/>
                <w:sz w:val="20"/>
                <w:szCs w:val="20"/>
              </w:rPr>
            </w:pPr>
            <w:r>
              <w:rPr>
                <w:rFonts w:cs="Arial"/>
                <w:sz w:val="20"/>
                <w:szCs w:val="20"/>
              </w:rPr>
              <w:t>Top-loading clothes washer with center agitator remains in use</w:t>
            </w:r>
          </w:p>
        </w:tc>
      </w:tr>
      <w:tr w:rsidR="007E55E6" w:rsidRPr="00A55DD1" w14:paraId="7E41D1A8" w14:textId="77777777"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ABBFD1" w14:textId="548B9CAB" w:rsidR="007E55E6" w:rsidRPr="00607339" w:rsidRDefault="007E55E6" w:rsidP="0085508A">
            <w:pPr>
              <w:spacing w:before="100" w:after="100"/>
              <w:jc w:val="right"/>
              <w:rPr>
                <w:rStyle w:val="Strong"/>
                <w:b w:val="0"/>
                <w:sz w:val="20"/>
                <w:szCs w:val="20"/>
              </w:rPr>
            </w:pPr>
            <w:r w:rsidRPr="00607339">
              <w:rPr>
                <w:rStyle w:val="Strong"/>
                <w:b w:val="0"/>
                <w:sz w:val="20"/>
                <w:szCs w:val="20"/>
              </w:rPr>
              <w:t>Energy</w:t>
            </w:r>
            <w:r>
              <w:rPr>
                <w:rStyle w:val="Strong"/>
                <w:b w:val="0"/>
                <w:sz w:val="20"/>
                <w:szCs w:val="20"/>
              </w:rPr>
              <w:t xml:space="preserve"> and demand</w:t>
            </w:r>
            <w:r w:rsidRPr="00607339">
              <w:rPr>
                <w:rStyle w:val="Strong"/>
                <w:b w:val="0"/>
                <w:sz w:val="20"/>
                <w:szCs w:val="20"/>
              </w:rPr>
              <w:t xml:space="preserve"> impact common units </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EAB487" w14:textId="76681DD1" w:rsidR="007E55E6" w:rsidRPr="00C0265C" w:rsidRDefault="006F77BE" w:rsidP="0085508A">
            <w:pPr>
              <w:spacing w:before="100" w:after="100"/>
              <w:rPr>
                <w:rFonts w:cs="Arial"/>
                <w:b/>
                <w:sz w:val="20"/>
                <w:szCs w:val="20"/>
              </w:rPr>
            </w:pPr>
            <w:r>
              <w:rPr>
                <w:rFonts w:cs="Arial"/>
                <w:sz w:val="20"/>
                <w:szCs w:val="20"/>
              </w:rPr>
              <w:t>Each</w:t>
            </w:r>
          </w:p>
        </w:tc>
      </w:tr>
      <w:tr w:rsidR="007E55E6" w:rsidRPr="00A55DD1" w14:paraId="6772022F" w14:textId="77777777"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317734" w14:textId="77777777" w:rsidR="007E55E6" w:rsidRDefault="007E55E6" w:rsidP="00C0265C">
            <w:pPr>
              <w:spacing w:before="100" w:after="100"/>
              <w:jc w:val="right"/>
              <w:rPr>
                <w:rStyle w:val="Strong"/>
                <w:b w:val="0"/>
                <w:sz w:val="20"/>
                <w:szCs w:val="20"/>
              </w:rPr>
            </w:pPr>
            <w:r>
              <w:rPr>
                <w:rStyle w:val="Strong"/>
                <w:b w:val="0"/>
                <w:sz w:val="20"/>
                <w:szCs w:val="20"/>
              </w:rPr>
              <w:t>Peak Demand Reduction</w:t>
            </w:r>
          </w:p>
          <w:p w14:paraId="40F509DE" w14:textId="45B6DCBC" w:rsidR="007E55E6" w:rsidRPr="00607339" w:rsidRDefault="007E55E6" w:rsidP="00C0265C">
            <w:pPr>
              <w:spacing w:before="100" w:after="100"/>
              <w:jc w:val="right"/>
              <w:rPr>
                <w:rStyle w:val="Strong"/>
                <w:b w:val="0"/>
                <w:sz w:val="20"/>
                <w:szCs w:val="20"/>
              </w:rPr>
            </w:pPr>
            <w:r>
              <w:rPr>
                <w:rStyle w:val="Strong"/>
                <w:b w:val="0"/>
                <w:sz w:val="20"/>
                <w:szCs w:val="20"/>
              </w:rPr>
              <w:t>(kW/unit)</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DDE3C7" w14:textId="1BA36410" w:rsidR="00E00716" w:rsidRDefault="002418C3" w:rsidP="00E00716">
            <w:pPr>
              <w:spacing w:before="100" w:after="100"/>
              <w:rPr>
                <w:rFonts w:cs="Arial"/>
                <w:sz w:val="20"/>
                <w:szCs w:val="20"/>
              </w:rPr>
            </w:pPr>
            <w:r>
              <w:rPr>
                <w:rFonts w:cs="Arial"/>
                <w:sz w:val="20"/>
                <w:szCs w:val="20"/>
              </w:rPr>
              <w:t xml:space="preserve">PG&amp;E:  </w:t>
            </w:r>
            <w:r w:rsidR="00E00716">
              <w:rPr>
                <w:rFonts w:cs="Arial"/>
                <w:sz w:val="20"/>
                <w:szCs w:val="20"/>
              </w:rPr>
              <w:t xml:space="preserve">SFm/MFm In Unit: </w:t>
            </w:r>
            <w:r w:rsidR="000D27FF">
              <w:rPr>
                <w:rFonts w:cs="Arial"/>
                <w:sz w:val="20"/>
                <w:szCs w:val="20"/>
              </w:rPr>
              <w:t>0.0683 kW</w:t>
            </w:r>
          </w:p>
          <w:p w14:paraId="78D45779" w14:textId="77777777" w:rsidR="007E55E6" w:rsidRDefault="002418C3" w:rsidP="008A546B">
            <w:pPr>
              <w:spacing w:before="100" w:after="100"/>
              <w:rPr>
                <w:rFonts w:cs="Arial"/>
                <w:sz w:val="20"/>
                <w:szCs w:val="20"/>
              </w:rPr>
            </w:pPr>
            <w:r>
              <w:rPr>
                <w:rFonts w:cs="Arial"/>
                <w:sz w:val="20"/>
                <w:szCs w:val="20"/>
              </w:rPr>
              <w:t xml:space="preserve">             </w:t>
            </w:r>
            <w:r w:rsidR="00E00716">
              <w:rPr>
                <w:rFonts w:cs="Arial"/>
                <w:sz w:val="20"/>
                <w:szCs w:val="20"/>
              </w:rPr>
              <w:t xml:space="preserve">MFm Common Area: </w:t>
            </w:r>
            <w:r w:rsidR="008A546B">
              <w:rPr>
                <w:rFonts w:cs="Arial"/>
                <w:sz w:val="20"/>
                <w:szCs w:val="20"/>
              </w:rPr>
              <w:t>0.2652 kW</w:t>
            </w:r>
          </w:p>
          <w:p w14:paraId="010F6523" w14:textId="77777777" w:rsidR="002418C3" w:rsidRDefault="002418C3" w:rsidP="002418C3">
            <w:pPr>
              <w:spacing w:before="100" w:after="100"/>
              <w:rPr>
                <w:rFonts w:cs="Arial"/>
                <w:sz w:val="20"/>
                <w:szCs w:val="20"/>
              </w:rPr>
            </w:pPr>
            <w:r>
              <w:rPr>
                <w:rFonts w:cs="Arial"/>
                <w:sz w:val="20"/>
                <w:szCs w:val="20"/>
              </w:rPr>
              <w:t>SCE:    SFm/MFm In Unit: 0.0636 kW</w:t>
            </w:r>
          </w:p>
          <w:p w14:paraId="138857BA" w14:textId="430F595D" w:rsidR="002418C3" w:rsidRPr="00C0265C" w:rsidRDefault="002418C3" w:rsidP="002418C3">
            <w:pPr>
              <w:spacing w:before="100" w:after="100"/>
              <w:rPr>
                <w:rFonts w:cs="Arial"/>
                <w:sz w:val="20"/>
                <w:szCs w:val="20"/>
              </w:rPr>
            </w:pPr>
            <w:r>
              <w:rPr>
                <w:rFonts w:cs="Arial"/>
                <w:sz w:val="20"/>
                <w:szCs w:val="20"/>
              </w:rPr>
              <w:t xml:space="preserve">             MFm Common Area: 0.2471 kW </w:t>
            </w:r>
          </w:p>
        </w:tc>
      </w:tr>
      <w:tr w:rsidR="007E55E6" w:rsidRPr="00A55DD1" w14:paraId="393A08A0" w14:textId="769F3B4B"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1BBA12" w14:textId="77777777" w:rsidR="007E55E6" w:rsidRDefault="007E55E6" w:rsidP="00C0265C">
            <w:pPr>
              <w:spacing w:before="100" w:after="100"/>
              <w:jc w:val="right"/>
              <w:rPr>
                <w:rStyle w:val="Strong"/>
                <w:b w:val="0"/>
                <w:sz w:val="20"/>
                <w:szCs w:val="20"/>
              </w:rPr>
            </w:pPr>
            <w:r w:rsidRPr="00607339">
              <w:rPr>
                <w:rStyle w:val="Strong"/>
                <w:b w:val="0"/>
                <w:sz w:val="20"/>
                <w:szCs w:val="20"/>
              </w:rPr>
              <w:t>Energy savings</w:t>
            </w:r>
          </w:p>
          <w:p w14:paraId="4830BDD1" w14:textId="38BE2A25" w:rsidR="007E55E6" w:rsidRDefault="007E55E6" w:rsidP="00C0265C">
            <w:pPr>
              <w:spacing w:before="100" w:after="100"/>
              <w:jc w:val="right"/>
              <w:rPr>
                <w:rStyle w:val="Strong"/>
                <w:b w:val="0"/>
                <w:sz w:val="20"/>
                <w:szCs w:val="20"/>
              </w:rPr>
            </w:pPr>
            <w:r w:rsidRPr="00607339">
              <w:rPr>
                <w:rStyle w:val="Strong"/>
                <w:b w:val="0"/>
                <w:sz w:val="20"/>
                <w:szCs w:val="20"/>
              </w:rPr>
              <w:t>(Base case – Measure)</w:t>
            </w:r>
          </w:p>
          <w:p w14:paraId="393A089E" w14:textId="10EED36B" w:rsidR="007E55E6" w:rsidRPr="00607339" w:rsidRDefault="007E55E6" w:rsidP="00C0265C">
            <w:pPr>
              <w:spacing w:before="100" w:after="100"/>
              <w:jc w:val="right"/>
              <w:rPr>
                <w:rStyle w:val="Strong1"/>
                <w:b w:val="0"/>
                <w:sz w:val="20"/>
                <w:szCs w:val="20"/>
              </w:rPr>
            </w:pPr>
            <w:r>
              <w:rPr>
                <w:rStyle w:val="Strong"/>
                <w:b w:val="0"/>
                <w:sz w:val="20"/>
                <w:szCs w:val="20"/>
              </w:rPr>
              <w:t>(kWh/unit)</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A197FA" w14:textId="295045F0" w:rsidR="007E55E6" w:rsidRDefault="008E3F66" w:rsidP="00C0265C">
            <w:pPr>
              <w:spacing w:before="100" w:after="100"/>
              <w:rPr>
                <w:rFonts w:cs="Arial"/>
                <w:sz w:val="20"/>
                <w:szCs w:val="20"/>
              </w:rPr>
            </w:pPr>
            <w:r>
              <w:rPr>
                <w:rFonts w:cs="Arial"/>
                <w:sz w:val="20"/>
                <w:szCs w:val="20"/>
              </w:rPr>
              <w:t>SFm</w:t>
            </w:r>
            <w:r w:rsidR="00E00716">
              <w:rPr>
                <w:rFonts w:cs="Arial"/>
                <w:sz w:val="20"/>
                <w:szCs w:val="20"/>
              </w:rPr>
              <w:t>/MFm In Unit</w:t>
            </w:r>
            <w:r>
              <w:rPr>
                <w:rFonts w:cs="Arial"/>
                <w:sz w:val="20"/>
                <w:szCs w:val="20"/>
              </w:rPr>
              <w:t xml:space="preserve">: </w:t>
            </w:r>
            <w:r w:rsidR="008A546B">
              <w:rPr>
                <w:rFonts w:cs="Arial"/>
                <w:sz w:val="20"/>
                <w:szCs w:val="20"/>
              </w:rPr>
              <w:t>315.06 kWh</w:t>
            </w:r>
          </w:p>
          <w:p w14:paraId="393A089F" w14:textId="675428E5" w:rsidR="008E3F66" w:rsidRPr="00C0265C" w:rsidRDefault="008E3F66" w:rsidP="008A546B">
            <w:pPr>
              <w:spacing w:before="100" w:after="100"/>
              <w:rPr>
                <w:rFonts w:cs="Arial"/>
                <w:sz w:val="20"/>
                <w:szCs w:val="20"/>
              </w:rPr>
            </w:pPr>
            <w:r>
              <w:rPr>
                <w:rFonts w:cs="Arial"/>
                <w:sz w:val="20"/>
                <w:szCs w:val="20"/>
              </w:rPr>
              <w:t>MFm</w:t>
            </w:r>
            <w:r w:rsidR="00E00716">
              <w:rPr>
                <w:rFonts w:cs="Arial"/>
                <w:sz w:val="20"/>
                <w:szCs w:val="20"/>
              </w:rPr>
              <w:t xml:space="preserve"> Common Area</w:t>
            </w:r>
            <w:r>
              <w:rPr>
                <w:rFonts w:cs="Arial"/>
                <w:sz w:val="20"/>
                <w:szCs w:val="20"/>
              </w:rPr>
              <w:t xml:space="preserve">: </w:t>
            </w:r>
            <w:r w:rsidR="008A546B">
              <w:rPr>
                <w:rFonts w:cs="Arial"/>
                <w:sz w:val="20"/>
                <w:szCs w:val="20"/>
              </w:rPr>
              <w:t>1395.16</w:t>
            </w:r>
            <w:r w:rsidR="00B526B5">
              <w:rPr>
                <w:rFonts w:cs="Arial"/>
                <w:sz w:val="20"/>
                <w:szCs w:val="20"/>
              </w:rPr>
              <w:t xml:space="preserve"> </w:t>
            </w:r>
            <w:r>
              <w:rPr>
                <w:rFonts w:cs="Arial"/>
                <w:sz w:val="20"/>
                <w:szCs w:val="20"/>
              </w:rPr>
              <w:t>kWh</w:t>
            </w:r>
          </w:p>
        </w:tc>
      </w:tr>
      <w:tr w:rsidR="007E55E6" w:rsidRPr="00A55DD1" w14:paraId="17B8DEDA" w14:textId="77777777"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A54183" w14:textId="38501D46" w:rsidR="007E55E6" w:rsidRDefault="007E55E6" w:rsidP="0085508A">
            <w:pPr>
              <w:spacing w:before="100" w:after="100"/>
              <w:jc w:val="right"/>
              <w:rPr>
                <w:rStyle w:val="Strong"/>
                <w:b w:val="0"/>
                <w:sz w:val="20"/>
                <w:szCs w:val="20"/>
              </w:rPr>
            </w:pPr>
            <w:r>
              <w:rPr>
                <w:rStyle w:val="Strong"/>
                <w:b w:val="0"/>
                <w:sz w:val="20"/>
                <w:szCs w:val="20"/>
              </w:rPr>
              <w:t>Gas</w:t>
            </w:r>
            <w:r w:rsidRPr="00607339">
              <w:rPr>
                <w:rStyle w:val="Strong"/>
                <w:b w:val="0"/>
                <w:sz w:val="20"/>
                <w:szCs w:val="20"/>
              </w:rPr>
              <w:t xml:space="preserve"> savings</w:t>
            </w:r>
          </w:p>
          <w:p w14:paraId="50CEF92F" w14:textId="77777777" w:rsidR="007E55E6" w:rsidRDefault="007E55E6" w:rsidP="0085508A">
            <w:pPr>
              <w:spacing w:before="100" w:after="100"/>
              <w:jc w:val="right"/>
              <w:rPr>
                <w:rStyle w:val="Strong"/>
                <w:b w:val="0"/>
                <w:sz w:val="20"/>
                <w:szCs w:val="20"/>
              </w:rPr>
            </w:pPr>
            <w:r w:rsidRPr="00607339">
              <w:rPr>
                <w:rStyle w:val="Strong"/>
                <w:b w:val="0"/>
                <w:sz w:val="20"/>
                <w:szCs w:val="20"/>
              </w:rPr>
              <w:t>(Base case – Measure)</w:t>
            </w:r>
          </w:p>
          <w:p w14:paraId="0EE499E9" w14:textId="5D3A3EB9" w:rsidR="007E55E6" w:rsidRPr="00607339" w:rsidRDefault="007E55E6" w:rsidP="0085508A">
            <w:pPr>
              <w:spacing w:before="100" w:after="100"/>
              <w:jc w:val="right"/>
              <w:rPr>
                <w:rStyle w:val="Strong"/>
                <w:b w:val="0"/>
                <w:sz w:val="20"/>
                <w:szCs w:val="20"/>
              </w:rPr>
            </w:pPr>
            <w:r>
              <w:rPr>
                <w:rStyle w:val="Strong"/>
                <w:b w:val="0"/>
                <w:sz w:val="20"/>
                <w:szCs w:val="20"/>
              </w:rPr>
              <w:t>(therms/unit)</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EBB331" w14:textId="1B0AB395" w:rsidR="007E55E6" w:rsidRDefault="008E3F66" w:rsidP="008E3F66">
            <w:pPr>
              <w:spacing w:before="100" w:after="100"/>
              <w:rPr>
                <w:rFonts w:cs="Arial"/>
                <w:sz w:val="20"/>
                <w:szCs w:val="20"/>
              </w:rPr>
            </w:pPr>
            <w:r>
              <w:rPr>
                <w:rFonts w:cs="Arial"/>
                <w:sz w:val="20"/>
                <w:szCs w:val="20"/>
              </w:rPr>
              <w:t>SFm</w:t>
            </w:r>
            <w:r w:rsidR="00E00716">
              <w:rPr>
                <w:rFonts w:cs="Arial"/>
                <w:sz w:val="20"/>
                <w:szCs w:val="20"/>
              </w:rPr>
              <w:t>/MFm In Unit</w:t>
            </w:r>
            <w:r>
              <w:rPr>
                <w:rFonts w:cs="Arial"/>
                <w:sz w:val="20"/>
                <w:szCs w:val="20"/>
              </w:rPr>
              <w:t xml:space="preserve">: </w:t>
            </w:r>
            <w:r w:rsidR="008A546B">
              <w:rPr>
                <w:rFonts w:cs="Arial"/>
                <w:sz w:val="20"/>
                <w:szCs w:val="20"/>
              </w:rPr>
              <w:t>13.62</w:t>
            </w:r>
            <w:r w:rsidR="00B526B5">
              <w:rPr>
                <w:rFonts w:cs="Arial"/>
                <w:sz w:val="20"/>
                <w:szCs w:val="20"/>
              </w:rPr>
              <w:t xml:space="preserve"> </w:t>
            </w:r>
            <w:r>
              <w:rPr>
                <w:rFonts w:cs="Arial"/>
                <w:sz w:val="20"/>
                <w:szCs w:val="20"/>
              </w:rPr>
              <w:t>therms</w:t>
            </w:r>
          </w:p>
          <w:p w14:paraId="72F14AB8" w14:textId="5B2FA28E" w:rsidR="008E3F66" w:rsidRPr="00C0265C" w:rsidRDefault="008E3F66" w:rsidP="008A546B">
            <w:pPr>
              <w:spacing w:before="100" w:after="100"/>
              <w:rPr>
                <w:rFonts w:cs="Arial"/>
                <w:sz w:val="20"/>
                <w:szCs w:val="20"/>
              </w:rPr>
            </w:pPr>
            <w:r>
              <w:rPr>
                <w:rFonts w:cs="Arial"/>
                <w:sz w:val="20"/>
                <w:szCs w:val="20"/>
              </w:rPr>
              <w:t>MFm</w:t>
            </w:r>
            <w:r w:rsidR="00E00716">
              <w:rPr>
                <w:rFonts w:cs="Arial"/>
                <w:sz w:val="20"/>
                <w:szCs w:val="20"/>
              </w:rPr>
              <w:t xml:space="preserve"> Common Area</w:t>
            </w:r>
            <w:r>
              <w:rPr>
                <w:rFonts w:cs="Arial"/>
                <w:sz w:val="20"/>
                <w:szCs w:val="20"/>
              </w:rPr>
              <w:t xml:space="preserve">: </w:t>
            </w:r>
            <w:r w:rsidR="008A546B">
              <w:rPr>
                <w:rFonts w:cs="Arial"/>
                <w:sz w:val="20"/>
                <w:szCs w:val="20"/>
              </w:rPr>
              <w:t>81.18</w:t>
            </w:r>
            <w:r w:rsidR="00B526B5">
              <w:rPr>
                <w:rFonts w:cs="Arial"/>
                <w:sz w:val="20"/>
                <w:szCs w:val="20"/>
              </w:rPr>
              <w:t xml:space="preserve"> </w:t>
            </w:r>
            <w:r>
              <w:rPr>
                <w:rFonts w:cs="Arial"/>
                <w:sz w:val="20"/>
                <w:szCs w:val="20"/>
              </w:rPr>
              <w:t>therms</w:t>
            </w:r>
          </w:p>
        </w:tc>
      </w:tr>
      <w:tr w:rsidR="007E55E6" w:rsidRPr="00A55DD1" w14:paraId="2D38AEC4" w14:textId="77777777"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8A87E7" w14:textId="20463186" w:rsidR="007E55E6" w:rsidRDefault="007E55E6" w:rsidP="00C0265C">
            <w:pPr>
              <w:spacing w:before="100" w:after="100"/>
              <w:jc w:val="right"/>
              <w:rPr>
                <w:rStyle w:val="Strong"/>
                <w:b w:val="0"/>
                <w:sz w:val="20"/>
                <w:szCs w:val="20"/>
              </w:rPr>
            </w:pPr>
            <w:r>
              <w:rPr>
                <w:rStyle w:val="Strong"/>
                <w:b w:val="0"/>
                <w:sz w:val="20"/>
                <w:szCs w:val="20"/>
              </w:rPr>
              <w:t>Full measure cost</w:t>
            </w:r>
            <w:r>
              <w:rPr>
                <w:rStyle w:val="FootnoteReference"/>
                <w:bCs/>
                <w:sz w:val="20"/>
                <w:szCs w:val="20"/>
              </w:rPr>
              <w:footnoteReference w:id="1"/>
            </w:r>
          </w:p>
          <w:p w14:paraId="30B323D9" w14:textId="6A8CA7D8" w:rsidR="007E55E6" w:rsidRDefault="007E55E6" w:rsidP="00C0265C">
            <w:pPr>
              <w:spacing w:before="100" w:after="100"/>
              <w:jc w:val="right"/>
              <w:rPr>
                <w:rStyle w:val="Strong"/>
                <w:b w:val="0"/>
                <w:sz w:val="20"/>
                <w:szCs w:val="20"/>
              </w:rPr>
            </w:pPr>
            <w:r w:rsidRPr="00607339">
              <w:rPr>
                <w:rStyle w:val="Strong"/>
                <w:b w:val="0"/>
                <w:sz w:val="20"/>
                <w:szCs w:val="20"/>
              </w:rPr>
              <w:t>($/unit)</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72F79F" w14:textId="1F0D9C65" w:rsidR="007E55E6" w:rsidRPr="00C0265C" w:rsidRDefault="00B207D1" w:rsidP="0085508A">
            <w:pPr>
              <w:spacing w:before="100" w:after="100"/>
              <w:rPr>
                <w:rFonts w:cs="Arial"/>
                <w:sz w:val="20"/>
                <w:szCs w:val="20"/>
              </w:rPr>
            </w:pPr>
            <w:r>
              <w:rPr>
                <w:rFonts w:cs="Arial"/>
                <w:sz w:val="20"/>
                <w:szCs w:val="20"/>
              </w:rPr>
              <w:t>$0</w:t>
            </w:r>
          </w:p>
        </w:tc>
      </w:tr>
      <w:tr w:rsidR="007E55E6" w:rsidRPr="00A55DD1" w14:paraId="393A08B2" w14:textId="09D16056"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FAAF47" w14:textId="04773242" w:rsidR="007E55E6" w:rsidRPr="00607339" w:rsidRDefault="007E55E6" w:rsidP="00C0265C">
            <w:pPr>
              <w:spacing w:before="100" w:after="100"/>
              <w:jc w:val="right"/>
              <w:rPr>
                <w:rStyle w:val="Strong"/>
                <w:b w:val="0"/>
                <w:sz w:val="20"/>
                <w:szCs w:val="20"/>
              </w:rPr>
            </w:pPr>
            <w:r>
              <w:rPr>
                <w:rStyle w:val="Strong"/>
                <w:b w:val="0"/>
                <w:sz w:val="20"/>
                <w:szCs w:val="20"/>
              </w:rPr>
              <w:lastRenderedPageBreak/>
              <w:t>Incremental measure</w:t>
            </w:r>
            <w:r w:rsidRPr="00607339">
              <w:rPr>
                <w:rStyle w:val="Strong"/>
                <w:b w:val="0"/>
                <w:sz w:val="20"/>
                <w:szCs w:val="20"/>
              </w:rPr>
              <w:t xml:space="preserve"> cost</w:t>
            </w:r>
            <w:r w:rsidRPr="00607339">
              <w:rPr>
                <w:rStyle w:val="FootnoteReference"/>
                <w:b/>
                <w:bCs/>
                <w:sz w:val="20"/>
                <w:szCs w:val="20"/>
              </w:rPr>
              <w:footnoteReference w:id="2"/>
            </w:r>
            <w:r w:rsidRPr="00607339">
              <w:rPr>
                <w:rStyle w:val="Strong"/>
                <w:b w:val="0"/>
                <w:sz w:val="20"/>
                <w:szCs w:val="20"/>
              </w:rPr>
              <w:t xml:space="preserve"> </w:t>
            </w:r>
          </w:p>
          <w:p w14:paraId="393A08AE" w14:textId="58230AC9" w:rsidR="007E55E6" w:rsidRPr="00607339" w:rsidRDefault="007E55E6" w:rsidP="00C0265C">
            <w:pPr>
              <w:spacing w:before="100" w:after="100"/>
              <w:jc w:val="right"/>
              <w:rPr>
                <w:rStyle w:val="Strong"/>
                <w:b w:val="0"/>
                <w:sz w:val="20"/>
                <w:szCs w:val="20"/>
              </w:rPr>
            </w:pPr>
            <w:r w:rsidRPr="00607339">
              <w:rPr>
                <w:rStyle w:val="Strong"/>
                <w:b w:val="0"/>
                <w:sz w:val="20"/>
                <w:szCs w:val="20"/>
              </w:rPr>
              <w:t>($/unit)</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B1" w14:textId="687635CA" w:rsidR="007E55E6" w:rsidRPr="00C0265C" w:rsidRDefault="00B207D1" w:rsidP="00C0265C">
            <w:pPr>
              <w:spacing w:before="100" w:after="100"/>
              <w:rPr>
                <w:rFonts w:cs="Arial"/>
                <w:sz w:val="20"/>
                <w:szCs w:val="20"/>
              </w:rPr>
            </w:pPr>
            <w:r>
              <w:rPr>
                <w:rFonts w:cs="Arial"/>
                <w:sz w:val="20"/>
                <w:szCs w:val="20"/>
              </w:rPr>
              <w:t>$0</w:t>
            </w:r>
          </w:p>
        </w:tc>
      </w:tr>
      <w:tr w:rsidR="007E55E6" w:rsidRPr="00A55DD1" w14:paraId="393A08B5" w14:textId="27E865ED"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931536" w14:textId="1A168AA9" w:rsidR="007E55E6" w:rsidRPr="00607339" w:rsidRDefault="007E55E6" w:rsidP="00C0265C">
            <w:pPr>
              <w:spacing w:before="100" w:after="100"/>
              <w:jc w:val="right"/>
              <w:rPr>
                <w:rStyle w:val="Strong"/>
                <w:b w:val="0"/>
                <w:sz w:val="20"/>
                <w:szCs w:val="20"/>
              </w:rPr>
            </w:pPr>
            <w:r w:rsidRPr="00607339">
              <w:rPr>
                <w:rStyle w:val="Strong"/>
                <w:b w:val="0"/>
                <w:sz w:val="20"/>
                <w:szCs w:val="20"/>
              </w:rPr>
              <w:t xml:space="preserve">Effective useful life </w:t>
            </w:r>
          </w:p>
          <w:p w14:paraId="393A08B3" w14:textId="33371056" w:rsidR="007E55E6" w:rsidRPr="00607339" w:rsidRDefault="007E55E6" w:rsidP="00C0265C">
            <w:pPr>
              <w:spacing w:before="100" w:after="100"/>
              <w:jc w:val="right"/>
              <w:rPr>
                <w:rStyle w:val="Strong"/>
                <w:b w:val="0"/>
                <w:sz w:val="20"/>
                <w:szCs w:val="20"/>
              </w:rPr>
            </w:pPr>
            <w:r w:rsidRPr="00607339">
              <w:rPr>
                <w:rStyle w:val="Strong"/>
                <w:b w:val="0"/>
                <w:sz w:val="20"/>
                <w:szCs w:val="20"/>
              </w:rPr>
              <w:t>(years)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BA4DD" w14:textId="07516BA5" w:rsidR="007E55E6" w:rsidRPr="00C0265C" w:rsidRDefault="008E3F66" w:rsidP="00C0265C">
            <w:pPr>
              <w:spacing w:before="100" w:after="100"/>
              <w:rPr>
                <w:rFonts w:cs="Arial"/>
                <w:sz w:val="20"/>
                <w:szCs w:val="20"/>
              </w:rPr>
            </w:pPr>
            <w:r>
              <w:rPr>
                <w:rFonts w:cs="Arial"/>
                <w:sz w:val="20"/>
                <w:szCs w:val="20"/>
              </w:rPr>
              <w:t xml:space="preserve">3.67 years </w:t>
            </w:r>
          </w:p>
          <w:p w14:paraId="393A08B4" w14:textId="195C2024" w:rsidR="007E55E6" w:rsidRPr="00C0265C" w:rsidRDefault="007E55E6" w:rsidP="00C0265C">
            <w:pPr>
              <w:spacing w:before="100" w:after="100"/>
              <w:rPr>
                <w:rFonts w:cs="Arial"/>
                <w:sz w:val="20"/>
                <w:szCs w:val="20"/>
              </w:rPr>
            </w:pPr>
          </w:p>
        </w:tc>
      </w:tr>
      <w:tr w:rsidR="007E55E6" w:rsidRPr="00A55DD1" w14:paraId="393A08BB" w14:textId="55B6739D"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3A08B9" w14:textId="2422B579" w:rsidR="007E55E6" w:rsidRPr="00607339" w:rsidRDefault="007E55E6" w:rsidP="00C0265C">
            <w:pPr>
              <w:spacing w:before="100" w:after="100"/>
              <w:jc w:val="right"/>
              <w:rPr>
                <w:rStyle w:val="Strong"/>
                <w:b w:val="0"/>
                <w:sz w:val="20"/>
                <w:szCs w:val="20"/>
              </w:rPr>
            </w:pPr>
            <w:r w:rsidRPr="00607339">
              <w:rPr>
                <w:rStyle w:val="Strong"/>
                <w:b w:val="0"/>
                <w:sz w:val="20"/>
                <w:szCs w:val="20"/>
              </w:rPr>
              <w:t xml:space="preserve">Net-to-gross ratio(s) </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3A08BA" w14:textId="6DD8591E" w:rsidR="007E55E6" w:rsidRPr="00C0265C" w:rsidRDefault="008E3F66" w:rsidP="004922CD">
            <w:pPr>
              <w:spacing w:before="100" w:after="100"/>
              <w:rPr>
                <w:rFonts w:cs="Arial"/>
                <w:sz w:val="20"/>
                <w:szCs w:val="20"/>
              </w:rPr>
            </w:pPr>
            <w:r>
              <w:rPr>
                <w:rFonts w:cs="Arial"/>
                <w:sz w:val="20"/>
                <w:szCs w:val="20"/>
              </w:rPr>
              <w:t>0.</w:t>
            </w:r>
            <w:r w:rsidR="004922CD">
              <w:rPr>
                <w:rFonts w:cs="Arial"/>
                <w:sz w:val="20"/>
                <w:szCs w:val="20"/>
              </w:rPr>
              <w:t>70</w:t>
            </w:r>
            <w:r>
              <w:rPr>
                <w:rFonts w:cs="Arial"/>
                <w:sz w:val="20"/>
                <w:szCs w:val="20"/>
              </w:rPr>
              <w:t xml:space="preserve"> </w:t>
            </w:r>
          </w:p>
        </w:tc>
      </w:tr>
      <w:tr w:rsidR="007E55E6" w:rsidRPr="00A55DD1" w14:paraId="6F1EA2C0" w14:textId="77777777" w:rsidTr="002418C3">
        <w:trPr>
          <w:cantSplit/>
          <w:trHeight w:val="1134"/>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6CD3E7" w14:textId="2360B6D1" w:rsidR="007E55E6" w:rsidRPr="00607339" w:rsidRDefault="007E55E6" w:rsidP="00616F90">
            <w:pPr>
              <w:spacing w:before="100" w:after="100"/>
              <w:jc w:val="right"/>
              <w:rPr>
                <w:rStyle w:val="Strong"/>
                <w:b w:val="0"/>
                <w:sz w:val="20"/>
                <w:szCs w:val="20"/>
              </w:rPr>
            </w:pPr>
            <w:r w:rsidRPr="00607339">
              <w:rPr>
                <w:rStyle w:val="Strong"/>
                <w:b w:val="0"/>
                <w:sz w:val="20"/>
                <w:szCs w:val="20"/>
              </w:rPr>
              <w:t>Important comments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0A1578" w14:textId="1A127D50" w:rsidR="007E55E6" w:rsidRPr="00C0265C" w:rsidRDefault="007E55E6" w:rsidP="003F526B">
            <w:pPr>
              <w:spacing w:before="100" w:after="100"/>
              <w:rPr>
                <w:rFonts w:cs="Arial"/>
                <w:sz w:val="20"/>
                <w:szCs w:val="20"/>
              </w:rPr>
            </w:pPr>
          </w:p>
        </w:tc>
      </w:tr>
    </w:tbl>
    <w:p w14:paraId="393A08C1" w14:textId="77777777" w:rsidR="007F2147" w:rsidRPr="005F19E0" w:rsidRDefault="007F2147" w:rsidP="0006490F">
      <w:pPr>
        <w:rPr>
          <w:rFonts w:cs="Arial"/>
          <w:b/>
          <w:color w:val="FF0000"/>
          <w:sz w:val="20"/>
          <w:szCs w:val="20"/>
        </w:rPr>
        <w:sectPr w:rsidR="007F2147" w:rsidRPr="005F19E0" w:rsidSect="00EB39D0">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440" w:left="1440" w:header="720" w:footer="720" w:gutter="0"/>
          <w:pgNumType w:fmt="lowerRoman" w:start="1"/>
          <w:cols w:space="720"/>
          <w:docGrid w:linePitch="360"/>
        </w:sectPr>
      </w:pPr>
    </w:p>
    <w:p w14:paraId="393A0A59" w14:textId="1F7AA963" w:rsidR="00E71EF1" w:rsidRDefault="00E71EF1" w:rsidP="006D318D">
      <w:pPr>
        <w:pStyle w:val="Heading1-NoSectionNo"/>
      </w:pPr>
      <w:bookmarkStart w:id="7" w:name="_Toc304800196"/>
      <w:bookmarkStart w:id="8" w:name="_Toc324318333"/>
      <w:bookmarkStart w:id="9" w:name="_Toc324340477"/>
      <w:bookmarkStart w:id="10" w:name="_Toc385592978"/>
      <w:r>
        <w:lastRenderedPageBreak/>
        <w:t>Document Revision History</w:t>
      </w:r>
      <w:bookmarkEnd w:id="7"/>
      <w:bookmarkEnd w:id="8"/>
      <w:bookmarkEnd w:id="9"/>
      <w:bookmarkEnd w:id="10"/>
    </w:p>
    <w:p w14:paraId="393A0A5A" w14:textId="77777777" w:rsidR="00E91C15" w:rsidRDefault="007F1E48" w:rsidP="001A573F">
      <w:r>
        <w:t xml:space="preserve">     </w:t>
      </w:r>
      <w:r w:rsidR="00E91C15">
        <w:tab/>
      </w:r>
      <w:r w:rsidR="00E91C15">
        <w:tab/>
      </w:r>
      <w:r w:rsidR="00E91C15">
        <w:tab/>
      </w:r>
      <w:r w:rsidR="00E91C15">
        <w:tab/>
        <w:t xml:space="preserve">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441"/>
        <w:gridCol w:w="3092"/>
        <w:gridCol w:w="3090"/>
      </w:tblGrid>
      <w:tr w:rsidR="000374A5" w:rsidRPr="00FF2F9E" w14:paraId="393A0A5F" w14:textId="77777777" w:rsidTr="00271E01">
        <w:trPr>
          <w:trHeight w:val="464"/>
          <w:jc w:val="center"/>
        </w:trPr>
        <w:tc>
          <w:tcPr>
            <w:tcW w:w="858" w:type="pct"/>
            <w:shd w:val="clear" w:color="auto" w:fill="D9D9D9" w:themeFill="background1" w:themeFillShade="D9"/>
            <w:vAlign w:val="center"/>
          </w:tcPr>
          <w:p w14:paraId="393A0A5B" w14:textId="77777777" w:rsidR="000374A5" w:rsidRPr="00FF2F9E" w:rsidRDefault="000374A5" w:rsidP="00607339">
            <w:pPr>
              <w:spacing w:before="60" w:after="60"/>
              <w:jc w:val="center"/>
              <w:rPr>
                <w:bCs/>
                <w:sz w:val="20"/>
                <w:szCs w:val="20"/>
              </w:rPr>
            </w:pPr>
            <w:r w:rsidRPr="00FF2F9E">
              <w:rPr>
                <w:sz w:val="20"/>
                <w:szCs w:val="20"/>
              </w:rPr>
              <w:t>Revision #</w:t>
            </w:r>
            <w:r w:rsidRPr="00FF2F9E">
              <w:rPr>
                <w:sz w:val="20"/>
                <w:szCs w:val="20"/>
              </w:rPr>
              <w:tab/>
            </w:r>
          </w:p>
        </w:tc>
        <w:tc>
          <w:tcPr>
            <w:tcW w:w="783" w:type="pct"/>
            <w:shd w:val="clear" w:color="auto" w:fill="D9D9D9" w:themeFill="background1" w:themeFillShade="D9"/>
            <w:vAlign w:val="center"/>
          </w:tcPr>
          <w:p w14:paraId="393A0A5C" w14:textId="77777777" w:rsidR="000374A5" w:rsidRPr="00FF2F9E" w:rsidRDefault="005B00A6" w:rsidP="00607339">
            <w:pPr>
              <w:spacing w:before="60" w:after="60"/>
              <w:jc w:val="center"/>
              <w:rPr>
                <w:bCs/>
                <w:sz w:val="20"/>
                <w:szCs w:val="20"/>
              </w:rPr>
            </w:pPr>
            <w:r w:rsidRPr="00FF2F9E">
              <w:rPr>
                <w:sz w:val="20"/>
                <w:szCs w:val="20"/>
              </w:rPr>
              <w:t>Revision Date</w:t>
            </w:r>
            <w:r w:rsidR="000374A5" w:rsidRPr="00FF2F9E">
              <w:rPr>
                <w:sz w:val="20"/>
                <w:szCs w:val="20"/>
              </w:rPr>
              <w:tab/>
            </w:r>
          </w:p>
        </w:tc>
        <w:tc>
          <w:tcPr>
            <w:tcW w:w="1680" w:type="pct"/>
            <w:shd w:val="clear" w:color="auto" w:fill="D9D9D9" w:themeFill="background1" w:themeFillShade="D9"/>
            <w:vAlign w:val="center"/>
          </w:tcPr>
          <w:p w14:paraId="393A0A5D" w14:textId="77777777" w:rsidR="000374A5" w:rsidRPr="00FF2F9E" w:rsidRDefault="000374A5" w:rsidP="00607339">
            <w:pPr>
              <w:spacing w:before="60" w:after="60"/>
              <w:jc w:val="center"/>
              <w:rPr>
                <w:bCs/>
                <w:sz w:val="20"/>
                <w:szCs w:val="20"/>
              </w:rPr>
            </w:pPr>
            <w:r w:rsidRPr="00FF2F9E">
              <w:rPr>
                <w:sz w:val="20"/>
                <w:szCs w:val="20"/>
              </w:rPr>
              <w:t>Section</w:t>
            </w:r>
            <w:r w:rsidR="00113464" w:rsidRPr="00FF2F9E">
              <w:rPr>
                <w:sz w:val="20"/>
                <w:szCs w:val="20"/>
              </w:rPr>
              <w:t>-</w:t>
            </w:r>
            <w:r w:rsidRPr="00FF2F9E">
              <w:rPr>
                <w:sz w:val="20"/>
                <w:szCs w:val="20"/>
              </w:rPr>
              <w:t>by</w:t>
            </w:r>
            <w:r w:rsidR="00113464" w:rsidRPr="00FF2F9E">
              <w:rPr>
                <w:sz w:val="20"/>
                <w:szCs w:val="20"/>
              </w:rPr>
              <w:t>-</w:t>
            </w:r>
            <w:r w:rsidRPr="00FF2F9E">
              <w:rPr>
                <w:sz w:val="20"/>
                <w:szCs w:val="20"/>
              </w:rPr>
              <w:t>Section Description of Revisions</w:t>
            </w:r>
          </w:p>
        </w:tc>
        <w:tc>
          <w:tcPr>
            <w:tcW w:w="1680" w:type="pct"/>
            <w:shd w:val="clear" w:color="auto" w:fill="D9D9D9" w:themeFill="background1" w:themeFillShade="D9"/>
            <w:vAlign w:val="center"/>
          </w:tcPr>
          <w:p w14:paraId="393A0A5E" w14:textId="6CAD7425" w:rsidR="000374A5" w:rsidRPr="00FF2F9E" w:rsidRDefault="00520480" w:rsidP="00607339">
            <w:pPr>
              <w:spacing w:before="60" w:after="60"/>
              <w:jc w:val="center"/>
              <w:rPr>
                <w:bCs/>
                <w:sz w:val="20"/>
                <w:szCs w:val="20"/>
              </w:rPr>
            </w:pPr>
            <w:r w:rsidRPr="00FF2F9E">
              <w:rPr>
                <w:sz w:val="20"/>
                <w:szCs w:val="20"/>
              </w:rPr>
              <w:t>Author (Name, PA)</w:t>
            </w:r>
          </w:p>
        </w:tc>
      </w:tr>
      <w:tr w:rsidR="00E91C15" w:rsidRPr="00783DAC" w14:paraId="393A0A64" w14:textId="77777777" w:rsidTr="009A5A66">
        <w:trPr>
          <w:trHeight w:val="464"/>
          <w:jc w:val="center"/>
        </w:trPr>
        <w:tc>
          <w:tcPr>
            <w:tcW w:w="858" w:type="pct"/>
            <w:shd w:val="clear" w:color="auto" w:fill="auto"/>
            <w:vAlign w:val="center"/>
          </w:tcPr>
          <w:p w14:paraId="393A0A60" w14:textId="7423B884" w:rsidR="00E91C15" w:rsidRPr="009A5A66" w:rsidRDefault="009A5A66" w:rsidP="009A5A66">
            <w:pPr>
              <w:jc w:val="center"/>
              <w:rPr>
                <w:bCs/>
              </w:rPr>
            </w:pPr>
            <w:r>
              <w:rPr>
                <w:bCs/>
              </w:rPr>
              <w:t>0</w:t>
            </w:r>
          </w:p>
        </w:tc>
        <w:tc>
          <w:tcPr>
            <w:tcW w:w="783" w:type="pct"/>
            <w:shd w:val="clear" w:color="auto" w:fill="auto"/>
            <w:vAlign w:val="center"/>
          </w:tcPr>
          <w:p w14:paraId="393A0A61" w14:textId="4D544830" w:rsidR="00E91C15" w:rsidRPr="009A5A66" w:rsidRDefault="009A5A66" w:rsidP="003F6300">
            <w:pPr>
              <w:jc w:val="center"/>
              <w:rPr>
                <w:bCs/>
                <w:sz w:val="20"/>
                <w:szCs w:val="20"/>
                <w:highlight w:val="yellow"/>
              </w:rPr>
            </w:pPr>
            <w:r w:rsidRPr="009A5A66">
              <w:rPr>
                <w:bCs/>
                <w:sz w:val="20"/>
                <w:szCs w:val="20"/>
              </w:rPr>
              <w:t>0</w:t>
            </w:r>
            <w:r w:rsidR="000610A1">
              <w:rPr>
                <w:bCs/>
                <w:sz w:val="20"/>
                <w:szCs w:val="20"/>
              </w:rPr>
              <w:t>2</w:t>
            </w:r>
            <w:r w:rsidRPr="009A5A66">
              <w:rPr>
                <w:bCs/>
                <w:sz w:val="20"/>
                <w:szCs w:val="20"/>
              </w:rPr>
              <w:t>/</w:t>
            </w:r>
            <w:r w:rsidR="003F6300">
              <w:rPr>
                <w:bCs/>
                <w:sz w:val="20"/>
                <w:szCs w:val="20"/>
              </w:rPr>
              <w:t>13</w:t>
            </w:r>
            <w:r w:rsidRPr="009A5A66">
              <w:rPr>
                <w:bCs/>
                <w:sz w:val="20"/>
                <w:szCs w:val="20"/>
              </w:rPr>
              <w:t>/2015</w:t>
            </w:r>
          </w:p>
        </w:tc>
        <w:tc>
          <w:tcPr>
            <w:tcW w:w="1680" w:type="pct"/>
            <w:shd w:val="clear" w:color="auto" w:fill="auto"/>
            <w:vAlign w:val="center"/>
          </w:tcPr>
          <w:p w14:paraId="393A0A62" w14:textId="4AE6BF5D" w:rsidR="00E91C15" w:rsidRPr="009A5A66" w:rsidRDefault="009A5A66" w:rsidP="001D4BC3">
            <w:pPr>
              <w:jc w:val="center"/>
              <w:rPr>
                <w:bCs/>
                <w:sz w:val="20"/>
                <w:szCs w:val="20"/>
              </w:rPr>
            </w:pPr>
            <w:r>
              <w:rPr>
                <w:bCs/>
                <w:sz w:val="20"/>
                <w:szCs w:val="20"/>
              </w:rPr>
              <w:t>Original work paper release</w:t>
            </w:r>
          </w:p>
        </w:tc>
        <w:tc>
          <w:tcPr>
            <w:tcW w:w="1680" w:type="pct"/>
            <w:shd w:val="clear" w:color="auto" w:fill="auto"/>
            <w:vAlign w:val="center"/>
          </w:tcPr>
          <w:p w14:paraId="393A0A63" w14:textId="0DB04DD3" w:rsidR="00E91C15" w:rsidRPr="009A5A66" w:rsidRDefault="009A5A66" w:rsidP="009A5A66">
            <w:pPr>
              <w:jc w:val="center"/>
              <w:rPr>
                <w:bCs/>
                <w:sz w:val="20"/>
                <w:szCs w:val="20"/>
              </w:rPr>
            </w:pPr>
            <w:r>
              <w:rPr>
                <w:bCs/>
                <w:sz w:val="20"/>
                <w:szCs w:val="20"/>
              </w:rPr>
              <w:t>Ben Chou, NRDC</w:t>
            </w:r>
          </w:p>
        </w:tc>
      </w:tr>
      <w:tr w:rsidR="00730F7C" w:rsidRPr="00DE21B1" w14:paraId="393A0A69" w14:textId="77777777" w:rsidTr="00271E01">
        <w:trPr>
          <w:trHeight w:val="464"/>
          <w:jc w:val="center"/>
        </w:trPr>
        <w:tc>
          <w:tcPr>
            <w:tcW w:w="858" w:type="pct"/>
            <w:shd w:val="clear" w:color="auto" w:fill="auto"/>
          </w:tcPr>
          <w:p w14:paraId="393A0A65" w14:textId="2172C5CE" w:rsidR="00730F7C" w:rsidRPr="00DE21B1" w:rsidRDefault="00730F7C" w:rsidP="008948E0">
            <w:pPr>
              <w:rPr>
                <w:b/>
              </w:rPr>
            </w:pPr>
          </w:p>
        </w:tc>
        <w:tc>
          <w:tcPr>
            <w:tcW w:w="783" w:type="pct"/>
            <w:shd w:val="clear" w:color="auto" w:fill="auto"/>
          </w:tcPr>
          <w:p w14:paraId="393A0A66" w14:textId="6897C523" w:rsidR="00730F7C" w:rsidRPr="005B00A6" w:rsidRDefault="00730F7C" w:rsidP="005B00A6">
            <w:pPr>
              <w:autoSpaceDE w:val="0"/>
              <w:autoSpaceDN w:val="0"/>
              <w:adjustRightInd w:val="0"/>
              <w:rPr>
                <w:b/>
                <w:sz w:val="20"/>
                <w:szCs w:val="20"/>
                <w:highlight w:val="yellow"/>
              </w:rPr>
            </w:pPr>
          </w:p>
        </w:tc>
        <w:tc>
          <w:tcPr>
            <w:tcW w:w="1680" w:type="pct"/>
            <w:shd w:val="clear" w:color="auto" w:fill="auto"/>
          </w:tcPr>
          <w:p w14:paraId="393A0A67" w14:textId="567F316B" w:rsidR="00730F7C" w:rsidRPr="00DE21B1" w:rsidRDefault="00730F7C" w:rsidP="008948E0">
            <w:pPr>
              <w:rPr>
                <w:b/>
                <w:sz w:val="20"/>
                <w:szCs w:val="20"/>
              </w:rPr>
            </w:pPr>
          </w:p>
        </w:tc>
        <w:tc>
          <w:tcPr>
            <w:tcW w:w="1680" w:type="pct"/>
            <w:shd w:val="clear" w:color="auto" w:fill="auto"/>
          </w:tcPr>
          <w:p w14:paraId="393A0A68" w14:textId="50D35560" w:rsidR="00730F7C" w:rsidRPr="00DE21B1" w:rsidRDefault="00730F7C" w:rsidP="00746DDC">
            <w:pPr>
              <w:rPr>
                <w:b/>
                <w:bCs/>
                <w:sz w:val="20"/>
                <w:szCs w:val="20"/>
              </w:rPr>
            </w:pPr>
          </w:p>
        </w:tc>
      </w:tr>
    </w:tbl>
    <w:p w14:paraId="393A0A6A" w14:textId="08C4C277" w:rsidR="009F0DDC" w:rsidRDefault="009F0DDC" w:rsidP="009341FB">
      <w:pPr>
        <w:pStyle w:val="Heading1"/>
        <w:ind w:left="432" w:hanging="432"/>
      </w:pPr>
      <w:bookmarkStart w:id="11" w:name="_Toc186621650"/>
      <w:bookmarkStart w:id="12" w:name="_Toc304800197"/>
      <w:bookmarkStart w:id="13" w:name="_Toc324318334"/>
    </w:p>
    <w:p w14:paraId="772FD5B6" w14:textId="26268D49" w:rsidR="002F4B05" w:rsidRDefault="002F4B05" w:rsidP="002F4B05">
      <w:pPr>
        <w:pStyle w:val="Heading1-NoSectionNo"/>
      </w:pPr>
      <w:r>
        <w:t>Commission Staff Review and Comment History</w:t>
      </w:r>
    </w:p>
    <w:p w14:paraId="0126A66D" w14:textId="77777777" w:rsidR="002F4B05" w:rsidRDefault="002F4B05" w:rsidP="002F4B05">
      <w:r>
        <w:t xml:space="preserve">     </w:t>
      </w:r>
      <w:r>
        <w:tab/>
      </w:r>
      <w:r>
        <w:tab/>
      </w:r>
      <w:r>
        <w:tab/>
      </w:r>
      <w:r>
        <w:tab/>
        <w:t xml:space="preserve">         </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442"/>
        <w:gridCol w:w="2142"/>
        <w:gridCol w:w="4056"/>
      </w:tblGrid>
      <w:tr w:rsidR="002F4B05" w:rsidRPr="00FF2F9E" w14:paraId="66AC11AE" w14:textId="77777777" w:rsidTr="002F4B05">
        <w:trPr>
          <w:trHeight w:val="464"/>
          <w:jc w:val="center"/>
        </w:trPr>
        <w:tc>
          <w:tcPr>
            <w:tcW w:w="856" w:type="pct"/>
            <w:shd w:val="clear" w:color="auto" w:fill="D9D9D9" w:themeFill="background1" w:themeFillShade="D9"/>
            <w:vAlign w:val="center"/>
          </w:tcPr>
          <w:p w14:paraId="42CB4817" w14:textId="77777777" w:rsidR="002F4B05" w:rsidRPr="00FF2F9E" w:rsidRDefault="002F4B05" w:rsidP="008B68A5">
            <w:pPr>
              <w:spacing w:before="60" w:after="60"/>
              <w:jc w:val="center"/>
              <w:rPr>
                <w:bCs/>
                <w:sz w:val="20"/>
                <w:szCs w:val="20"/>
              </w:rPr>
            </w:pPr>
            <w:r w:rsidRPr="00FF2F9E">
              <w:rPr>
                <w:sz w:val="20"/>
                <w:szCs w:val="20"/>
              </w:rPr>
              <w:t>Revision #</w:t>
            </w:r>
            <w:r w:rsidRPr="00FF2F9E">
              <w:rPr>
                <w:sz w:val="20"/>
                <w:szCs w:val="20"/>
              </w:rPr>
              <w:tab/>
            </w:r>
          </w:p>
        </w:tc>
        <w:tc>
          <w:tcPr>
            <w:tcW w:w="782" w:type="pct"/>
            <w:shd w:val="clear" w:color="auto" w:fill="D9D9D9" w:themeFill="background1" w:themeFillShade="D9"/>
            <w:vAlign w:val="center"/>
          </w:tcPr>
          <w:p w14:paraId="0B995F72" w14:textId="7332F147" w:rsidR="002F4B05" w:rsidRPr="00FF2F9E" w:rsidRDefault="002F4B05" w:rsidP="008B68A5">
            <w:pPr>
              <w:spacing w:before="60" w:after="60"/>
              <w:jc w:val="center"/>
              <w:rPr>
                <w:bCs/>
                <w:sz w:val="20"/>
                <w:szCs w:val="20"/>
              </w:rPr>
            </w:pPr>
            <w:r>
              <w:rPr>
                <w:sz w:val="20"/>
                <w:szCs w:val="20"/>
              </w:rPr>
              <w:t>Date Submitted to Commission Staff</w:t>
            </w:r>
          </w:p>
        </w:tc>
        <w:tc>
          <w:tcPr>
            <w:tcW w:w="1162" w:type="pct"/>
            <w:shd w:val="clear" w:color="auto" w:fill="D9D9D9" w:themeFill="background1" w:themeFillShade="D9"/>
            <w:vAlign w:val="center"/>
          </w:tcPr>
          <w:p w14:paraId="15EF4320" w14:textId="2656873B" w:rsidR="002F4B05" w:rsidRPr="00FF2F9E" w:rsidRDefault="002F4B05" w:rsidP="008B68A5">
            <w:pPr>
              <w:spacing w:before="60" w:after="60"/>
              <w:jc w:val="center"/>
              <w:rPr>
                <w:bCs/>
                <w:sz w:val="20"/>
                <w:szCs w:val="20"/>
              </w:rPr>
            </w:pPr>
            <w:r>
              <w:rPr>
                <w:sz w:val="20"/>
                <w:szCs w:val="20"/>
              </w:rPr>
              <w:t>Date Comments Received</w:t>
            </w:r>
          </w:p>
        </w:tc>
        <w:tc>
          <w:tcPr>
            <w:tcW w:w="2201" w:type="pct"/>
            <w:shd w:val="clear" w:color="auto" w:fill="D9D9D9" w:themeFill="background1" w:themeFillShade="D9"/>
            <w:vAlign w:val="center"/>
          </w:tcPr>
          <w:p w14:paraId="16EEEAA2" w14:textId="045F2B01" w:rsidR="002F4B05" w:rsidRPr="00FF2F9E" w:rsidRDefault="002F4B05" w:rsidP="008B68A5">
            <w:pPr>
              <w:spacing w:before="60" w:after="60"/>
              <w:jc w:val="center"/>
              <w:rPr>
                <w:bCs/>
                <w:sz w:val="20"/>
                <w:szCs w:val="20"/>
              </w:rPr>
            </w:pPr>
            <w:r>
              <w:rPr>
                <w:sz w:val="20"/>
                <w:szCs w:val="20"/>
              </w:rPr>
              <w:t>Commission Staff Comments</w:t>
            </w:r>
          </w:p>
        </w:tc>
      </w:tr>
      <w:tr w:rsidR="002F4B05" w:rsidRPr="00783DAC" w14:paraId="035F8EE4" w14:textId="77777777" w:rsidTr="002F4B05">
        <w:trPr>
          <w:trHeight w:val="464"/>
          <w:jc w:val="center"/>
        </w:trPr>
        <w:tc>
          <w:tcPr>
            <w:tcW w:w="856" w:type="pct"/>
            <w:shd w:val="clear" w:color="auto" w:fill="auto"/>
          </w:tcPr>
          <w:p w14:paraId="722F2F54" w14:textId="77777777" w:rsidR="002F4B05" w:rsidRPr="00783DAC" w:rsidRDefault="002F4B05" w:rsidP="008B68A5">
            <w:pPr>
              <w:rPr>
                <w:b/>
                <w:bCs/>
              </w:rPr>
            </w:pPr>
          </w:p>
        </w:tc>
        <w:tc>
          <w:tcPr>
            <w:tcW w:w="782" w:type="pct"/>
            <w:shd w:val="clear" w:color="auto" w:fill="auto"/>
          </w:tcPr>
          <w:p w14:paraId="173791AB" w14:textId="77777777" w:rsidR="002F4B05" w:rsidRPr="00783DAC" w:rsidRDefault="002F4B05" w:rsidP="008B68A5">
            <w:pPr>
              <w:rPr>
                <w:b/>
                <w:bCs/>
                <w:sz w:val="20"/>
                <w:szCs w:val="20"/>
                <w:highlight w:val="yellow"/>
              </w:rPr>
            </w:pPr>
          </w:p>
        </w:tc>
        <w:tc>
          <w:tcPr>
            <w:tcW w:w="1162" w:type="pct"/>
            <w:shd w:val="clear" w:color="auto" w:fill="auto"/>
          </w:tcPr>
          <w:p w14:paraId="49DC132E" w14:textId="77777777" w:rsidR="002F4B05" w:rsidRPr="00783DAC" w:rsidRDefault="002F4B05" w:rsidP="008B68A5">
            <w:pPr>
              <w:rPr>
                <w:b/>
                <w:bCs/>
                <w:sz w:val="20"/>
                <w:szCs w:val="20"/>
              </w:rPr>
            </w:pPr>
          </w:p>
        </w:tc>
        <w:tc>
          <w:tcPr>
            <w:tcW w:w="2201" w:type="pct"/>
            <w:shd w:val="clear" w:color="auto" w:fill="auto"/>
          </w:tcPr>
          <w:p w14:paraId="1AD89F2F" w14:textId="77777777" w:rsidR="002F4B05" w:rsidRPr="00783DAC" w:rsidRDefault="002F4B05" w:rsidP="008B68A5">
            <w:pPr>
              <w:rPr>
                <w:b/>
                <w:bCs/>
                <w:sz w:val="20"/>
                <w:szCs w:val="20"/>
              </w:rPr>
            </w:pPr>
          </w:p>
        </w:tc>
      </w:tr>
      <w:tr w:rsidR="002F4B05" w:rsidRPr="00DE21B1" w14:paraId="51DAF5E3" w14:textId="77777777" w:rsidTr="002F4B05">
        <w:trPr>
          <w:trHeight w:val="464"/>
          <w:jc w:val="center"/>
        </w:trPr>
        <w:tc>
          <w:tcPr>
            <w:tcW w:w="856" w:type="pct"/>
            <w:shd w:val="clear" w:color="auto" w:fill="auto"/>
          </w:tcPr>
          <w:p w14:paraId="03F978E1" w14:textId="77777777" w:rsidR="002F4B05" w:rsidRPr="00DE21B1" w:rsidRDefault="002F4B05" w:rsidP="008B68A5">
            <w:pPr>
              <w:rPr>
                <w:b/>
              </w:rPr>
            </w:pPr>
          </w:p>
        </w:tc>
        <w:tc>
          <w:tcPr>
            <w:tcW w:w="782" w:type="pct"/>
            <w:shd w:val="clear" w:color="auto" w:fill="auto"/>
          </w:tcPr>
          <w:p w14:paraId="149EFE1F" w14:textId="77777777" w:rsidR="002F4B05" w:rsidRPr="005B00A6" w:rsidRDefault="002F4B05" w:rsidP="008B68A5">
            <w:pPr>
              <w:autoSpaceDE w:val="0"/>
              <w:autoSpaceDN w:val="0"/>
              <w:adjustRightInd w:val="0"/>
              <w:rPr>
                <w:b/>
                <w:sz w:val="20"/>
                <w:szCs w:val="20"/>
                <w:highlight w:val="yellow"/>
              </w:rPr>
            </w:pPr>
          </w:p>
        </w:tc>
        <w:tc>
          <w:tcPr>
            <w:tcW w:w="1162" w:type="pct"/>
            <w:shd w:val="clear" w:color="auto" w:fill="auto"/>
          </w:tcPr>
          <w:p w14:paraId="3287AF73" w14:textId="77777777" w:rsidR="002F4B05" w:rsidRPr="00DE21B1" w:rsidRDefault="002F4B05" w:rsidP="008B68A5">
            <w:pPr>
              <w:rPr>
                <w:b/>
                <w:sz w:val="20"/>
                <w:szCs w:val="20"/>
              </w:rPr>
            </w:pPr>
          </w:p>
        </w:tc>
        <w:tc>
          <w:tcPr>
            <w:tcW w:w="2201" w:type="pct"/>
            <w:shd w:val="clear" w:color="auto" w:fill="auto"/>
          </w:tcPr>
          <w:p w14:paraId="1A628D7F" w14:textId="77777777" w:rsidR="002F4B05" w:rsidRPr="00DE21B1" w:rsidRDefault="002F4B05" w:rsidP="008B68A5">
            <w:pPr>
              <w:rPr>
                <w:b/>
                <w:bCs/>
                <w:sz w:val="20"/>
                <w:szCs w:val="20"/>
              </w:rPr>
            </w:pPr>
          </w:p>
        </w:tc>
      </w:tr>
    </w:tbl>
    <w:p w14:paraId="12E799CA" w14:textId="77777777" w:rsidR="009F0DDC" w:rsidRPr="009F0DDC" w:rsidRDefault="009F0DDC" w:rsidP="009F0DDC"/>
    <w:p w14:paraId="54634E3B" w14:textId="77777777" w:rsidR="009F0DDC" w:rsidRPr="009F0DDC" w:rsidRDefault="009F0DDC" w:rsidP="009F0DDC"/>
    <w:p w14:paraId="7292AEA5" w14:textId="77777777" w:rsidR="009F0DDC" w:rsidRPr="009F0DDC" w:rsidRDefault="009F0DDC" w:rsidP="009F0DDC"/>
    <w:p w14:paraId="22685FB6" w14:textId="77777777" w:rsidR="009F0DDC" w:rsidRPr="009F0DDC" w:rsidRDefault="009F0DDC" w:rsidP="009F0DDC"/>
    <w:p w14:paraId="602114D0" w14:textId="77777777" w:rsidR="009F0DDC" w:rsidRPr="009F0DDC" w:rsidRDefault="009F0DDC" w:rsidP="009F0DDC"/>
    <w:p w14:paraId="54752783" w14:textId="77777777" w:rsidR="009F0DDC" w:rsidRPr="009F0DDC" w:rsidRDefault="009F0DDC" w:rsidP="009F0DDC"/>
    <w:p w14:paraId="2FEF9041" w14:textId="77777777" w:rsidR="009F0DDC" w:rsidRPr="009F0DDC" w:rsidRDefault="009F0DDC" w:rsidP="009F0DDC"/>
    <w:p w14:paraId="3A78FD98" w14:textId="77777777" w:rsidR="009F0DDC" w:rsidRPr="009F0DDC" w:rsidRDefault="009F0DDC" w:rsidP="009F0DDC"/>
    <w:p w14:paraId="3D1ED09C" w14:textId="77777777" w:rsidR="009F0DDC" w:rsidRPr="009F0DDC" w:rsidRDefault="009F0DDC" w:rsidP="009F0DDC"/>
    <w:p w14:paraId="41AA37AA" w14:textId="77777777" w:rsidR="009F0DDC" w:rsidRPr="009F0DDC" w:rsidRDefault="009F0DDC" w:rsidP="009F0DDC"/>
    <w:p w14:paraId="649CFE70" w14:textId="400E89AF" w:rsidR="009F0DDC" w:rsidRDefault="009F0DDC" w:rsidP="009F0DDC">
      <w:pPr>
        <w:pStyle w:val="Heading1"/>
        <w:tabs>
          <w:tab w:val="left" w:pos="2040"/>
        </w:tabs>
        <w:ind w:left="432" w:hanging="432"/>
      </w:pPr>
      <w:r>
        <w:tab/>
      </w:r>
      <w:r>
        <w:tab/>
      </w:r>
    </w:p>
    <w:p w14:paraId="681E3239" w14:textId="2527F167" w:rsidR="00E71EF1" w:rsidRDefault="00E71EF1" w:rsidP="009341FB">
      <w:pPr>
        <w:pStyle w:val="Heading1"/>
        <w:ind w:left="432" w:hanging="432"/>
      </w:pPr>
      <w:r w:rsidRPr="009F0DDC">
        <w:br w:type="page"/>
      </w:r>
      <w:bookmarkStart w:id="14" w:name="_Toc304800198"/>
      <w:bookmarkStart w:id="15" w:name="_Toc324340478"/>
      <w:bookmarkStart w:id="16" w:name="_Toc385592979"/>
      <w:r w:rsidR="001248A3">
        <w:lastRenderedPageBreak/>
        <w:t>Table</w:t>
      </w:r>
      <w:r w:rsidR="006559C8">
        <w:t xml:space="preserve"> of Contents</w:t>
      </w:r>
      <w:bookmarkEnd w:id="11"/>
      <w:bookmarkEnd w:id="12"/>
      <w:bookmarkEnd w:id="13"/>
      <w:bookmarkEnd w:id="14"/>
      <w:bookmarkEnd w:id="15"/>
      <w:bookmarkEnd w:id="16"/>
    </w:p>
    <w:p w14:paraId="3D731DB7" w14:textId="53E337B3" w:rsidR="00062208" w:rsidRPr="00062208" w:rsidRDefault="00062208" w:rsidP="00062208">
      <w:pPr>
        <w:spacing w:before="300"/>
        <w:rPr>
          <w:rFonts w:cs="Arial"/>
          <w:sz w:val="20"/>
          <w:szCs w:val="20"/>
        </w:rPr>
      </w:pPr>
      <w:r w:rsidRPr="00062208">
        <w:rPr>
          <w:rFonts w:cs="Arial"/>
          <w:sz w:val="20"/>
          <w:szCs w:val="20"/>
        </w:rPr>
        <w:t>At-a-Glance Summary</w:t>
      </w:r>
    </w:p>
    <w:p w14:paraId="0447DC83" w14:textId="02997BE5" w:rsidR="00062208" w:rsidRPr="00062208" w:rsidRDefault="00062208" w:rsidP="00062208">
      <w:pPr>
        <w:rPr>
          <w:rFonts w:cs="Arial"/>
          <w:sz w:val="20"/>
          <w:szCs w:val="20"/>
        </w:rPr>
      </w:pPr>
      <w:r w:rsidRPr="00062208">
        <w:rPr>
          <w:rFonts w:cs="Arial"/>
          <w:sz w:val="20"/>
          <w:szCs w:val="20"/>
        </w:rPr>
        <w:t>Document Revision History</w:t>
      </w:r>
    </w:p>
    <w:p w14:paraId="4EDCAB03" w14:textId="12211B75" w:rsidR="00062208" w:rsidRPr="00062208" w:rsidRDefault="00062208" w:rsidP="00062208">
      <w:pPr>
        <w:rPr>
          <w:rFonts w:cs="Arial"/>
          <w:sz w:val="20"/>
          <w:szCs w:val="20"/>
        </w:rPr>
      </w:pPr>
      <w:r w:rsidRPr="00062208">
        <w:rPr>
          <w:rFonts w:cs="Arial"/>
          <w:sz w:val="20"/>
          <w:szCs w:val="20"/>
        </w:rPr>
        <w:t>Table of Contents</w:t>
      </w:r>
    </w:p>
    <w:p w14:paraId="2BEE01A3" w14:textId="7343E451" w:rsidR="00062208" w:rsidRPr="00062208" w:rsidRDefault="00062208" w:rsidP="00062208">
      <w:pPr>
        <w:rPr>
          <w:rFonts w:cs="Arial"/>
          <w:sz w:val="20"/>
          <w:szCs w:val="20"/>
        </w:rPr>
      </w:pPr>
      <w:r w:rsidRPr="00062208">
        <w:rPr>
          <w:rFonts w:cs="Arial"/>
          <w:sz w:val="20"/>
          <w:szCs w:val="20"/>
        </w:rPr>
        <w:t>Section 1. General Measure &amp; Baseline Data</w:t>
      </w:r>
    </w:p>
    <w:p w14:paraId="64C1A0D4" w14:textId="1BFEB4C6" w:rsidR="00062208" w:rsidRPr="00062208" w:rsidRDefault="00062208" w:rsidP="00062208">
      <w:pPr>
        <w:pStyle w:val="ListParagraph"/>
        <w:numPr>
          <w:ilvl w:val="1"/>
          <w:numId w:val="13"/>
        </w:numPr>
        <w:ind w:left="630"/>
        <w:rPr>
          <w:rFonts w:ascii="Arial" w:hAnsi="Arial" w:cs="Arial"/>
          <w:sz w:val="20"/>
          <w:szCs w:val="20"/>
        </w:rPr>
      </w:pPr>
      <w:r w:rsidRPr="00062208">
        <w:rPr>
          <w:rFonts w:ascii="Arial" w:hAnsi="Arial" w:cs="Arial"/>
          <w:sz w:val="20"/>
          <w:szCs w:val="20"/>
        </w:rPr>
        <w:t>Product Measures</w:t>
      </w:r>
    </w:p>
    <w:p w14:paraId="67D8E74D" w14:textId="10BEDDB3" w:rsidR="00062208" w:rsidRPr="00062208" w:rsidRDefault="00062208" w:rsidP="00062208">
      <w:pPr>
        <w:pStyle w:val="ListParagraph"/>
        <w:numPr>
          <w:ilvl w:val="1"/>
          <w:numId w:val="13"/>
        </w:numPr>
        <w:ind w:left="630"/>
        <w:rPr>
          <w:rFonts w:ascii="Arial" w:hAnsi="Arial" w:cs="Arial"/>
          <w:sz w:val="20"/>
          <w:szCs w:val="20"/>
        </w:rPr>
      </w:pPr>
      <w:r w:rsidRPr="00062208">
        <w:rPr>
          <w:rFonts w:ascii="Arial" w:hAnsi="Arial" w:cs="Arial"/>
          <w:sz w:val="20"/>
          <w:szCs w:val="20"/>
        </w:rPr>
        <w:t>Program Implementation Overview</w:t>
      </w:r>
    </w:p>
    <w:p w14:paraId="4A0DDC07" w14:textId="49A08B4F" w:rsidR="00062208" w:rsidRPr="00062208" w:rsidRDefault="00062208" w:rsidP="00062208">
      <w:pPr>
        <w:pStyle w:val="ListParagraph"/>
        <w:numPr>
          <w:ilvl w:val="1"/>
          <w:numId w:val="13"/>
        </w:numPr>
        <w:ind w:left="630"/>
        <w:rPr>
          <w:rFonts w:ascii="Arial" w:hAnsi="Arial" w:cs="Arial"/>
          <w:sz w:val="20"/>
          <w:szCs w:val="20"/>
        </w:rPr>
      </w:pPr>
      <w:r w:rsidRPr="00062208">
        <w:rPr>
          <w:rFonts w:ascii="Arial" w:hAnsi="Arial" w:cs="Arial"/>
          <w:sz w:val="20"/>
          <w:szCs w:val="20"/>
        </w:rPr>
        <w:t>Product Parameter Data</w:t>
      </w:r>
    </w:p>
    <w:p w14:paraId="054BD7C0" w14:textId="18A8E321" w:rsidR="00062208" w:rsidRPr="00062208" w:rsidRDefault="00062208" w:rsidP="00062208">
      <w:pPr>
        <w:rPr>
          <w:rFonts w:cs="Arial"/>
          <w:sz w:val="20"/>
          <w:szCs w:val="20"/>
        </w:rPr>
      </w:pPr>
      <w:r w:rsidRPr="00062208">
        <w:rPr>
          <w:rFonts w:cs="Arial"/>
          <w:sz w:val="20"/>
          <w:szCs w:val="20"/>
        </w:rPr>
        <w:t>Section 2. Calculation Methods</w:t>
      </w:r>
    </w:p>
    <w:p w14:paraId="0E6A220C" w14:textId="37DEAA68" w:rsidR="00062208" w:rsidRPr="00062208" w:rsidRDefault="00062208" w:rsidP="00062208">
      <w:pPr>
        <w:tabs>
          <w:tab w:val="left" w:pos="270"/>
        </w:tabs>
        <w:rPr>
          <w:rFonts w:cs="Arial"/>
          <w:sz w:val="20"/>
          <w:szCs w:val="20"/>
        </w:rPr>
      </w:pPr>
      <w:r w:rsidRPr="00062208">
        <w:rPr>
          <w:rFonts w:cs="Arial"/>
          <w:sz w:val="20"/>
          <w:szCs w:val="20"/>
        </w:rPr>
        <w:tab/>
        <w:t>2.1 Program Implementation Analysis</w:t>
      </w:r>
    </w:p>
    <w:p w14:paraId="680185EC" w14:textId="079AD86E" w:rsidR="00062208" w:rsidRPr="00062208" w:rsidRDefault="00062208" w:rsidP="00062208">
      <w:pPr>
        <w:tabs>
          <w:tab w:val="left" w:pos="270"/>
        </w:tabs>
        <w:rPr>
          <w:rFonts w:cs="Arial"/>
          <w:sz w:val="20"/>
          <w:szCs w:val="20"/>
        </w:rPr>
      </w:pPr>
      <w:r w:rsidRPr="00062208">
        <w:rPr>
          <w:rFonts w:cs="Arial"/>
          <w:sz w:val="20"/>
          <w:szCs w:val="20"/>
        </w:rPr>
        <w:tab/>
        <w:t>2.2 Electric Energy Savings Estimation Methodologies</w:t>
      </w:r>
    </w:p>
    <w:p w14:paraId="1789414D" w14:textId="0E99E260" w:rsidR="00062208" w:rsidRPr="00062208" w:rsidRDefault="00062208" w:rsidP="00062208">
      <w:pPr>
        <w:tabs>
          <w:tab w:val="left" w:pos="270"/>
        </w:tabs>
        <w:rPr>
          <w:rFonts w:cs="Arial"/>
          <w:sz w:val="20"/>
          <w:szCs w:val="20"/>
        </w:rPr>
      </w:pPr>
      <w:r w:rsidRPr="00062208">
        <w:rPr>
          <w:rFonts w:cs="Arial"/>
          <w:sz w:val="20"/>
          <w:szCs w:val="20"/>
        </w:rPr>
        <w:tab/>
        <w:t>2.3 Demand Reduction Estimation Methodologies</w:t>
      </w:r>
    </w:p>
    <w:p w14:paraId="3B10CD1F" w14:textId="61FE894E" w:rsidR="00062208" w:rsidRPr="00062208" w:rsidRDefault="00062208" w:rsidP="00062208">
      <w:pPr>
        <w:tabs>
          <w:tab w:val="left" w:pos="270"/>
        </w:tabs>
        <w:rPr>
          <w:rFonts w:cs="Arial"/>
          <w:sz w:val="20"/>
          <w:szCs w:val="20"/>
        </w:rPr>
      </w:pPr>
      <w:r w:rsidRPr="00062208">
        <w:rPr>
          <w:rFonts w:cs="Arial"/>
          <w:sz w:val="20"/>
          <w:szCs w:val="20"/>
        </w:rPr>
        <w:tab/>
        <w:t>2.4 Gas Energy Savings Estimation Methodologies</w:t>
      </w:r>
    </w:p>
    <w:p w14:paraId="2A8596FF" w14:textId="2BEDF235" w:rsidR="00062208" w:rsidRPr="00062208" w:rsidRDefault="00062208" w:rsidP="00062208">
      <w:pPr>
        <w:rPr>
          <w:rFonts w:cs="Arial"/>
          <w:sz w:val="20"/>
          <w:szCs w:val="20"/>
        </w:rPr>
      </w:pPr>
      <w:r w:rsidRPr="00062208">
        <w:rPr>
          <w:rFonts w:cs="Arial"/>
          <w:sz w:val="20"/>
          <w:szCs w:val="20"/>
        </w:rPr>
        <w:t>Section 3. Load Shapes</w:t>
      </w:r>
    </w:p>
    <w:p w14:paraId="7CE658EA" w14:textId="3F5FA9D7" w:rsidR="00062208" w:rsidRPr="00062208" w:rsidRDefault="00062208" w:rsidP="00062208">
      <w:pPr>
        <w:rPr>
          <w:rFonts w:cs="Arial"/>
          <w:sz w:val="20"/>
          <w:szCs w:val="20"/>
        </w:rPr>
      </w:pPr>
      <w:r w:rsidRPr="00062208">
        <w:rPr>
          <w:rFonts w:cs="Arial"/>
          <w:sz w:val="20"/>
          <w:szCs w:val="20"/>
        </w:rPr>
        <w:t>Section 4. Base Case, Measure, and Installation Costs</w:t>
      </w:r>
    </w:p>
    <w:p w14:paraId="6271B5FE" w14:textId="14B95F1B" w:rsidR="00062208" w:rsidRPr="00062208" w:rsidRDefault="00062208" w:rsidP="00062208">
      <w:pPr>
        <w:tabs>
          <w:tab w:val="left" w:pos="270"/>
        </w:tabs>
        <w:rPr>
          <w:rFonts w:cs="Arial"/>
          <w:sz w:val="20"/>
          <w:szCs w:val="20"/>
        </w:rPr>
      </w:pPr>
      <w:r w:rsidRPr="00062208">
        <w:rPr>
          <w:rFonts w:cs="Arial"/>
          <w:sz w:val="20"/>
          <w:szCs w:val="20"/>
        </w:rPr>
        <w:tab/>
        <w:t>4.1 Base Case(s) Costs</w:t>
      </w:r>
    </w:p>
    <w:p w14:paraId="7D8FE7B7" w14:textId="269981E0" w:rsidR="00062208" w:rsidRPr="00062208" w:rsidRDefault="00062208" w:rsidP="00062208">
      <w:pPr>
        <w:tabs>
          <w:tab w:val="left" w:pos="270"/>
        </w:tabs>
        <w:rPr>
          <w:rFonts w:cs="Arial"/>
          <w:sz w:val="20"/>
          <w:szCs w:val="20"/>
        </w:rPr>
      </w:pPr>
      <w:r w:rsidRPr="00062208">
        <w:rPr>
          <w:rFonts w:cs="Arial"/>
          <w:sz w:val="20"/>
          <w:szCs w:val="20"/>
        </w:rPr>
        <w:tab/>
        <w:t>4.2 Measure Case Costs</w:t>
      </w:r>
    </w:p>
    <w:p w14:paraId="6CE84B31" w14:textId="632F0754" w:rsidR="00062208" w:rsidRPr="00062208" w:rsidRDefault="00062208" w:rsidP="00062208">
      <w:pPr>
        <w:tabs>
          <w:tab w:val="left" w:pos="270"/>
        </w:tabs>
        <w:rPr>
          <w:rFonts w:cs="Arial"/>
          <w:sz w:val="20"/>
          <w:szCs w:val="20"/>
        </w:rPr>
      </w:pPr>
      <w:r w:rsidRPr="00062208">
        <w:rPr>
          <w:rFonts w:cs="Arial"/>
          <w:sz w:val="20"/>
          <w:szCs w:val="20"/>
        </w:rPr>
        <w:tab/>
        <w:t>4.3 Installation/Labor Costs</w:t>
      </w:r>
    </w:p>
    <w:p w14:paraId="3E19145D" w14:textId="2E932EB2" w:rsidR="00062208" w:rsidRPr="00062208" w:rsidRDefault="00062208" w:rsidP="00062208">
      <w:pPr>
        <w:tabs>
          <w:tab w:val="left" w:pos="270"/>
        </w:tabs>
        <w:rPr>
          <w:rFonts w:cs="Arial"/>
          <w:sz w:val="20"/>
          <w:szCs w:val="20"/>
        </w:rPr>
      </w:pPr>
      <w:r w:rsidRPr="00062208">
        <w:rPr>
          <w:rFonts w:cs="Arial"/>
          <w:sz w:val="20"/>
          <w:szCs w:val="20"/>
        </w:rPr>
        <w:tab/>
        <w:t>4.4 Incremental &amp; Full Measure Costs</w:t>
      </w:r>
    </w:p>
    <w:p w14:paraId="5F732353" w14:textId="35EFE3DE" w:rsidR="00062208" w:rsidRPr="00062208" w:rsidRDefault="00062208" w:rsidP="00062208">
      <w:pPr>
        <w:rPr>
          <w:rFonts w:cs="Arial"/>
          <w:sz w:val="20"/>
          <w:szCs w:val="20"/>
        </w:rPr>
      </w:pPr>
      <w:r w:rsidRPr="00062208">
        <w:rPr>
          <w:rFonts w:cs="Arial"/>
          <w:sz w:val="20"/>
          <w:szCs w:val="20"/>
        </w:rPr>
        <w:t>Appendix 1 – Supplemental Files</w:t>
      </w:r>
    </w:p>
    <w:p w14:paraId="2045EF09" w14:textId="4AFB9E8D" w:rsidR="00062208" w:rsidRPr="00062208" w:rsidRDefault="00062208" w:rsidP="00062208">
      <w:pPr>
        <w:rPr>
          <w:rFonts w:cs="Arial"/>
          <w:sz w:val="20"/>
          <w:szCs w:val="20"/>
        </w:rPr>
      </w:pPr>
      <w:r w:rsidRPr="00062208">
        <w:rPr>
          <w:rFonts w:cs="Arial"/>
          <w:sz w:val="20"/>
          <w:szCs w:val="20"/>
        </w:rPr>
        <w:t xml:space="preserve">Appendix 2 – </w:t>
      </w:r>
      <w:r w:rsidR="00B20507">
        <w:rPr>
          <w:rFonts w:cs="Arial"/>
          <w:sz w:val="20"/>
          <w:szCs w:val="20"/>
        </w:rPr>
        <w:t>Commission Staff Comments/Review</w:t>
      </w:r>
    </w:p>
    <w:p w14:paraId="39BB5A65" w14:textId="701B9865" w:rsidR="00062208" w:rsidRPr="00062208" w:rsidRDefault="00062208" w:rsidP="00062208">
      <w:pPr>
        <w:rPr>
          <w:rFonts w:cs="Arial"/>
          <w:sz w:val="20"/>
          <w:szCs w:val="20"/>
        </w:rPr>
      </w:pPr>
      <w:r w:rsidRPr="00062208">
        <w:rPr>
          <w:rFonts w:cs="Arial"/>
          <w:sz w:val="20"/>
          <w:szCs w:val="20"/>
        </w:rPr>
        <w:t xml:space="preserve">Appendix 3 – </w:t>
      </w:r>
      <w:r w:rsidR="00B20507">
        <w:rPr>
          <w:rFonts w:cs="Arial"/>
          <w:sz w:val="20"/>
          <w:szCs w:val="20"/>
        </w:rPr>
        <w:t>Measure Application Type Definitions</w:t>
      </w:r>
    </w:p>
    <w:p w14:paraId="663FA55B" w14:textId="061B9C16" w:rsidR="00B20507" w:rsidRPr="00062208" w:rsidRDefault="00B20507" w:rsidP="00B20507">
      <w:pPr>
        <w:rPr>
          <w:rFonts w:cs="Arial"/>
          <w:sz w:val="20"/>
          <w:szCs w:val="20"/>
        </w:rPr>
      </w:pPr>
      <w:r>
        <w:rPr>
          <w:rFonts w:cs="Arial"/>
          <w:sz w:val="20"/>
          <w:szCs w:val="20"/>
        </w:rPr>
        <w:t>Appendix 4</w:t>
      </w:r>
      <w:r w:rsidRPr="00062208">
        <w:rPr>
          <w:rFonts w:cs="Arial"/>
          <w:sz w:val="20"/>
          <w:szCs w:val="20"/>
        </w:rPr>
        <w:t xml:space="preserve"> – CPUC Quality Metrics</w:t>
      </w:r>
    </w:p>
    <w:p w14:paraId="32B7893F" w14:textId="6A7BE138" w:rsidR="00B20507" w:rsidRPr="00062208" w:rsidRDefault="00B20507" w:rsidP="00B20507">
      <w:pPr>
        <w:rPr>
          <w:rFonts w:cs="Arial"/>
          <w:sz w:val="20"/>
          <w:szCs w:val="20"/>
        </w:rPr>
      </w:pPr>
      <w:r>
        <w:rPr>
          <w:rFonts w:cs="Arial"/>
          <w:sz w:val="20"/>
          <w:szCs w:val="20"/>
        </w:rPr>
        <w:t>Appendix 5</w:t>
      </w:r>
      <w:r w:rsidRPr="00062208">
        <w:rPr>
          <w:rFonts w:cs="Arial"/>
          <w:sz w:val="20"/>
          <w:szCs w:val="20"/>
        </w:rPr>
        <w:t xml:space="preserve"> – </w:t>
      </w:r>
      <w:r>
        <w:rPr>
          <w:rFonts w:cs="Arial"/>
          <w:sz w:val="20"/>
          <w:szCs w:val="20"/>
        </w:rPr>
        <w:t>DEER Resources Flow Chart</w:t>
      </w:r>
    </w:p>
    <w:p w14:paraId="72A9551F" w14:textId="65337B86" w:rsidR="00062208" w:rsidRPr="00062208" w:rsidRDefault="00062208" w:rsidP="00062208">
      <w:pPr>
        <w:rPr>
          <w:rFonts w:cs="Arial"/>
          <w:sz w:val="20"/>
          <w:szCs w:val="20"/>
        </w:rPr>
      </w:pPr>
      <w:r w:rsidRPr="00062208">
        <w:rPr>
          <w:rFonts w:cs="Arial"/>
          <w:sz w:val="20"/>
          <w:szCs w:val="20"/>
        </w:rPr>
        <w:t>References</w:t>
      </w:r>
    </w:p>
    <w:p w14:paraId="0B8F6DBD" w14:textId="77777777" w:rsidR="009F0DDC" w:rsidRDefault="009F0DDC">
      <w:pPr>
        <w:sectPr w:rsidR="009F0DDC" w:rsidSect="009F0DDC">
          <w:footerReference w:type="default" r:id="rId23"/>
          <w:endnotePr>
            <w:numFmt w:val="decimal"/>
          </w:endnotePr>
          <w:pgSz w:w="12240" w:h="15840"/>
          <w:pgMar w:top="1440" w:right="1710" w:bottom="1440" w:left="1440" w:header="720" w:footer="720" w:gutter="0"/>
          <w:pgNumType w:fmt="lowerRoman" w:chapStyle="1"/>
          <w:cols w:space="720"/>
          <w:docGrid w:linePitch="360"/>
        </w:sectPr>
      </w:pPr>
    </w:p>
    <w:p w14:paraId="19C628A8" w14:textId="6A6B50B3" w:rsidR="009341FB" w:rsidRPr="00271E01" w:rsidRDefault="00ED21EE" w:rsidP="009F0DDC">
      <w:pPr>
        <w:pStyle w:val="Heading1-NoSectionNo"/>
        <w:ind w:left="0" w:firstLine="0"/>
      </w:pPr>
      <w:bookmarkStart w:id="17" w:name="_Toc172205732"/>
      <w:bookmarkStart w:id="18" w:name="_Toc304800201"/>
      <w:bookmarkStart w:id="19" w:name="_Toc324318337"/>
      <w:bookmarkStart w:id="20" w:name="_Toc324340481"/>
      <w:bookmarkStart w:id="21" w:name="_Toc385592982"/>
      <w:r w:rsidRPr="00271E01">
        <w:lastRenderedPageBreak/>
        <w:t>General Measure &amp; Baseline Data</w:t>
      </w:r>
      <w:bookmarkEnd w:id="17"/>
      <w:bookmarkEnd w:id="18"/>
      <w:bookmarkEnd w:id="19"/>
      <w:bookmarkEnd w:id="20"/>
      <w:bookmarkEnd w:id="21"/>
    </w:p>
    <w:p w14:paraId="0BF8606C" w14:textId="0F4564BF" w:rsidR="009341FB" w:rsidRPr="009341FB" w:rsidRDefault="009341FB" w:rsidP="00607339">
      <w:pPr>
        <w:pStyle w:val="Heading2-CalTF2"/>
      </w:pPr>
      <w:bookmarkStart w:id="22" w:name="_Toc385592983"/>
      <w:r w:rsidRPr="009341FB">
        <w:t>Product Measures</w:t>
      </w:r>
      <w:bookmarkEnd w:id="22"/>
    </w:p>
    <w:p w14:paraId="239D41A2" w14:textId="1748E08A" w:rsidR="007112FD" w:rsidRPr="007112FD" w:rsidRDefault="007112FD" w:rsidP="00C55BED">
      <w:pPr>
        <w:spacing w:after="60"/>
        <w:rPr>
          <w:rFonts w:cs="Arial"/>
          <w:b/>
          <w:sz w:val="20"/>
          <w:szCs w:val="20"/>
        </w:rPr>
      </w:pPr>
      <w:r w:rsidRPr="007112FD">
        <w:rPr>
          <w:rFonts w:cs="Arial"/>
          <w:b/>
          <w:sz w:val="20"/>
          <w:szCs w:val="20"/>
        </w:rPr>
        <w:t>General Description</w:t>
      </w:r>
    </w:p>
    <w:p w14:paraId="3132914E" w14:textId="77777777" w:rsidR="008B68A5" w:rsidRDefault="008B68A5" w:rsidP="00872913">
      <w:pPr>
        <w:rPr>
          <w:rFonts w:cs="Arial"/>
          <w:sz w:val="20"/>
          <w:szCs w:val="20"/>
        </w:rPr>
      </w:pPr>
    </w:p>
    <w:p w14:paraId="72F1F096" w14:textId="75853A6B" w:rsidR="007112FD" w:rsidRDefault="008B68A5" w:rsidP="00872913">
      <w:pPr>
        <w:rPr>
          <w:rFonts w:cs="Arial"/>
          <w:sz w:val="20"/>
          <w:szCs w:val="20"/>
        </w:rPr>
      </w:pPr>
      <w:r>
        <w:rPr>
          <w:rFonts w:cs="Arial"/>
          <w:sz w:val="20"/>
          <w:szCs w:val="20"/>
        </w:rPr>
        <w:t>This work</w:t>
      </w:r>
      <w:r w:rsidR="001D4BC3">
        <w:rPr>
          <w:rFonts w:cs="Arial"/>
          <w:sz w:val="20"/>
          <w:szCs w:val="20"/>
        </w:rPr>
        <w:t xml:space="preserve"> </w:t>
      </w:r>
      <w:r>
        <w:rPr>
          <w:rFonts w:cs="Arial"/>
          <w:sz w:val="20"/>
          <w:szCs w:val="20"/>
        </w:rPr>
        <w:t xml:space="preserve">paper describes the early retirement of a used, inefficient top-loading clothes washer so </w:t>
      </w:r>
      <w:r w:rsidRPr="008B68A5">
        <w:rPr>
          <w:rFonts w:cs="Arial"/>
          <w:sz w:val="20"/>
          <w:szCs w:val="20"/>
        </w:rPr>
        <w:t xml:space="preserve">that it can no longer </w:t>
      </w:r>
      <w:r>
        <w:rPr>
          <w:rFonts w:cs="Arial"/>
          <w:sz w:val="20"/>
          <w:szCs w:val="20"/>
        </w:rPr>
        <w:t>remain in service</w:t>
      </w:r>
      <w:r w:rsidRPr="008B68A5">
        <w:rPr>
          <w:rFonts w:cs="Arial"/>
          <w:sz w:val="20"/>
          <w:szCs w:val="20"/>
        </w:rPr>
        <w:t xml:space="preserve"> and therefore, is diverted from the secondary or used appliance market.</w:t>
      </w:r>
      <w:r w:rsidR="004922CD">
        <w:rPr>
          <w:rFonts w:cs="Arial"/>
          <w:sz w:val="20"/>
          <w:szCs w:val="20"/>
        </w:rPr>
        <w:t xml:space="preserve"> Essentially, this measure aims to prevent the transfer of older, less efficient clothes washers to another location within the utilities’ service territory when </w:t>
      </w:r>
      <w:r w:rsidR="00BA7EB0">
        <w:rPr>
          <w:rFonts w:cs="Arial"/>
          <w:sz w:val="20"/>
          <w:szCs w:val="20"/>
        </w:rPr>
        <w:t xml:space="preserve">it is </w:t>
      </w:r>
      <w:r w:rsidR="004922CD">
        <w:rPr>
          <w:rFonts w:cs="Arial"/>
          <w:sz w:val="20"/>
          <w:szCs w:val="20"/>
        </w:rPr>
        <w:t xml:space="preserve">no longer needed in </w:t>
      </w:r>
      <w:r w:rsidR="00BA7EB0">
        <w:rPr>
          <w:rFonts w:cs="Arial"/>
          <w:sz w:val="20"/>
          <w:szCs w:val="20"/>
        </w:rPr>
        <w:t>a</w:t>
      </w:r>
      <w:r w:rsidR="004922CD">
        <w:rPr>
          <w:rFonts w:cs="Arial"/>
          <w:sz w:val="20"/>
          <w:szCs w:val="20"/>
        </w:rPr>
        <w:t xml:space="preserve"> participant</w:t>
      </w:r>
      <w:r w:rsidR="00BA7EB0">
        <w:rPr>
          <w:rFonts w:cs="Arial"/>
          <w:sz w:val="20"/>
          <w:szCs w:val="20"/>
        </w:rPr>
        <w:t>’s</w:t>
      </w:r>
      <w:r w:rsidR="004922CD">
        <w:rPr>
          <w:rFonts w:cs="Arial"/>
          <w:sz w:val="20"/>
          <w:szCs w:val="20"/>
        </w:rPr>
        <w:t xml:space="preserve"> home. </w:t>
      </w:r>
      <w:r>
        <w:rPr>
          <w:rFonts w:cs="Arial"/>
          <w:sz w:val="20"/>
          <w:szCs w:val="20"/>
        </w:rPr>
        <w:t xml:space="preserve"> </w:t>
      </w:r>
    </w:p>
    <w:p w14:paraId="61CFDC3E" w14:textId="77777777" w:rsidR="008B68A5" w:rsidRDefault="008B68A5" w:rsidP="00872913">
      <w:pPr>
        <w:rPr>
          <w:rFonts w:cs="Arial"/>
          <w:sz w:val="20"/>
          <w:szCs w:val="20"/>
        </w:rPr>
      </w:pPr>
    </w:p>
    <w:p w14:paraId="0E5F5362" w14:textId="77777777" w:rsidR="003E400E" w:rsidRDefault="003E400E" w:rsidP="00C55BED">
      <w:pPr>
        <w:spacing w:after="60"/>
        <w:rPr>
          <w:rFonts w:cs="Arial"/>
          <w:b/>
          <w:sz w:val="20"/>
          <w:szCs w:val="20"/>
        </w:rPr>
      </w:pPr>
    </w:p>
    <w:p w14:paraId="18693FE5" w14:textId="32864C9D" w:rsidR="00761007" w:rsidRPr="007112FD" w:rsidRDefault="007112FD" w:rsidP="00C55BED">
      <w:pPr>
        <w:spacing w:after="60"/>
        <w:rPr>
          <w:rFonts w:cs="Arial"/>
          <w:b/>
          <w:sz w:val="20"/>
          <w:szCs w:val="20"/>
        </w:rPr>
      </w:pPr>
      <w:r>
        <w:rPr>
          <w:rFonts w:cs="Arial"/>
          <w:b/>
          <w:sz w:val="20"/>
          <w:szCs w:val="20"/>
        </w:rPr>
        <w:t>Technical Description</w:t>
      </w:r>
    </w:p>
    <w:p w14:paraId="68FCAC19" w14:textId="77777777" w:rsidR="008B68A5" w:rsidRDefault="008B68A5" w:rsidP="00FD1249">
      <w:pPr>
        <w:pStyle w:val="Reminders"/>
        <w:tabs>
          <w:tab w:val="num" w:pos="360"/>
        </w:tabs>
        <w:rPr>
          <w:rFonts w:ascii="Arial" w:hAnsi="Arial" w:cs="Arial"/>
          <w:i w:val="0"/>
          <w:sz w:val="20"/>
          <w:szCs w:val="20"/>
        </w:rPr>
      </w:pPr>
    </w:p>
    <w:p w14:paraId="0D2EFECE" w14:textId="77777777" w:rsidR="00DC00F3" w:rsidRDefault="008B68A5" w:rsidP="00FD1249">
      <w:pPr>
        <w:pStyle w:val="Reminders"/>
        <w:tabs>
          <w:tab w:val="num" w:pos="360"/>
        </w:tabs>
        <w:rPr>
          <w:rFonts w:ascii="Arial" w:hAnsi="Arial" w:cs="Arial"/>
          <w:i w:val="0"/>
          <w:color w:val="auto"/>
          <w:sz w:val="20"/>
          <w:szCs w:val="20"/>
        </w:rPr>
      </w:pPr>
      <w:r>
        <w:rPr>
          <w:rFonts w:ascii="Arial" w:hAnsi="Arial" w:cs="Arial"/>
          <w:i w:val="0"/>
          <w:color w:val="auto"/>
          <w:sz w:val="20"/>
          <w:szCs w:val="20"/>
        </w:rPr>
        <w:t>C</w:t>
      </w:r>
      <w:r w:rsidRPr="008B68A5">
        <w:rPr>
          <w:rFonts w:ascii="Arial" w:hAnsi="Arial" w:cs="Arial"/>
          <w:i w:val="0"/>
          <w:color w:val="auto"/>
          <w:sz w:val="20"/>
          <w:szCs w:val="20"/>
        </w:rPr>
        <w:t>lothes washers use significant amounts of both energy</w:t>
      </w:r>
      <w:r>
        <w:rPr>
          <w:rFonts w:ascii="Arial" w:hAnsi="Arial" w:cs="Arial"/>
          <w:i w:val="0"/>
          <w:color w:val="auto"/>
          <w:sz w:val="20"/>
          <w:szCs w:val="20"/>
        </w:rPr>
        <w:t xml:space="preserve"> and water</w:t>
      </w:r>
      <w:r w:rsidRPr="008B68A5">
        <w:rPr>
          <w:rFonts w:ascii="Arial" w:hAnsi="Arial" w:cs="Arial"/>
          <w:i w:val="0"/>
          <w:color w:val="auto"/>
          <w:sz w:val="20"/>
          <w:szCs w:val="20"/>
        </w:rPr>
        <w:t xml:space="preserve">. Water is used during the cleaning process, and energy is used to heat water for use in some cleaning cycles, agitate clothes to remove dirt and stains, and spin clothes to remove excess moisture. The latter significantly impacts the energy use of clothes dryers as well. </w:t>
      </w:r>
    </w:p>
    <w:p w14:paraId="7E2F904D" w14:textId="77777777" w:rsidR="00DC00F3" w:rsidRDefault="00DC00F3" w:rsidP="00FD1249">
      <w:pPr>
        <w:pStyle w:val="Reminders"/>
        <w:tabs>
          <w:tab w:val="num" w:pos="360"/>
        </w:tabs>
        <w:rPr>
          <w:rFonts w:ascii="Arial" w:hAnsi="Arial" w:cs="Arial"/>
          <w:i w:val="0"/>
          <w:color w:val="auto"/>
          <w:sz w:val="20"/>
          <w:szCs w:val="20"/>
        </w:rPr>
      </w:pPr>
    </w:p>
    <w:p w14:paraId="50FB20FC" w14:textId="657C1D2D" w:rsidR="008B68A5" w:rsidRPr="00DC00F3" w:rsidRDefault="00DC00F3" w:rsidP="00FD1249">
      <w:pPr>
        <w:pStyle w:val="Reminders"/>
        <w:tabs>
          <w:tab w:val="num" w:pos="360"/>
        </w:tabs>
        <w:rPr>
          <w:rFonts w:ascii="Arial" w:hAnsi="Arial" w:cs="Arial"/>
          <w:i w:val="0"/>
          <w:color w:val="auto"/>
          <w:sz w:val="20"/>
          <w:szCs w:val="20"/>
        </w:rPr>
      </w:pPr>
      <w:r w:rsidRPr="00DC00F3">
        <w:rPr>
          <w:rFonts w:ascii="Arial" w:hAnsi="Arial" w:cs="Arial"/>
          <w:i w:val="0"/>
          <w:color w:val="auto"/>
          <w:sz w:val="20"/>
          <w:szCs w:val="20"/>
        </w:rPr>
        <w:t>Older, top-loading clothes washers represent up to 20 percent of a household’s indoor water usage and 10 percent of a household’s overall water use.</w:t>
      </w:r>
      <w:r w:rsidRPr="00DC00F3">
        <w:rPr>
          <w:rStyle w:val="EndnoteReference"/>
          <w:rFonts w:ascii="Arial" w:hAnsi="Arial" w:cs="Arial"/>
          <w:i w:val="0"/>
          <w:color w:val="auto"/>
          <w:sz w:val="20"/>
          <w:szCs w:val="20"/>
        </w:rPr>
        <w:endnoteReference w:id="1"/>
      </w:r>
      <w:r w:rsidRPr="00DC00F3">
        <w:rPr>
          <w:rFonts w:ascii="Arial" w:hAnsi="Arial" w:cs="Arial"/>
          <w:i w:val="0"/>
          <w:color w:val="auto"/>
          <w:sz w:val="20"/>
          <w:szCs w:val="20"/>
        </w:rPr>
        <w:t xml:space="preserve"> According to the 2012 California Lighting and Appliance Saturation Study</w:t>
      </w:r>
      <w:r>
        <w:rPr>
          <w:rFonts w:ascii="Arial" w:hAnsi="Arial" w:cs="Arial"/>
          <w:i w:val="0"/>
          <w:color w:val="auto"/>
          <w:sz w:val="20"/>
          <w:szCs w:val="20"/>
        </w:rPr>
        <w:t xml:space="preserve"> (CLASS)</w:t>
      </w:r>
      <w:r w:rsidRPr="00DC00F3">
        <w:rPr>
          <w:rFonts w:ascii="Arial" w:hAnsi="Arial" w:cs="Arial"/>
          <w:i w:val="0"/>
          <w:color w:val="auto"/>
          <w:sz w:val="20"/>
          <w:szCs w:val="20"/>
        </w:rPr>
        <w:t>,</w:t>
      </w:r>
      <w:r w:rsidRPr="00DC00F3">
        <w:rPr>
          <w:rStyle w:val="EndnoteReference"/>
          <w:rFonts w:ascii="Arial" w:hAnsi="Arial" w:cs="Arial"/>
          <w:i w:val="0"/>
          <w:color w:val="auto"/>
          <w:sz w:val="20"/>
          <w:szCs w:val="20"/>
        </w:rPr>
        <w:endnoteReference w:id="2"/>
      </w:r>
      <w:r w:rsidRPr="00DC00F3">
        <w:rPr>
          <w:rFonts w:ascii="Arial" w:hAnsi="Arial" w:cs="Arial"/>
          <w:i w:val="0"/>
          <w:color w:val="auto"/>
          <w:sz w:val="20"/>
          <w:szCs w:val="20"/>
        </w:rPr>
        <w:t xml:space="preserve"> more than two-thirds of residential clothes washers in use are top-loading machines, which generally are the greatest consumers of both water and energy. Further, nearly 55 percent of top-loading machines in use are more than 10 years old—purchased well before the most recent efficiency standards became effective.</w:t>
      </w:r>
    </w:p>
    <w:p w14:paraId="4D2D525E" w14:textId="77777777" w:rsidR="008B68A5" w:rsidRDefault="008B68A5" w:rsidP="00FD1249">
      <w:pPr>
        <w:pStyle w:val="Reminders"/>
        <w:tabs>
          <w:tab w:val="num" w:pos="360"/>
        </w:tabs>
        <w:rPr>
          <w:rFonts w:ascii="Arial" w:hAnsi="Arial" w:cs="Arial"/>
          <w:i w:val="0"/>
          <w:color w:val="auto"/>
          <w:sz w:val="20"/>
          <w:szCs w:val="20"/>
        </w:rPr>
      </w:pPr>
    </w:p>
    <w:p w14:paraId="40632B53" w14:textId="5E097023" w:rsidR="008B68A5" w:rsidRDefault="008B68A5" w:rsidP="00FD1249">
      <w:pPr>
        <w:pStyle w:val="Reminders"/>
        <w:tabs>
          <w:tab w:val="num" w:pos="360"/>
        </w:tabs>
        <w:rPr>
          <w:rFonts w:ascii="Arial" w:hAnsi="Arial" w:cs="Arial"/>
          <w:i w:val="0"/>
          <w:color w:val="auto"/>
          <w:sz w:val="20"/>
          <w:szCs w:val="20"/>
        </w:rPr>
      </w:pPr>
      <w:r w:rsidRPr="008B68A5">
        <w:rPr>
          <w:rFonts w:ascii="Arial" w:hAnsi="Arial" w:cs="Arial"/>
          <w:i w:val="0"/>
          <w:color w:val="auto"/>
          <w:sz w:val="20"/>
          <w:szCs w:val="20"/>
        </w:rPr>
        <w:t>Historically, top-loading clothes washers (typically, vertical-axis) contained a center agitator to remove dirt and stains from clothes. Within the last few years, more efficient top-loaders that use impeller technology (instead of a center agitator) have entered the market. Yet many of these “legacy design” top-loaders with center agitators remain in use. Newer top-loaders with impellers typically use less water and energy than conventionally-designed top-loaders, where the center agitator physically agitates the clothes. In contrast, newer, more efficient top-loaders with impeller technology utilize a moving plate to swirl the water and clothes around. Today’s top-loaders also generally have f</w:t>
      </w:r>
      <w:r w:rsidR="000610A1">
        <w:rPr>
          <w:rFonts w:ascii="Arial" w:hAnsi="Arial" w:cs="Arial"/>
          <w:i w:val="0"/>
          <w:color w:val="auto"/>
          <w:sz w:val="20"/>
          <w:szCs w:val="20"/>
        </w:rPr>
        <w:t>aster spin speeds, which result</w:t>
      </w:r>
      <w:r w:rsidRPr="008B68A5">
        <w:rPr>
          <w:rFonts w:ascii="Arial" w:hAnsi="Arial" w:cs="Arial"/>
          <w:i w:val="0"/>
          <w:color w:val="auto"/>
          <w:sz w:val="20"/>
          <w:szCs w:val="20"/>
        </w:rPr>
        <w:t xml:space="preserve"> in bet</w:t>
      </w:r>
      <w:r w:rsidR="000610A1">
        <w:rPr>
          <w:rFonts w:ascii="Arial" w:hAnsi="Arial" w:cs="Arial"/>
          <w:i w:val="0"/>
          <w:color w:val="auto"/>
          <w:sz w:val="20"/>
          <w:szCs w:val="20"/>
        </w:rPr>
        <w:t>ter water extraction and reduce</w:t>
      </w:r>
      <w:r w:rsidRPr="008B68A5">
        <w:rPr>
          <w:rFonts w:ascii="Arial" w:hAnsi="Arial" w:cs="Arial"/>
          <w:i w:val="0"/>
          <w:color w:val="auto"/>
          <w:sz w:val="20"/>
          <w:szCs w:val="20"/>
        </w:rPr>
        <w:t xml:space="preserve"> the energy needed for drying.  </w:t>
      </w:r>
    </w:p>
    <w:p w14:paraId="0C78F851" w14:textId="77777777" w:rsidR="00DC00F3" w:rsidRDefault="00DC00F3" w:rsidP="00FD1249">
      <w:pPr>
        <w:pStyle w:val="Reminders"/>
        <w:tabs>
          <w:tab w:val="num" w:pos="360"/>
        </w:tabs>
        <w:rPr>
          <w:rFonts w:ascii="Arial" w:hAnsi="Arial" w:cs="Arial"/>
          <w:i w:val="0"/>
          <w:color w:val="auto"/>
          <w:sz w:val="20"/>
          <w:szCs w:val="20"/>
        </w:rPr>
      </w:pPr>
    </w:p>
    <w:p w14:paraId="45878007" w14:textId="1F3733FD" w:rsidR="00DC00F3" w:rsidRPr="00DC00F3" w:rsidRDefault="00DC00F3" w:rsidP="00DC00F3">
      <w:pPr>
        <w:rPr>
          <w:rFonts w:cs="Arial"/>
          <w:sz w:val="20"/>
          <w:szCs w:val="20"/>
        </w:rPr>
      </w:pPr>
      <w:r w:rsidRPr="00DC00F3">
        <w:rPr>
          <w:rFonts w:cs="Arial"/>
          <w:sz w:val="20"/>
          <w:szCs w:val="20"/>
        </w:rPr>
        <w:t xml:space="preserve">There are nearly 1 million new clothes washers purchased in California each year, and </w:t>
      </w:r>
      <w:r>
        <w:rPr>
          <w:rFonts w:cs="Arial"/>
          <w:sz w:val="20"/>
          <w:szCs w:val="20"/>
        </w:rPr>
        <w:t>many of these purchases</w:t>
      </w:r>
      <w:r w:rsidRPr="00DC00F3">
        <w:rPr>
          <w:rFonts w:cs="Arial"/>
          <w:sz w:val="20"/>
          <w:szCs w:val="20"/>
        </w:rPr>
        <w:t xml:space="preserve"> likely are replacing old, inefficient top-loaders. There is a key near-term opportunity to ensure that these old, inefficient clothes washers being replaced are recycled instead of being sold or given away</w:t>
      </w:r>
      <w:r w:rsidR="004312DA">
        <w:rPr>
          <w:rFonts w:cs="Arial"/>
          <w:sz w:val="20"/>
          <w:szCs w:val="20"/>
        </w:rPr>
        <w:t xml:space="preserve"> to a recipient household</w:t>
      </w:r>
      <w:r w:rsidR="00FB7F9E">
        <w:rPr>
          <w:rFonts w:cs="Arial"/>
          <w:sz w:val="20"/>
          <w:szCs w:val="20"/>
        </w:rPr>
        <w:t>—</w:t>
      </w:r>
      <w:r w:rsidR="00774170">
        <w:rPr>
          <w:rFonts w:cs="Arial"/>
          <w:sz w:val="20"/>
          <w:szCs w:val="20"/>
        </w:rPr>
        <w:t xml:space="preserve">surveys suggest </w:t>
      </w:r>
      <w:r>
        <w:rPr>
          <w:rFonts w:cs="Arial"/>
          <w:sz w:val="20"/>
          <w:szCs w:val="20"/>
        </w:rPr>
        <w:t>more than half of</w:t>
      </w:r>
      <w:r w:rsidRPr="00DC00F3">
        <w:rPr>
          <w:rFonts w:cs="Arial"/>
          <w:sz w:val="20"/>
          <w:szCs w:val="20"/>
        </w:rPr>
        <w:t xml:space="preserve"> working top-loading clothes washers being replaced </w:t>
      </w:r>
      <w:r>
        <w:rPr>
          <w:rFonts w:cs="Arial"/>
          <w:sz w:val="20"/>
          <w:szCs w:val="20"/>
        </w:rPr>
        <w:t>likely remain in use through the</w:t>
      </w:r>
      <w:r w:rsidRPr="00DC00F3">
        <w:rPr>
          <w:rFonts w:cs="Arial"/>
          <w:sz w:val="20"/>
          <w:szCs w:val="20"/>
        </w:rPr>
        <w:t xml:space="preserve"> secondary market.</w:t>
      </w:r>
      <w:r w:rsidRPr="00DC00F3">
        <w:rPr>
          <w:rStyle w:val="EndnoteReference"/>
          <w:rFonts w:cs="Arial"/>
          <w:sz w:val="20"/>
          <w:szCs w:val="20"/>
        </w:rPr>
        <w:endnoteReference w:id="3"/>
      </w:r>
    </w:p>
    <w:p w14:paraId="17DAF220" w14:textId="77777777" w:rsidR="00DC00F3" w:rsidRPr="008B68A5" w:rsidRDefault="00DC00F3" w:rsidP="00FD1249">
      <w:pPr>
        <w:pStyle w:val="Reminders"/>
        <w:tabs>
          <w:tab w:val="num" w:pos="360"/>
        </w:tabs>
        <w:rPr>
          <w:rFonts w:ascii="Arial" w:hAnsi="Arial" w:cs="Arial"/>
          <w:i w:val="0"/>
          <w:color w:val="auto"/>
          <w:sz w:val="20"/>
          <w:szCs w:val="20"/>
        </w:rPr>
      </w:pPr>
    </w:p>
    <w:p w14:paraId="36EF1DEB" w14:textId="77D28795" w:rsidR="009341FB" w:rsidRPr="009341FB" w:rsidRDefault="009341FB" w:rsidP="00607339">
      <w:pPr>
        <w:pStyle w:val="Heading2-CalTF2"/>
      </w:pPr>
      <w:bookmarkStart w:id="23" w:name="_Toc385592984"/>
      <w:bookmarkStart w:id="24" w:name="_Toc304800203"/>
      <w:bookmarkStart w:id="25" w:name="_Toc324318339"/>
      <w:bookmarkStart w:id="26" w:name="_Toc324340483"/>
      <w:r w:rsidRPr="009341FB">
        <w:t xml:space="preserve">Program </w:t>
      </w:r>
      <w:r w:rsidR="00327347">
        <w:t>Implementation</w:t>
      </w:r>
      <w:r w:rsidRPr="009341FB">
        <w:t xml:space="preserve"> Overview</w:t>
      </w:r>
      <w:bookmarkEnd w:id="23"/>
    </w:p>
    <w:p w14:paraId="35541613" w14:textId="6C4D8070" w:rsidR="00C17DDD" w:rsidRPr="007112FD" w:rsidRDefault="00327347" w:rsidP="00C17DDD">
      <w:pPr>
        <w:spacing w:after="60"/>
        <w:rPr>
          <w:rFonts w:cs="Arial"/>
          <w:b/>
          <w:sz w:val="20"/>
          <w:szCs w:val="20"/>
        </w:rPr>
      </w:pPr>
      <w:r>
        <w:rPr>
          <w:rFonts w:cs="Arial"/>
          <w:b/>
          <w:sz w:val="20"/>
          <w:szCs w:val="20"/>
        </w:rPr>
        <w:t>Implementation Methods</w:t>
      </w:r>
    </w:p>
    <w:p w14:paraId="7A0E8428" w14:textId="77777777" w:rsidR="003E400E" w:rsidRDefault="003E400E" w:rsidP="00E912AE">
      <w:pPr>
        <w:rPr>
          <w:sz w:val="20"/>
          <w:szCs w:val="20"/>
        </w:rPr>
      </w:pPr>
    </w:p>
    <w:p w14:paraId="3AE1C720" w14:textId="77777777" w:rsidR="00E912AE" w:rsidRPr="00E912AE" w:rsidRDefault="00E912AE" w:rsidP="00E912AE">
      <w:pPr>
        <w:rPr>
          <w:sz w:val="20"/>
          <w:szCs w:val="20"/>
        </w:rPr>
      </w:pPr>
      <w:r w:rsidRPr="00E912AE">
        <w:rPr>
          <w:sz w:val="20"/>
          <w:szCs w:val="20"/>
        </w:rPr>
        <w:t xml:space="preserve">This measure would involve downstream program delivery whereby customers receive a monetary incentive for allowing retailers to pick up qualified old clothes washers during delivery of a new clothes washer. Vendors would then retrieve these units from retailer warehouses for demanufacturing and </w:t>
      </w:r>
      <w:r w:rsidRPr="00E912AE">
        <w:rPr>
          <w:sz w:val="20"/>
          <w:szCs w:val="20"/>
        </w:rPr>
        <w:lastRenderedPageBreak/>
        <w:t xml:space="preserve">recycling. This is the preferred approach as the recycling pick-up is coincident with delivery of the new washer, thus reducing burdens on the customer and eliminating costs associated with a separate pick-up.      </w:t>
      </w:r>
    </w:p>
    <w:p w14:paraId="02A0EE12" w14:textId="77777777" w:rsidR="00E912AE" w:rsidRPr="00E912AE" w:rsidRDefault="00E912AE" w:rsidP="00E912AE">
      <w:pPr>
        <w:rPr>
          <w:sz w:val="20"/>
          <w:szCs w:val="20"/>
        </w:rPr>
      </w:pPr>
    </w:p>
    <w:p w14:paraId="72D9DB0A" w14:textId="77777777" w:rsidR="00E912AE" w:rsidRPr="00E912AE" w:rsidRDefault="00E912AE" w:rsidP="00E912AE">
      <w:pPr>
        <w:rPr>
          <w:sz w:val="20"/>
          <w:szCs w:val="20"/>
        </w:rPr>
      </w:pPr>
      <w:r w:rsidRPr="00E912AE">
        <w:rPr>
          <w:sz w:val="20"/>
          <w:szCs w:val="20"/>
        </w:rPr>
        <w:t xml:space="preserve">A second option would be to allow for the scheduling of used clothes washer pick-up in the same manner as existing utility recycling programs for refrigerators and freezers. This approach would enable customers who purchase their new clothes washers from a non-participating retailer or customers with second units to receive a rebate for recycling their units. Transportation and administrative costs with this option, however, would be higher.  </w:t>
      </w:r>
    </w:p>
    <w:p w14:paraId="2AB4F8CF" w14:textId="77777777" w:rsidR="00E912AE" w:rsidRPr="00E912AE" w:rsidRDefault="00E912AE" w:rsidP="00E912AE">
      <w:pPr>
        <w:rPr>
          <w:sz w:val="20"/>
          <w:szCs w:val="20"/>
        </w:rPr>
      </w:pPr>
    </w:p>
    <w:p w14:paraId="7BB9F66F" w14:textId="159CC6CA" w:rsidR="0020781A" w:rsidRPr="00E912AE" w:rsidRDefault="00E912AE" w:rsidP="00E912AE">
      <w:pPr>
        <w:rPr>
          <w:sz w:val="20"/>
          <w:szCs w:val="20"/>
        </w:rPr>
      </w:pPr>
      <w:r w:rsidRPr="00E912AE">
        <w:rPr>
          <w:sz w:val="20"/>
          <w:szCs w:val="20"/>
        </w:rPr>
        <w:t>A midstream incentive that provides a rebate to retailers and/or appliance delivery/pick-up vendors in exchange for used clothes washers that meet the necessary specifications also may be implemented. Interviews with industry experts suggest that 25% of the used clothes washers that recyclers receive from retailers and residential households are resold and remain in use.</w:t>
      </w:r>
      <w:r w:rsidR="0020781A" w:rsidRPr="00E912AE">
        <w:rPr>
          <w:rStyle w:val="EndnoteReference"/>
          <w:sz w:val="20"/>
          <w:szCs w:val="20"/>
        </w:rPr>
        <w:endnoteReference w:id="4"/>
      </w:r>
      <w:r w:rsidR="00754695">
        <w:rPr>
          <w:sz w:val="20"/>
          <w:szCs w:val="20"/>
        </w:rPr>
        <w:t xml:space="preserve"> More broadly, approximately 30-40% of all used appliances picked up by retailers are resold instead of recycled.</w:t>
      </w:r>
      <w:r w:rsidR="00754695">
        <w:rPr>
          <w:rStyle w:val="EndnoteReference"/>
          <w:sz w:val="20"/>
          <w:szCs w:val="20"/>
        </w:rPr>
        <w:endnoteReference w:id="5"/>
      </w:r>
    </w:p>
    <w:p w14:paraId="4AA0DD30" w14:textId="77777777" w:rsidR="00ED5593" w:rsidRDefault="00ED5593" w:rsidP="00C55BED">
      <w:pPr>
        <w:spacing w:after="60"/>
        <w:rPr>
          <w:rFonts w:cs="Arial"/>
          <w:b/>
          <w:sz w:val="20"/>
          <w:szCs w:val="20"/>
        </w:rPr>
      </w:pPr>
    </w:p>
    <w:p w14:paraId="48610D4A" w14:textId="77777777" w:rsidR="003E400E" w:rsidRDefault="003E400E" w:rsidP="00C55BED">
      <w:pPr>
        <w:spacing w:after="60"/>
        <w:rPr>
          <w:rFonts w:cs="Arial"/>
          <w:b/>
          <w:sz w:val="20"/>
          <w:szCs w:val="20"/>
        </w:rPr>
      </w:pPr>
    </w:p>
    <w:p w14:paraId="2B3149DD" w14:textId="77777777" w:rsidR="007112FD" w:rsidRPr="007112FD" w:rsidRDefault="007112FD" w:rsidP="00C55BED">
      <w:pPr>
        <w:spacing w:after="60"/>
        <w:rPr>
          <w:rFonts w:cs="Arial"/>
          <w:b/>
          <w:sz w:val="20"/>
          <w:szCs w:val="20"/>
        </w:rPr>
      </w:pPr>
      <w:r w:rsidRPr="007112FD">
        <w:rPr>
          <w:rFonts w:cs="Arial"/>
          <w:b/>
          <w:sz w:val="20"/>
          <w:szCs w:val="20"/>
        </w:rPr>
        <w:t>Program Restrictions and Guidelines</w:t>
      </w:r>
    </w:p>
    <w:p w14:paraId="19F0DD28" w14:textId="77777777" w:rsidR="003E400E" w:rsidRDefault="003E400E" w:rsidP="0091205E">
      <w:pPr>
        <w:rPr>
          <w:sz w:val="20"/>
          <w:szCs w:val="20"/>
        </w:rPr>
      </w:pPr>
    </w:p>
    <w:p w14:paraId="28E75DB8" w14:textId="33D582FE" w:rsidR="0091205E" w:rsidRDefault="0091205E" w:rsidP="0091205E">
      <w:pPr>
        <w:rPr>
          <w:sz w:val="20"/>
          <w:szCs w:val="20"/>
        </w:rPr>
      </w:pPr>
      <w:r w:rsidRPr="0091205E">
        <w:rPr>
          <w:sz w:val="20"/>
          <w:szCs w:val="20"/>
        </w:rPr>
        <w:t xml:space="preserve">Eligible units for this program are </w:t>
      </w:r>
      <w:r w:rsidR="00A73A52">
        <w:rPr>
          <w:sz w:val="20"/>
          <w:szCs w:val="20"/>
        </w:rPr>
        <w:t xml:space="preserve">working, </w:t>
      </w:r>
      <w:r w:rsidRPr="0091205E">
        <w:rPr>
          <w:sz w:val="20"/>
          <w:szCs w:val="20"/>
        </w:rPr>
        <w:t>top-loading residential clothes washers with a center agitator that are at least five years old</w:t>
      </w:r>
      <w:r w:rsidR="00692BE2">
        <w:rPr>
          <w:sz w:val="20"/>
          <w:szCs w:val="20"/>
        </w:rPr>
        <w:t xml:space="preserve"> (</w:t>
      </w:r>
      <w:r w:rsidR="00774170">
        <w:rPr>
          <w:sz w:val="20"/>
          <w:szCs w:val="20"/>
        </w:rPr>
        <w:t xml:space="preserve">example </w:t>
      </w:r>
      <w:r w:rsidR="00692BE2">
        <w:rPr>
          <w:sz w:val="20"/>
          <w:szCs w:val="20"/>
        </w:rPr>
        <w:t>shown in Figure 1)</w:t>
      </w:r>
      <w:r w:rsidRPr="0091205E">
        <w:rPr>
          <w:sz w:val="20"/>
          <w:szCs w:val="20"/>
        </w:rPr>
        <w:t xml:space="preserve">. These types of clothes washers are typically found in single-family </w:t>
      </w:r>
      <w:r w:rsidR="00104E0A">
        <w:rPr>
          <w:sz w:val="20"/>
          <w:szCs w:val="20"/>
        </w:rPr>
        <w:t>homes and in individual units and laundry common areas</w:t>
      </w:r>
      <w:r w:rsidR="00104E0A" w:rsidRPr="0091205E">
        <w:rPr>
          <w:sz w:val="20"/>
          <w:szCs w:val="20"/>
        </w:rPr>
        <w:t xml:space="preserve"> </w:t>
      </w:r>
      <w:r w:rsidR="00104E0A">
        <w:rPr>
          <w:sz w:val="20"/>
          <w:szCs w:val="20"/>
        </w:rPr>
        <w:t xml:space="preserve">in </w:t>
      </w:r>
      <w:r w:rsidRPr="0091205E">
        <w:rPr>
          <w:sz w:val="20"/>
          <w:szCs w:val="20"/>
        </w:rPr>
        <w:t xml:space="preserve">multi-family </w:t>
      </w:r>
      <w:r w:rsidR="00104E0A">
        <w:rPr>
          <w:sz w:val="20"/>
          <w:szCs w:val="20"/>
        </w:rPr>
        <w:t>buildings</w:t>
      </w:r>
      <w:r w:rsidRPr="0091205E">
        <w:rPr>
          <w:sz w:val="20"/>
          <w:szCs w:val="20"/>
        </w:rPr>
        <w:t>.</w:t>
      </w:r>
      <w:r w:rsidR="004C416E">
        <w:rPr>
          <w:sz w:val="20"/>
          <w:szCs w:val="20"/>
        </w:rPr>
        <w:t xml:space="preserve"> </w:t>
      </w:r>
      <w:r w:rsidR="004C416E" w:rsidRPr="004C416E">
        <w:rPr>
          <w:sz w:val="20"/>
          <w:szCs w:val="20"/>
        </w:rPr>
        <w:t>While it is unlikely that working clothes washers less than five years old would be recycled through the program (in the absence of a manufacturing defect or other significant issue), the age restriction eliminate</w:t>
      </w:r>
      <w:r w:rsidR="00DF4C71">
        <w:rPr>
          <w:sz w:val="20"/>
          <w:szCs w:val="20"/>
        </w:rPr>
        <w:t>s</w:t>
      </w:r>
      <w:r w:rsidR="004C416E" w:rsidRPr="004C416E">
        <w:rPr>
          <w:sz w:val="20"/>
          <w:szCs w:val="20"/>
        </w:rPr>
        <w:t xml:space="preserve"> concerns about potentially recycling clothes washers whose purchases were incented by an utility incentive program in a previous year.  </w:t>
      </w:r>
      <w:r w:rsidRPr="0091205E">
        <w:rPr>
          <w:sz w:val="20"/>
          <w:szCs w:val="20"/>
        </w:rPr>
        <w:t xml:space="preserve"> </w:t>
      </w:r>
    </w:p>
    <w:p w14:paraId="20A55831" w14:textId="77777777" w:rsidR="0012508B" w:rsidRDefault="0012508B" w:rsidP="0091205E">
      <w:pPr>
        <w:rPr>
          <w:sz w:val="20"/>
          <w:szCs w:val="20"/>
        </w:rPr>
      </w:pPr>
    </w:p>
    <w:p w14:paraId="6FD23207" w14:textId="77777777" w:rsidR="0012508B" w:rsidRDefault="0012508B" w:rsidP="0012508B">
      <w:pPr>
        <w:keepNext/>
        <w:jc w:val="center"/>
      </w:pPr>
      <w:r>
        <w:rPr>
          <w:noProof/>
          <w:sz w:val="20"/>
          <w:szCs w:val="20"/>
        </w:rPr>
        <w:drawing>
          <wp:inline distT="0" distB="0" distL="0" distR="0" wp14:anchorId="4DF2AA66" wp14:editId="45519AE1">
            <wp:extent cx="28194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_prod_183143101.jpg"/>
                    <pic:cNvPicPr/>
                  </pic:nvPicPr>
                  <pic:blipFill>
                    <a:blip r:embed="rId24">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p>
    <w:p w14:paraId="023508FA" w14:textId="683503CC" w:rsidR="0012508B" w:rsidRPr="0091205E" w:rsidRDefault="0012508B" w:rsidP="0012508B">
      <w:pPr>
        <w:pStyle w:val="Caption"/>
        <w:jc w:val="center"/>
      </w:pPr>
      <w:r>
        <w:t xml:space="preserve">Figure </w:t>
      </w:r>
      <w:fldSimple w:instr=" SEQ Figure \* ARABIC ">
        <w:r w:rsidR="00233805">
          <w:rPr>
            <w:noProof/>
          </w:rPr>
          <w:t>1</w:t>
        </w:r>
      </w:fldSimple>
      <w:r>
        <w:t>. Residential top-loading clothes washer with center agitator</w:t>
      </w:r>
    </w:p>
    <w:p w14:paraId="45E2CD36" w14:textId="77777777" w:rsidR="0091205E" w:rsidRPr="00FD1249" w:rsidRDefault="0091205E" w:rsidP="007112FD">
      <w:pPr>
        <w:rPr>
          <w:rFonts w:cs="Arial"/>
          <w:color w:val="FF0000"/>
          <w:sz w:val="20"/>
          <w:szCs w:val="20"/>
        </w:rPr>
      </w:pPr>
    </w:p>
    <w:p w14:paraId="4E47ADD8" w14:textId="77777777" w:rsidR="003E400E" w:rsidRDefault="003E400E" w:rsidP="00C17DDD">
      <w:pPr>
        <w:spacing w:after="60"/>
        <w:rPr>
          <w:rFonts w:cs="Arial"/>
          <w:b/>
          <w:sz w:val="20"/>
          <w:szCs w:val="20"/>
        </w:rPr>
      </w:pPr>
    </w:p>
    <w:p w14:paraId="26284D1D" w14:textId="5D4A02C2" w:rsidR="00C17DDD" w:rsidRPr="007112FD" w:rsidRDefault="00C17DDD" w:rsidP="00C17DDD">
      <w:pPr>
        <w:spacing w:after="60"/>
        <w:rPr>
          <w:rFonts w:cs="Arial"/>
          <w:b/>
          <w:sz w:val="20"/>
          <w:szCs w:val="20"/>
        </w:rPr>
      </w:pPr>
      <w:r>
        <w:rPr>
          <w:rFonts w:cs="Arial"/>
          <w:b/>
          <w:sz w:val="20"/>
          <w:szCs w:val="20"/>
        </w:rPr>
        <w:t>Measure Application Type</w:t>
      </w:r>
    </w:p>
    <w:p w14:paraId="2EE508C4" w14:textId="77777777" w:rsidR="003E400E" w:rsidRDefault="003E400E" w:rsidP="007112FD">
      <w:pPr>
        <w:rPr>
          <w:rFonts w:cs="Arial"/>
          <w:sz w:val="20"/>
          <w:szCs w:val="20"/>
        </w:rPr>
      </w:pPr>
    </w:p>
    <w:p w14:paraId="7297ECEE" w14:textId="27297B36" w:rsidR="00C754A5" w:rsidRDefault="000154C6" w:rsidP="007112FD">
      <w:pPr>
        <w:rPr>
          <w:rFonts w:cs="Arial"/>
          <w:sz w:val="20"/>
          <w:szCs w:val="20"/>
        </w:rPr>
      </w:pPr>
      <w:r>
        <w:rPr>
          <w:rFonts w:cs="Arial"/>
          <w:sz w:val="20"/>
          <w:szCs w:val="20"/>
        </w:rPr>
        <w:t>As this measure seeks the removal of</w:t>
      </w:r>
      <w:r w:rsidR="00C754A5">
        <w:rPr>
          <w:rFonts w:cs="Arial"/>
          <w:sz w:val="20"/>
          <w:szCs w:val="20"/>
        </w:rPr>
        <w:t xml:space="preserve"> working, inefficient clothes washers from</w:t>
      </w:r>
      <w:r>
        <w:rPr>
          <w:rFonts w:cs="Arial"/>
          <w:sz w:val="20"/>
          <w:szCs w:val="20"/>
        </w:rPr>
        <w:t xml:space="preserve"> service by preventing them from en</w:t>
      </w:r>
      <w:r w:rsidR="005B36EE">
        <w:rPr>
          <w:rFonts w:cs="Arial"/>
          <w:sz w:val="20"/>
          <w:szCs w:val="20"/>
        </w:rPr>
        <w:t>tering</w:t>
      </w:r>
      <w:r w:rsidR="00C754A5">
        <w:rPr>
          <w:rFonts w:cs="Arial"/>
          <w:sz w:val="20"/>
          <w:szCs w:val="20"/>
        </w:rPr>
        <w:t xml:space="preserve"> the secondary market, it is early retirement (ER). </w:t>
      </w:r>
    </w:p>
    <w:p w14:paraId="5E75B462" w14:textId="77777777" w:rsidR="00526C7C" w:rsidRDefault="00526C7C" w:rsidP="007112FD">
      <w:pPr>
        <w:rPr>
          <w:rFonts w:cs="Arial"/>
          <w:sz w:val="20"/>
          <w:szCs w:val="20"/>
        </w:rPr>
      </w:pPr>
    </w:p>
    <w:p w14:paraId="59F0D41D" w14:textId="77777777" w:rsidR="00526C7C" w:rsidRPr="00A95023" w:rsidRDefault="00526C7C" w:rsidP="00526C7C">
      <w:pPr>
        <w:spacing w:after="60"/>
        <w:rPr>
          <w:rFonts w:cs="Arial"/>
          <w:b/>
          <w:sz w:val="20"/>
          <w:szCs w:val="20"/>
        </w:rPr>
      </w:pPr>
      <w:r w:rsidRPr="00A95023">
        <w:rPr>
          <w:rFonts w:cs="Arial"/>
          <w:b/>
          <w:sz w:val="20"/>
          <w:szCs w:val="20"/>
        </w:rPr>
        <w:t>Implementation Requirements</w:t>
      </w:r>
    </w:p>
    <w:p w14:paraId="10CE6B23" w14:textId="77777777" w:rsidR="00526C7C" w:rsidRDefault="00526C7C" w:rsidP="007112FD">
      <w:pPr>
        <w:rPr>
          <w:rFonts w:cs="Arial"/>
          <w:sz w:val="20"/>
          <w:szCs w:val="20"/>
        </w:rPr>
      </w:pPr>
    </w:p>
    <w:p w14:paraId="0D7B95C8" w14:textId="6D0B6B3F" w:rsidR="007234D2" w:rsidRPr="00C754A5" w:rsidRDefault="007234D2" w:rsidP="007112FD">
      <w:pPr>
        <w:rPr>
          <w:rFonts w:cs="Arial"/>
          <w:sz w:val="20"/>
          <w:szCs w:val="20"/>
        </w:rPr>
      </w:pPr>
      <w:r>
        <w:rPr>
          <w:rFonts w:cs="Arial"/>
          <w:sz w:val="20"/>
          <w:szCs w:val="20"/>
        </w:rPr>
        <w:t xml:space="preserve">Implementer will need to verify clothes washer type, vintage, and working condition during pick-up at customer household to ensure eligibility. Additionally, implementation and subsequent EM&amp;V will support data collection on baseline energy consumption and inform future work paper revisions.    </w:t>
      </w:r>
    </w:p>
    <w:p w14:paraId="2C8CD3CC" w14:textId="5093A8CB" w:rsidR="003F526B" w:rsidRDefault="001952E6" w:rsidP="00607339">
      <w:pPr>
        <w:pStyle w:val="Heading2-CalTF2"/>
      </w:pPr>
      <w:bookmarkStart w:id="27" w:name="_Toc304800204"/>
      <w:bookmarkStart w:id="28" w:name="_Toc324318340"/>
      <w:bookmarkStart w:id="29" w:name="_Toc324340484"/>
      <w:bookmarkStart w:id="30" w:name="_Toc385592985"/>
      <w:bookmarkEnd w:id="24"/>
      <w:bookmarkEnd w:id="25"/>
      <w:bookmarkEnd w:id="26"/>
      <w:r>
        <w:t>Product Parameter</w:t>
      </w:r>
      <w:r w:rsidR="00806070" w:rsidRPr="00960D9F">
        <w:t xml:space="preserve"> Data</w:t>
      </w:r>
      <w:bookmarkStart w:id="31" w:name="_Toc304800205"/>
      <w:bookmarkStart w:id="32" w:name="_Toc324318341"/>
      <w:bookmarkStart w:id="33" w:name="_Toc324340485"/>
      <w:bookmarkEnd w:id="27"/>
      <w:bookmarkEnd w:id="28"/>
      <w:bookmarkEnd w:id="29"/>
      <w:bookmarkEnd w:id="30"/>
    </w:p>
    <w:p w14:paraId="580255BD" w14:textId="0A1D5B62" w:rsidR="00B10F5F" w:rsidRPr="00F81AAE" w:rsidRDefault="00C069A2" w:rsidP="00F81AAE">
      <w:pPr>
        <w:pStyle w:val="Heading3-CalTFStyle31"/>
      </w:pPr>
      <w:bookmarkStart w:id="34" w:name="_Toc385592986"/>
      <w:r w:rsidRPr="00F81AAE">
        <w:t xml:space="preserve">DEER </w:t>
      </w:r>
      <w:bookmarkEnd w:id="31"/>
      <w:bookmarkEnd w:id="32"/>
      <w:bookmarkEnd w:id="33"/>
      <w:r w:rsidR="00A01F57" w:rsidRPr="00F81AAE">
        <w:t>Data</w:t>
      </w:r>
      <w:bookmarkEnd w:id="34"/>
      <w:r w:rsidR="00A01F57" w:rsidRPr="00F81AAE">
        <w:t xml:space="preserve"> </w:t>
      </w:r>
    </w:p>
    <w:p w14:paraId="247A7EAB" w14:textId="77777777" w:rsidR="00497A5A" w:rsidRDefault="00497A5A" w:rsidP="00364DA3">
      <w:pPr>
        <w:ind w:left="630"/>
        <w:rPr>
          <w:rFonts w:cs="Arial"/>
          <w:color w:val="FF0000"/>
          <w:sz w:val="20"/>
        </w:rPr>
      </w:pPr>
    </w:p>
    <w:p w14:paraId="04CBF517" w14:textId="62EF0DA2" w:rsidR="00A51117" w:rsidRDefault="00497A5A" w:rsidP="00364DA3">
      <w:pPr>
        <w:ind w:left="630"/>
        <w:rPr>
          <w:rFonts w:cs="Arial"/>
          <w:sz w:val="20"/>
        </w:rPr>
      </w:pPr>
      <w:r>
        <w:rPr>
          <w:rFonts w:cs="Arial"/>
          <w:sz w:val="20"/>
        </w:rPr>
        <w:t xml:space="preserve">The DEER </w:t>
      </w:r>
      <w:r w:rsidR="0078252C">
        <w:rPr>
          <w:rFonts w:cs="Arial"/>
          <w:sz w:val="20"/>
        </w:rPr>
        <w:t xml:space="preserve">does not include </w:t>
      </w:r>
      <w:r w:rsidR="00A51117">
        <w:rPr>
          <w:rFonts w:cs="Arial"/>
          <w:sz w:val="20"/>
        </w:rPr>
        <w:t xml:space="preserve">measures for </w:t>
      </w:r>
      <w:r w:rsidR="0078252C">
        <w:rPr>
          <w:rFonts w:cs="Arial"/>
          <w:sz w:val="20"/>
        </w:rPr>
        <w:t>inefficient clothes washer</w:t>
      </w:r>
      <w:r w:rsidR="00A51117">
        <w:rPr>
          <w:rFonts w:cs="Arial"/>
          <w:sz w:val="20"/>
        </w:rPr>
        <w:t>s</w:t>
      </w:r>
      <w:r w:rsidR="0078252C">
        <w:rPr>
          <w:rFonts w:cs="Arial"/>
          <w:sz w:val="20"/>
        </w:rPr>
        <w:t xml:space="preserve">. </w:t>
      </w:r>
      <w:r w:rsidR="00DF4C71">
        <w:rPr>
          <w:rFonts w:cs="Arial"/>
          <w:sz w:val="20"/>
        </w:rPr>
        <w:t>There is a</w:t>
      </w:r>
      <w:r w:rsidR="00A51117">
        <w:rPr>
          <w:rFonts w:cs="Arial"/>
          <w:sz w:val="20"/>
        </w:rPr>
        <w:t xml:space="preserve"> remaining useful life (RUL) value for high efficiency clothes washers</w:t>
      </w:r>
      <w:r w:rsidR="00DF4C71">
        <w:rPr>
          <w:rFonts w:cs="Arial"/>
          <w:sz w:val="20"/>
        </w:rPr>
        <w:t xml:space="preserve"> in DEER2011</w:t>
      </w:r>
      <w:r w:rsidR="00A51117">
        <w:rPr>
          <w:rFonts w:cs="Arial"/>
          <w:sz w:val="20"/>
        </w:rPr>
        <w:t xml:space="preserve">, which is utilized here as there is </w:t>
      </w:r>
      <w:r w:rsidR="00AB44CE">
        <w:rPr>
          <w:rFonts w:cs="Arial"/>
          <w:sz w:val="20"/>
        </w:rPr>
        <w:t>no</w:t>
      </w:r>
      <w:r w:rsidR="00A51117">
        <w:rPr>
          <w:rFonts w:cs="Arial"/>
          <w:sz w:val="20"/>
        </w:rPr>
        <w:t xml:space="preserve"> other DEER data available.</w:t>
      </w:r>
    </w:p>
    <w:p w14:paraId="78644CDC" w14:textId="77777777" w:rsidR="00A51117" w:rsidRDefault="00A51117" w:rsidP="00364DA3">
      <w:pPr>
        <w:ind w:left="630"/>
        <w:rPr>
          <w:rFonts w:cs="Arial"/>
          <w:sz w:val="20"/>
        </w:rPr>
      </w:pPr>
    </w:p>
    <w:p w14:paraId="0A5A2B6F" w14:textId="57E7AA63" w:rsidR="00497A5A" w:rsidRPr="00497A5A" w:rsidRDefault="00A51117" w:rsidP="00364DA3">
      <w:pPr>
        <w:ind w:left="630"/>
        <w:rPr>
          <w:rFonts w:cs="Arial"/>
          <w:sz w:val="20"/>
        </w:rPr>
      </w:pPr>
      <w:r>
        <w:rPr>
          <w:rFonts w:cs="Arial"/>
          <w:sz w:val="20"/>
        </w:rPr>
        <w:t xml:space="preserve">The DEER does not include any energy savings estimates for this measure, but </w:t>
      </w:r>
      <w:r w:rsidR="00DF4C71">
        <w:rPr>
          <w:rFonts w:cs="Arial"/>
          <w:sz w:val="20"/>
        </w:rPr>
        <w:t>DEER2011</w:t>
      </w:r>
      <w:r>
        <w:rPr>
          <w:rFonts w:cs="Arial"/>
          <w:sz w:val="20"/>
        </w:rPr>
        <w:t xml:space="preserve"> does include measures for refrigerator and freezer recycling. The unit energy savings analysis presented here </w:t>
      </w:r>
      <w:r w:rsidR="001D4E70">
        <w:rPr>
          <w:rFonts w:cs="Arial"/>
          <w:sz w:val="20"/>
        </w:rPr>
        <w:t xml:space="preserve">for clothes washers </w:t>
      </w:r>
      <w:r>
        <w:rPr>
          <w:rFonts w:cs="Arial"/>
          <w:sz w:val="20"/>
        </w:rPr>
        <w:t xml:space="preserve">attempts to </w:t>
      </w:r>
      <w:r w:rsidR="001D4E70">
        <w:rPr>
          <w:rFonts w:cs="Arial"/>
          <w:sz w:val="20"/>
        </w:rPr>
        <w:t>follow</w:t>
      </w:r>
      <w:r>
        <w:rPr>
          <w:rFonts w:cs="Arial"/>
          <w:sz w:val="20"/>
        </w:rPr>
        <w:t xml:space="preserve"> the DEER methodology for these appliance recycling measures</w:t>
      </w:r>
      <w:r w:rsidR="00906C67">
        <w:rPr>
          <w:rFonts w:cs="Arial"/>
          <w:sz w:val="20"/>
        </w:rPr>
        <w:t>. H</w:t>
      </w:r>
      <w:r>
        <w:rPr>
          <w:rFonts w:cs="Arial"/>
          <w:sz w:val="20"/>
        </w:rPr>
        <w:t xml:space="preserve">owever, </w:t>
      </w:r>
      <w:r w:rsidR="00906C67">
        <w:rPr>
          <w:rFonts w:cs="Arial"/>
          <w:sz w:val="20"/>
        </w:rPr>
        <w:t xml:space="preserve">clothes washer data limitations </w:t>
      </w:r>
      <w:r w:rsidR="00A95023">
        <w:rPr>
          <w:rFonts w:cs="Arial"/>
          <w:sz w:val="20"/>
        </w:rPr>
        <w:t xml:space="preserve">(e.g., lack of robust metering data, participant/nonparticipant surveys) </w:t>
      </w:r>
      <w:r w:rsidR="00906C67">
        <w:rPr>
          <w:rFonts w:cs="Arial"/>
          <w:sz w:val="20"/>
        </w:rPr>
        <w:t xml:space="preserve">preclude an exact replication of the methodology.  </w:t>
      </w:r>
      <w:r>
        <w:rPr>
          <w:rFonts w:cs="Arial"/>
          <w:sz w:val="20"/>
        </w:rPr>
        <w:t xml:space="preserve">   </w:t>
      </w:r>
      <w:r w:rsidR="0078252C">
        <w:rPr>
          <w:rFonts w:cs="Arial"/>
          <w:sz w:val="20"/>
        </w:rPr>
        <w:t xml:space="preserve">   </w:t>
      </w:r>
      <w:r w:rsidR="00497A5A">
        <w:rPr>
          <w:rFonts w:cs="Arial"/>
          <w:sz w:val="20"/>
        </w:rPr>
        <w:t xml:space="preserve"> </w:t>
      </w:r>
    </w:p>
    <w:p w14:paraId="233B5959" w14:textId="77777777" w:rsidR="009F0DDC" w:rsidRDefault="009F0DDC" w:rsidP="00364DA3">
      <w:pPr>
        <w:ind w:left="630"/>
        <w:rPr>
          <w:rFonts w:cs="Arial"/>
          <w:color w:val="FF0000"/>
          <w:sz w:val="20"/>
        </w:rPr>
        <w:sectPr w:rsidR="009F0DDC" w:rsidSect="009F0DDC">
          <w:footerReference w:type="default" r:id="rId25"/>
          <w:endnotePr>
            <w:numFmt w:val="decimal"/>
          </w:endnotePr>
          <w:pgSz w:w="12240" w:h="15840"/>
          <w:pgMar w:top="1440" w:right="1710" w:bottom="1440" w:left="1440" w:header="720" w:footer="720" w:gutter="0"/>
          <w:pgNumType w:start="1" w:chapStyle="1"/>
          <w:cols w:space="720"/>
          <w:docGrid w:linePitch="360"/>
        </w:sectPr>
      </w:pPr>
    </w:p>
    <w:p w14:paraId="5F339408" w14:textId="77777777" w:rsidR="009F0DDC" w:rsidRDefault="009F0DDC" w:rsidP="00364DA3">
      <w:pPr>
        <w:ind w:left="630"/>
        <w:rPr>
          <w:rFonts w:cs="Arial"/>
          <w:color w:val="FF0000"/>
          <w:sz w:val="20"/>
        </w:rPr>
        <w:sectPr w:rsidR="009F0DDC" w:rsidSect="009F0DDC">
          <w:endnotePr>
            <w:numFmt w:val="decimal"/>
          </w:endnotePr>
          <w:type w:val="continuous"/>
          <w:pgSz w:w="12240" w:h="15840"/>
          <w:pgMar w:top="1440" w:right="1710" w:bottom="1440" w:left="1440" w:header="720" w:footer="720" w:gutter="0"/>
          <w:pgNumType w:start="1" w:chapStyle="1"/>
          <w:cols w:space="720"/>
          <w:docGrid w:linePitch="360"/>
        </w:sectPr>
      </w:pPr>
    </w:p>
    <w:p w14:paraId="7A0EF395" w14:textId="77777777" w:rsidR="00E36C12" w:rsidRPr="00697868" w:rsidRDefault="00E36C12" w:rsidP="00E36C12">
      <w:pPr>
        <w:rPr>
          <w:rFonts w:asciiTheme="minorHAnsi" w:hAnsiTheme="minorHAnsi" w:cstheme="minorHAnsi"/>
          <w:szCs w:val="22"/>
        </w:rPr>
      </w:pPr>
    </w:p>
    <w:p w14:paraId="2AA38FDE" w14:textId="2B4F5732" w:rsidR="00E36C12" w:rsidRPr="00E36C12" w:rsidRDefault="00E36C12" w:rsidP="00E36C12">
      <w:pPr>
        <w:pStyle w:val="Caption"/>
        <w:keepNext/>
        <w:spacing w:after="60"/>
        <w:ind w:firstLine="630"/>
        <w:rPr>
          <w:rFonts w:cs="Arial"/>
        </w:rPr>
      </w:pPr>
      <w:bookmarkStart w:id="35" w:name="_Toc385592671"/>
      <w:r w:rsidRPr="00E36C12">
        <w:rPr>
          <w:rFonts w:cs="Arial"/>
        </w:rPr>
        <w:t xml:space="preserve">Table </w:t>
      </w:r>
      <w:r w:rsidRPr="00E36C12">
        <w:rPr>
          <w:rFonts w:cs="Arial"/>
        </w:rPr>
        <w:fldChar w:fldCharType="begin"/>
      </w:r>
      <w:r w:rsidRPr="00E36C12">
        <w:rPr>
          <w:rFonts w:cs="Arial"/>
        </w:rPr>
        <w:instrText xml:space="preserve"> SEQ Table \* ARABIC </w:instrText>
      </w:r>
      <w:r w:rsidRPr="00E36C12">
        <w:rPr>
          <w:rFonts w:cs="Arial"/>
        </w:rPr>
        <w:fldChar w:fldCharType="separate"/>
      </w:r>
      <w:r w:rsidR="00EC4C6F">
        <w:rPr>
          <w:rFonts w:cs="Arial"/>
          <w:noProof/>
        </w:rPr>
        <w:t>1</w:t>
      </w:r>
      <w:r w:rsidRPr="00E36C12">
        <w:rPr>
          <w:rFonts w:cs="Arial"/>
        </w:rPr>
        <w:fldChar w:fldCharType="end"/>
      </w:r>
      <w:r w:rsidRPr="00E36C12">
        <w:rPr>
          <w:rFonts w:cs="Arial"/>
        </w:rPr>
        <w:t xml:space="preserve">. </w:t>
      </w:r>
      <w:r w:rsidRPr="00E36C12">
        <w:rPr>
          <w:rFonts w:cs="Arial"/>
          <w:b w:val="0"/>
        </w:rPr>
        <w:t>DEER Difference Summary</w:t>
      </w:r>
      <w:bookmarkEnd w:id="35"/>
    </w:p>
    <w:tbl>
      <w:tblPr>
        <w:tblStyle w:val="TableContemporary"/>
        <w:tblW w:w="868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513"/>
      </w:tblGrid>
      <w:tr w:rsidR="00E36C12" w:rsidRPr="00E36C12" w14:paraId="6DCEE0BF" w14:textId="77777777" w:rsidTr="00E36C12">
        <w:trPr>
          <w:cnfStyle w:val="100000000000" w:firstRow="1" w:lastRow="0" w:firstColumn="0" w:lastColumn="0" w:oddVBand="0" w:evenVBand="0" w:oddHBand="0" w:evenHBand="0" w:firstRowFirstColumn="0" w:firstRowLastColumn="0" w:lastRowFirstColumn="0" w:lastRowLastColumn="0"/>
          <w:trHeight w:val="243"/>
        </w:trPr>
        <w:tc>
          <w:tcPr>
            <w:tcW w:w="3173" w:type="dxa"/>
            <w:shd w:val="clear" w:color="auto" w:fill="D9D9D9" w:themeFill="background1" w:themeFillShade="D9"/>
            <w:vAlign w:val="center"/>
          </w:tcPr>
          <w:p w14:paraId="63B99104" w14:textId="5A0074F1" w:rsidR="00E36C12" w:rsidRPr="00E36C12" w:rsidRDefault="003A37EC" w:rsidP="003A37EC">
            <w:pPr>
              <w:spacing w:before="60" w:after="60"/>
              <w:jc w:val="center"/>
              <w:rPr>
                <w:rFonts w:cs="Arial"/>
                <w:b w:val="0"/>
                <w:sz w:val="20"/>
                <w:szCs w:val="20"/>
              </w:rPr>
            </w:pPr>
            <w:r>
              <w:rPr>
                <w:rFonts w:cs="Arial"/>
                <w:b w:val="0"/>
                <w:sz w:val="20"/>
                <w:szCs w:val="20"/>
              </w:rPr>
              <w:t xml:space="preserve">DEER </w:t>
            </w:r>
          </w:p>
        </w:tc>
        <w:tc>
          <w:tcPr>
            <w:tcW w:w="5513" w:type="dxa"/>
            <w:shd w:val="clear" w:color="auto" w:fill="D9D9D9" w:themeFill="background1" w:themeFillShade="D9"/>
            <w:vAlign w:val="center"/>
          </w:tcPr>
          <w:p w14:paraId="60FD3B0A" w14:textId="438318DE" w:rsidR="00E36C12" w:rsidRPr="00E36C12" w:rsidRDefault="00907264" w:rsidP="00AB44CE">
            <w:pPr>
              <w:spacing w:before="60" w:after="60"/>
              <w:jc w:val="center"/>
              <w:rPr>
                <w:rFonts w:cs="Arial"/>
                <w:b w:val="0"/>
                <w:sz w:val="20"/>
                <w:szCs w:val="20"/>
              </w:rPr>
            </w:pPr>
            <w:r>
              <w:rPr>
                <w:rFonts w:cs="Arial"/>
                <w:b w:val="0"/>
                <w:sz w:val="20"/>
                <w:szCs w:val="20"/>
              </w:rPr>
              <w:t xml:space="preserve">Used in </w:t>
            </w:r>
            <w:r w:rsidR="003A37EC">
              <w:rPr>
                <w:rFonts w:cs="Arial"/>
                <w:b w:val="0"/>
                <w:sz w:val="20"/>
                <w:szCs w:val="20"/>
              </w:rPr>
              <w:t>Work</w:t>
            </w:r>
            <w:r w:rsidR="00AB44CE">
              <w:rPr>
                <w:rFonts w:cs="Arial"/>
                <w:b w:val="0"/>
                <w:sz w:val="20"/>
                <w:szCs w:val="20"/>
              </w:rPr>
              <w:t xml:space="preserve"> P</w:t>
            </w:r>
            <w:r w:rsidR="003A37EC">
              <w:rPr>
                <w:rFonts w:cs="Arial"/>
                <w:b w:val="0"/>
                <w:sz w:val="20"/>
                <w:szCs w:val="20"/>
              </w:rPr>
              <w:t>aper Approach</w:t>
            </w:r>
            <w:r>
              <w:rPr>
                <w:rFonts w:cs="Arial"/>
                <w:b w:val="0"/>
                <w:sz w:val="20"/>
                <w:szCs w:val="20"/>
              </w:rPr>
              <w:t>?</w:t>
            </w:r>
          </w:p>
        </w:tc>
      </w:tr>
      <w:tr w:rsidR="00E36C12" w:rsidRPr="00E36C12" w14:paraId="2525C6E8" w14:textId="77777777" w:rsidTr="00907264">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A6DBDBE" w14:textId="2DE76221" w:rsidR="00E36C12" w:rsidRPr="00E36C12" w:rsidRDefault="00E36C12" w:rsidP="003A37EC">
            <w:pPr>
              <w:spacing w:before="60" w:after="60"/>
              <w:rPr>
                <w:rFonts w:cs="Arial"/>
                <w:sz w:val="20"/>
                <w:szCs w:val="20"/>
              </w:rPr>
            </w:pPr>
            <w:r w:rsidRPr="00E36C12">
              <w:rPr>
                <w:rFonts w:cs="Arial"/>
                <w:sz w:val="20"/>
                <w:szCs w:val="20"/>
              </w:rPr>
              <w:t xml:space="preserve">Modified DEER </w:t>
            </w:r>
            <w:r w:rsidR="003A37EC">
              <w:rPr>
                <w:rFonts w:cs="Arial"/>
                <w:sz w:val="20"/>
                <w:szCs w:val="20"/>
              </w:rPr>
              <w:t>m</w:t>
            </w:r>
            <w:r w:rsidRPr="00E36C12">
              <w:rPr>
                <w:rFonts w:cs="Arial"/>
                <w:sz w:val="20"/>
                <w:szCs w:val="20"/>
              </w:rPr>
              <w:t>ethodology</w:t>
            </w:r>
          </w:p>
        </w:tc>
        <w:tc>
          <w:tcPr>
            <w:tcW w:w="5513" w:type="dxa"/>
            <w:shd w:val="clear" w:color="auto" w:fill="auto"/>
            <w:vAlign w:val="center"/>
          </w:tcPr>
          <w:p w14:paraId="3F1509CD" w14:textId="1D206B00" w:rsidR="00E36C12" w:rsidRPr="001D4E70" w:rsidRDefault="001D4E70" w:rsidP="00907264">
            <w:pPr>
              <w:spacing w:before="60" w:after="60"/>
              <w:jc w:val="center"/>
              <w:rPr>
                <w:rFonts w:cs="Arial"/>
                <w:b/>
                <w:sz w:val="20"/>
                <w:szCs w:val="20"/>
              </w:rPr>
            </w:pPr>
            <w:r w:rsidRPr="001D4E70">
              <w:rPr>
                <w:rFonts w:cs="Arial"/>
                <w:sz w:val="20"/>
                <w:szCs w:val="20"/>
              </w:rPr>
              <w:t>No</w:t>
            </w:r>
          </w:p>
        </w:tc>
      </w:tr>
      <w:tr w:rsidR="00E36C12" w:rsidRPr="00E36C12" w14:paraId="1C2BEF67"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3490F1BA" w14:textId="13B58A12" w:rsidR="00E36C12" w:rsidRPr="00E36C12" w:rsidRDefault="00E36C12" w:rsidP="00E36C12">
            <w:pPr>
              <w:spacing w:before="60" w:after="60"/>
              <w:rPr>
                <w:rFonts w:cs="Arial"/>
                <w:sz w:val="20"/>
                <w:szCs w:val="20"/>
              </w:rPr>
            </w:pPr>
            <w:r w:rsidRPr="00E36C12">
              <w:rPr>
                <w:rFonts w:cs="Arial"/>
                <w:sz w:val="20"/>
                <w:szCs w:val="20"/>
              </w:rPr>
              <w:t xml:space="preserve">Scaled DEER </w:t>
            </w:r>
            <w:r w:rsidR="003A37EC">
              <w:rPr>
                <w:rFonts w:cs="Arial"/>
                <w:sz w:val="20"/>
                <w:szCs w:val="20"/>
              </w:rPr>
              <w:t>m</w:t>
            </w:r>
            <w:r w:rsidRPr="00E36C12">
              <w:rPr>
                <w:rFonts w:cs="Arial"/>
                <w:sz w:val="20"/>
                <w:szCs w:val="20"/>
              </w:rPr>
              <w:t>easure</w:t>
            </w:r>
          </w:p>
        </w:tc>
        <w:tc>
          <w:tcPr>
            <w:tcW w:w="5513" w:type="dxa"/>
            <w:shd w:val="clear" w:color="auto" w:fill="auto"/>
            <w:vAlign w:val="center"/>
          </w:tcPr>
          <w:p w14:paraId="37964D9A" w14:textId="6E33A592" w:rsidR="00E36C12" w:rsidRPr="001D4E70" w:rsidRDefault="001D4E70" w:rsidP="00E36C12">
            <w:pPr>
              <w:spacing w:before="60" w:after="60"/>
              <w:jc w:val="center"/>
              <w:rPr>
                <w:rFonts w:cs="Arial"/>
                <w:sz w:val="20"/>
                <w:szCs w:val="20"/>
              </w:rPr>
            </w:pPr>
            <w:r w:rsidRPr="001D4E70">
              <w:rPr>
                <w:rFonts w:cs="Arial"/>
                <w:sz w:val="20"/>
                <w:szCs w:val="20"/>
              </w:rPr>
              <w:t>No</w:t>
            </w:r>
          </w:p>
        </w:tc>
      </w:tr>
      <w:tr w:rsidR="003A37EC" w:rsidRPr="00E36C12" w14:paraId="6602AB80"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A8DC53A" w14:textId="0F7A3CEC" w:rsidR="003A37EC" w:rsidRPr="00E36C12" w:rsidRDefault="003A37EC" w:rsidP="00E36C12">
            <w:pPr>
              <w:spacing w:before="60" w:after="60"/>
              <w:rPr>
                <w:rFonts w:cs="Arial"/>
                <w:sz w:val="20"/>
                <w:szCs w:val="20"/>
              </w:rPr>
            </w:pPr>
            <w:r>
              <w:rPr>
                <w:rFonts w:cs="Arial"/>
                <w:sz w:val="20"/>
                <w:szCs w:val="20"/>
              </w:rPr>
              <w:t>DEER base case used</w:t>
            </w:r>
          </w:p>
        </w:tc>
        <w:tc>
          <w:tcPr>
            <w:tcW w:w="5513" w:type="dxa"/>
            <w:shd w:val="clear" w:color="auto" w:fill="auto"/>
            <w:vAlign w:val="center"/>
          </w:tcPr>
          <w:p w14:paraId="0BD42E58" w14:textId="4E63BA6A" w:rsidR="003A37EC" w:rsidRPr="001D4E70" w:rsidRDefault="001D4E70" w:rsidP="00E36C12">
            <w:pPr>
              <w:spacing w:before="60" w:after="60"/>
              <w:jc w:val="center"/>
              <w:rPr>
                <w:rFonts w:cs="Arial"/>
                <w:sz w:val="20"/>
                <w:szCs w:val="20"/>
              </w:rPr>
            </w:pPr>
            <w:r w:rsidRPr="001D4E70">
              <w:rPr>
                <w:rFonts w:cs="Arial"/>
                <w:sz w:val="20"/>
                <w:szCs w:val="20"/>
              </w:rPr>
              <w:t>No</w:t>
            </w:r>
          </w:p>
        </w:tc>
      </w:tr>
      <w:tr w:rsidR="003A37EC" w:rsidRPr="00E36C12" w14:paraId="2D83899B"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48DB32B2" w14:textId="2C623B13" w:rsidR="003A37EC" w:rsidRDefault="003A37EC" w:rsidP="00E36C12">
            <w:pPr>
              <w:spacing w:before="60" w:after="60"/>
              <w:rPr>
                <w:rFonts w:cs="Arial"/>
                <w:sz w:val="20"/>
                <w:szCs w:val="20"/>
              </w:rPr>
            </w:pPr>
            <w:r>
              <w:rPr>
                <w:rFonts w:cs="Arial"/>
                <w:sz w:val="20"/>
                <w:szCs w:val="20"/>
              </w:rPr>
              <w:t>DEER measure case used</w:t>
            </w:r>
          </w:p>
        </w:tc>
        <w:tc>
          <w:tcPr>
            <w:tcW w:w="5513" w:type="dxa"/>
            <w:shd w:val="clear" w:color="auto" w:fill="auto"/>
            <w:vAlign w:val="center"/>
          </w:tcPr>
          <w:p w14:paraId="1C34B800" w14:textId="62F34F65" w:rsidR="003A37EC" w:rsidRPr="001D4E70" w:rsidRDefault="001D4E70" w:rsidP="00E36C12">
            <w:pPr>
              <w:spacing w:before="60" w:after="60"/>
              <w:jc w:val="center"/>
              <w:rPr>
                <w:rFonts w:cs="Arial"/>
                <w:sz w:val="20"/>
                <w:szCs w:val="20"/>
              </w:rPr>
            </w:pPr>
            <w:r w:rsidRPr="001D4E70">
              <w:rPr>
                <w:rFonts w:cs="Arial"/>
                <w:sz w:val="20"/>
                <w:szCs w:val="20"/>
              </w:rPr>
              <w:t>No</w:t>
            </w:r>
          </w:p>
        </w:tc>
      </w:tr>
      <w:tr w:rsidR="00E36C12" w:rsidRPr="00E36C12" w14:paraId="4E48CCD8"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C8C0FD1" w14:textId="2DE5652C" w:rsidR="00E36C12" w:rsidRPr="00E36C12" w:rsidRDefault="003A37EC" w:rsidP="003A37EC">
            <w:pPr>
              <w:spacing w:before="60" w:after="60"/>
              <w:rPr>
                <w:rFonts w:cs="Arial"/>
                <w:sz w:val="20"/>
                <w:szCs w:val="20"/>
              </w:rPr>
            </w:pPr>
            <w:r>
              <w:rPr>
                <w:rFonts w:cs="Arial"/>
                <w:sz w:val="20"/>
                <w:szCs w:val="20"/>
              </w:rPr>
              <w:t xml:space="preserve">DEER building types </w:t>
            </w:r>
            <w:r w:rsidR="00E36C12" w:rsidRPr="00E36C12">
              <w:rPr>
                <w:rFonts w:cs="Arial"/>
                <w:sz w:val="20"/>
                <w:szCs w:val="20"/>
              </w:rPr>
              <w:t>Used</w:t>
            </w:r>
          </w:p>
        </w:tc>
        <w:tc>
          <w:tcPr>
            <w:tcW w:w="5513" w:type="dxa"/>
            <w:shd w:val="clear" w:color="auto" w:fill="auto"/>
            <w:vAlign w:val="center"/>
          </w:tcPr>
          <w:p w14:paraId="0447B71F" w14:textId="2F454B99" w:rsidR="00E36C12" w:rsidRPr="001D4E70" w:rsidRDefault="001A0057" w:rsidP="00E36C12">
            <w:pPr>
              <w:spacing w:before="60" w:after="60"/>
              <w:jc w:val="center"/>
              <w:rPr>
                <w:rFonts w:cs="Arial"/>
                <w:sz w:val="20"/>
                <w:szCs w:val="20"/>
              </w:rPr>
            </w:pPr>
            <w:r>
              <w:rPr>
                <w:rFonts w:cs="Arial"/>
                <w:sz w:val="20"/>
                <w:szCs w:val="20"/>
              </w:rPr>
              <w:t>SFm, MFm</w:t>
            </w:r>
          </w:p>
        </w:tc>
      </w:tr>
      <w:tr w:rsidR="003A37EC" w:rsidRPr="00E36C12" w14:paraId="57B4CE89"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05B09E23" w14:textId="4E643164" w:rsidR="003A37EC" w:rsidRDefault="003A37EC" w:rsidP="003A37EC">
            <w:pPr>
              <w:spacing w:before="60" w:after="60"/>
              <w:rPr>
                <w:rFonts w:cs="Arial"/>
                <w:sz w:val="20"/>
                <w:szCs w:val="20"/>
              </w:rPr>
            </w:pPr>
            <w:r>
              <w:rPr>
                <w:rFonts w:cs="Arial"/>
                <w:sz w:val="20"/>
                <w:szCs w:val="20"/>
              </w:rPr>
              <w:t>DEER operating hours used</w:t>
            </w:r>
          </w:p>
        </w:tc>
        <w:tc>
          <w:tcPr>
            <w:tcW w:w="5513" w:type="dxa"/>
            <w:shd w:val="clear" w:color="auto" w:fill="auto"/>
            <w:vAlign w:val="center"/>
          </w:tcPr>
          <w:p w14:paraId="63AF509F" w14:textId="60F59038" w:rsidR="003A37EC" w:rsidRPr="001D4E70" w:rsidRDefault="001D4E70" w:rsidP="00E36C12">
            <w:pPr>
              <w:spacing w:before="60" w:after="60"/>
              <w:jc w:val="center"/>
              <w:rPr>
                <w:rFonts w:cs="Arial"/>
                <w:sz w:val="20"/>
                <w:szCs w:val="20"/>
              </w:rPr>
            </w:pPr>
            <w:r w:rsidRPr="001D4E70">
              <w:rPr>
                <w:rFonts w:cs="Arial"/>
                <w:sz w:val="20"/>
                <w:szCs w:val="20"/>
              </w:rPr>
              <w:t>No</w:t>
            </w:r>
          </w:p>
        </w:tc>
      </w:tr>
      <w:tr w:rsidR="00E36C12" w:rsidRPr="00E36C12" w14:paraId="745F33A2"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9E7573B" w14:textId="01832C80" w:rsidR="00E36C12" w:rsidRPr="00E36C12" w:rsidRDefault="00907264" w:rsidP="00E36C12">
            <w:pPr>
              <w:spacing w:before="60" w:after="60"/>
              <w:rPr>
                <w:rFonts w:cs="Arial"/>
                <w:sz w:val="20"/>
                <w:szCs w:val="20"/>
              </w:rPr>
            </w:pPr>
            <w:r>
              <w:rPr>
                <w:rFonts w:cs="Arial"/>
                <w:sz w:val="20"/>
                <w:szCs w:val="20"/>
              </w:rPr>
              <w:t xml:space="preserve">Reason for </w:t>
            </w:r>
            <w:r w:rsidR="00E36C12" w:rsidRPr="00E36C12">
              <w:rPr>
                <w:rFonts w:cs="Arial"/>
                <w:sz w:val="20"/>
                <w:szCs w:val="20"/>
              </w:rPr>
              <w:t>Deviation from DEER</w:t>
            </w:r>
          </w:p>
        </w:tc>
        <w:tc>
          <w:tcPr>
            <w:tcW w:w="5513" w:type="dxa"/>
            <w:shd w:val="clear" w:color="auto" w:fill="auto"/>
            <w:vAlign w:val="center"/>
          </w:tcPr>
          <w:p w14:paraId="1B0A4754" w14:textId="05EE8E04" w:rsidR="00E36C12" w:rsidRPr="001A0057" w:rsidRDefault="001A0057" w:rsidP="00E36C12">
            <w:pPr>
              <w:spacing w:before="60" w:after="60"/>
              <w:jc w:val="center"/>
              <w:rPr>
                <w:rFonts w:cs="Arial"/>
                <w:sz w:val="20"/>
                <w:szCs w:val="20"/>
              </w:rPr>
            </w:pPr>
            <w:r>
              <w:rPr>
                <w:rFonts w:cs="Arial"/>
                <w:sz w:val="20"/>
                <w:szCs w:val="20"/>
              </w:rPr>
              <w:t>DEER does not contain this type of measure.</w:t>
            </w:r>
          </w:p>
        </w:tc>
      </w:tr>
      <w:tr w:rsidR="00E36C12" w:rsidRPr="00E36C12" w14:paraId="5EB8175D" w14:textId="77777777" w:rsidTr="00E36C12">
        <w:trPr>
          <w:cnfStyle w:val="000000010000" w:firstRow="0" w:lastRow="0" w:firstColumn="0" w:lastColumn="0" w:oddVBand="0" w:evenVBand="0" w:oddHBand="0" w:evenHBand="1" w:firstRowFirstColumn="0" w:firstRowLastColumn="0" w:lastRowFirstColumn="0" w:lastRowLastColumn="0"/>
          <w:trHeight w:val="243"/>
        </w:trPr>
        <w:tc>
          <w:tcPr>
            <w:tcW w:w="3173" w:type="dxa"/>
            <w:shd w:val="clear" w:color="auto" w:fill="auto"/>
            <w:vAlign w:val="center"/>
          </w:tcPr>
          <w:p w14:paraId="034CD10E" w14:textId="77777777" w:rsidR="00E36C12" w:rsidRPr="00E36C12" w:rsidRDefault="00E36C12" w:rsidP="00E36C12">
            <w:pPr>
              <w:spacing w:before="60" w:after="60"/>
              <w:rPr>
                <w:rFonts w:cs="Arial"/>
                <w:sz w:val="20"/>
                <w:szCs w:val="20"/>
              </w:rPr>
            </w:pPr>
            <w:r w:rsidRPr="00E36C12">
              <w:rPr>
                <w:rFonts w:cs="Arial"/>
                <w:sz w:val="20"/>
                <w:szCs w:val="20"/>
              </w:rPr>
              <w:t>DEER Version</w:t>
            </w:r>
          </w:p>
        </w:tc>
        <w:tc>
          <w:tcPr>
            <w:tcW w:w="5513" w:type="dxa"/>
            <w:shd w:val="clear" w:color="auto" w:fill="auto"/>
            <w:vAlign w:val="center"/>
          </w:tcPr>
          <w:p w14:paraId="34FCBBA9" w14:textId="72AF081C" w:rsidR="00E36C12" w:rsidRPr="003A37EC" w:rsidRDefault="0071014A" w:rsidP="00E36C12">
            <w:pPr>
              <w:spacing w:before="60" w:after="60"/>
              <w:jc w:val="center"/>
              <w:rPr>
                <w:rFonts w:cs="Arial"/>
                <w:color w:val="FF0000"/>
                <w:sz w:val="20"/>
                <w:szCs w:val="20"/>
              </w:rPr>
            </w:pPr>
            <w:r>
              <w:rPr>
                <w:rFonts w:cs="Arial"/>
                <w:sz w:val="20"/>
                <w:szCs w:val="20"/>
              </w:rPr>
              <w:t>DEER</w:t>
            </w:r>
            <w:r w:rsidR="00DF4C71">
              <w:rPr>
                <w:rFonts w:cs="Arial"/>
                <w:sz w:val="20"/>
                <w:szCs w:val="20"/>
              </w:rPr>
              <w:t xml:space="preserve"> 2011</w:t>
            </w:r>
          </w:p>
        </w:tc>
      </w:tr>
      <w:tr w:rsidR="00E36C12" w:rsidRPr="00E36C12" w14:paraId="03594808" w14:textId="77777777" w:rsidTr="00E36C12">
        <w:trPr>
          <w:cnfStyle w:val="000000100000" w:firstRow="0" w:lastRow="0" w:firstColumn="0" w:lastColumn="0" w:oddVBand="0" w:evenVBand="0" w:oddHBand="1" w:evenHBand="0" w:firstRowFirstColumn="0" w:firstRowLastColumn="0" w:lastRowFirstColumn="0" w:lastRowLastColumn="0"/>
          <w:trHeight w:val="243"/>
        </w:trPr>
        <w:tc>
          <w:tcPr>
            <w:tcW w:w="3173" w:type="dxa"/>
            <w:shd w:val="clear" w:color="auto" w:fill="auto"/>
            <w:vAlign w:val="center"/>
          </w:tcPr>
          <w:p w14:paraId="57653AE0" w14:textId="78C02AD1" w:rsidR="00E36C12" w:rsidRPr="00E36C12" w:rsidRDefault="00E36C12" w:rsidP="00907264">
            <w:pPr>
              <w:spacing w:before="60" w:after="60"/>
              <w:rPr>
                <w:rFonts w:cs="Arial"/>
                <w:sz w:val="20"/>
                <w:szCs w:val="20"/>
              </w:rPr>
            </w:pPr>
            <w:r w:rsidRPr="00E36C12">
              <w:rPr>
                <w:rFonts w:cs="Arial"/>
                <w:sz w:val="20"/>
                <w:szCs w:val="20"/>
              </w:rPr>
              <w:t>DEER ID and Measure Name (Sample)</w:t>
            </w:r>
          </w:p>
        </w:tc>
        <w:tc>
          <w:tcPr>
            <w:tcW w:w="5513" w:type="dxa"/>
            <w:shd w:val="clear" w:color="auto" w:fill="auto"/>
            <w:vAlign w:val="center"/>
          </w:tcPr>
          <w:p w14:paraId="61909963" w14:textId="0BF9A6DA" w:rsidR="00E36C12" w:rsidRPr="001A0057" w:rsidRDefault="001A0057" w:rsidP="00E36C12">
            <w:pPr>
              <w:spacing w:before="60" w:after="60"/>
              <w:jc w:val="center"/>
              <w:rPr>
                <w:rFonts w:cs="Arial"/>
                <w:sz w:val="20"/>
                <w:szCs w:val="20"/>
              </w:rPr>
            </w:pPr>
            <w:r>
              <w:rPr>
                <w:rFonts w:cs="Arial"/>
                <w:sz w:val="20"/>
                <w:szCs w:val="20"/>
              </w:rPr>
              <w:t>TBD</w:t>
            </w:r>
          </w:p>
        </w:tc>
      </w:tr>
    </w:tbl>
    <w:p w14:paraId="0F8D6EF3" w14:textId="77777777" w:rsidR="00E36C12" w:rsidRPr="00E36C12" w:rsidRDefault="00E36C12" w:rsidP="00364DA3">
      <w:pPr>
        <w:ind w:left="630"/>
        <w:rPr>
          <w:rFonts w:cs="Arial"/>
          <w:color w:val="FF0000"/>
          <w:sz w:val="20"/>
        </w:rPr>
      </w:pPr>
    </w:p>
    <w:p w14:paraId="33380337" w14:textId="77777777" w:rsidR="00692BE2" w:rsidRDefault="00692BE2" w:rsidP="00757FCE">
      <w:pPr>
        <w:spacing w:after="60"/>
        <w:ind w:left="630"/>
        <w:rPr>
          <w:rFonts w:cs="Arial"/>
          <w:b/>
          <w:sz w:val="20"/>
          <w:szCs w:val="20"/>
        </w:rPr>
      </w:pPr>
      <w:bookmarkStart w:id="36" w:name="Net_to_Gross"/>
    </w:p>
    <w:p w14:paraId="0A1E9567" w14:textId="77777777" w:rsidR="00757FCE" w:rsidRPr="00E36C12" w:rsidRDefault="009C5CA7" w:rsidP="00757FCE">
      <w:pPr>
        <w:spacing w:after="60"/>
        <w:ind w:left="630"/>
        <w:rPr>
          <w:rFonts w:cs="Arial"/>
          <w:b/>
          <w:color w:val="FF0000"/>
          <w:sz w:val="20"/>
          <w:szCs w:val="20"/>
        </w:rPr>
      </w:pPr>
      <w:r w:rsidRPr="00572817">
        <w:rPr>
          <w:rFonts w:cs="Arial"/>
          <w:b/>
          <w:sz w:val="20"/>
          <w:szCs w:val="20"/>
        </w:rPr>
        <w:t>Net-to-Gross</w:t>
      </w:r>
      <w:bookmarkEnd w:id="36"/>
      <w:r w:rsidR="002F341A" w:rsidRPr="00E36C12">
        <w:rPr>
          <w:rFonts w:cs="Arial"/>
          <w:b/>
          <w:color w:val="FF0000"/>
          <w:sz w:val="20"/>
          <w:szCs w:val="20"/>
        </w:rPr>
        <w:fldChar w:fldCharType="begin"/>
      </w:r>
      <w:r w:rsidR="002F341A" w:rsidRPr="00E36C12">
        <w:rPr>
          <w:rFonts w:cs="Arial"/>
          <w:b/>
          <w:color w:val="FF0000"/>
          <w:sz w:val="20"/>
          <w:szCs w:val="20"/>
        </w:rPr>
        <w:instrText xml:space="preserve"> REF _Ref375573532 \h  \* MERGEFORMAT </w:instrText>
      </w:r>
      <w:r w:rsidR="002F341A" w:rsidRPr="00E36C12">
        <w:rPr>
          <w:rFonts w:cs="Arial"/>
          <w:b/>
          <w:color w:val="FF0000"/>
          <w:sz w:val="20"/>
          <w:szCs w:val="20"/>
        </w:rPr>
      </w:r>
      <w:r w:rsidR="002F341A" w:rsidRPr="00E36C12">
        <w:rPr>
          <w:rFonts w:cs="Arial"/>
          <w:b/>
          <w:color w:val="FF0000"/>
          <w:sz w:val="20"/>
          <w:szCs w:val="20"/>
        </w:rPr>
        <w:fldChar w:fldCharType="separate"/>
      </w:r>
    </w:p>
    <w:p w14:paraId="393A0C16" w14:textId="06E024EF" w:rsidR="00D719E9" w:rsidRPr="00ED5593" w:rsidRDefault="002F341A" w:rsidP="00692BE2">
      <w:pPr>
        <w:spacing w:after="200"/>
        <w:ind w:left="630"/>
        <w:rPr>
          <w:rFonts w:cs="Arial"/>
          <w:sz w:val="20"/>
          <w:szCs w:val="20"/>
        </w:rPr>
      </w:pPr>
      <w:r w:rsidRPr="00E36C12">
        <w:rPr>
          <w:rFonts w:cs="Arial"/>
          <w:b/>
          <w:color w:val="FF0000"/>
          <w:sz w:val="20"/>
          <w:szCs w:val="20"/>
        </w:rPr>
        <w:fldChar w:fldCharType="end"/>
      </w:r>
      <w:bookmarkStart w:id="37" w:name="_Ref384653625"/>
      <w:bookmarkStart w:id="38" w:name="_Toc385592672"/>
      <w:r w:rsidR="00757FCE" w:rsidRPr="00ED5593">
        <w:rPr>
          <w:b/>
          <w:sz w:val="20"/>
          <w:szCs w:val="20"/>
        </w:rPr>
        <w:t xml:space="preserve">Table </w:t>
      </w:r>
      <w:r w:rsidR="003F0CD3" w:rsidRPr="00ED5593">
        <w:rPr>
          <w:b/>
          <w:sz w:val="20"/>
          <w:szCs w:val="20"/>
        </w:rPr>
        <w:fldChar w:fldCharType="begin"/>
      </w:r>
      <w:r w:rsidR="003F0CD3" w:rsidRPr="00ED5593">
        <w:rPr>
          <w:b/>
          <w:sz w:val="20"/>
          <w:szCs w:val="20"/>
        </w:rPr>
        <w:instrText xml:space="preserve"> SEQ Table \* ARABIC </w:instrText>
      </w:r>
      <w:r w:rsidR="003F0CD3" w:rsidRPr="00ED5593">
        <w:rPr>
          <w:b/>
          <w:sz w:val="20"/>
          <w:szCs w:val="20"/>
        </w:rPr>
        <w:fldChar w:fldCharType="separate"/>
      </w:r>
      <w:r w:rsidR="00EC4C6F">
        <w:rPr>
          <w:b/>
          <w:noProof/>
          <w:sz w:val="20"/>
          <w:szCs w:val="20"/>
        </w:rPr>
        <w:t>2</w:t>
      </w:r>
      <w:r w:rsidR="003F0CD3" w:rsidRPr="00ED5593">
        <w:rPr>
          <w:b/>
          <w:noProof/>
          <w:sz w:val="20"/>
          <w:szCs w:val="20"/>
        </w:rPr>
        <w:fldChar w:fldCharType="end"/>
      </w:r>
      <w:bookmarkEnd w:id="37"/>
      <w:r w:rsidR="00757FCE" w:rsidRPr="00ED5593">
        <w:rPr>
          <w:b/>
          <w:sz w:val="20"/>
          <w:szCs w:val="20"/>
        </w:rPr>
        <w:t>.</w:t>
      </w:r>
      <w:r w:rsidR="00572817" w:rsidRPr="00ED5593">
        <w:rPr>
          <w:rFonts w:cs="Arial"/>
          <w:b/>
          <w:sz w:val="20"/>
          <w:szCs w:val="20"/>
        </w:rPr>
        <w:t xml:space="preserve"> </w:t>
      </w:r>
      <w:r w:rsidR="00437BE1" w:rsidRPr="00ED5593">
        <w:rPr>
          <w:rFonts w:cs="Arial"/>
          <w:b/>
          <w:sz w:val="20"/>
          <w:szCs w:val="20"/>
        </w:rPr>
        <w:t xml:space="preserve"> </w:t>
      </w:r>
      <w:r w:rsidR="00B74917" w:rsidRPr="00ED5593">
        <w:rPr>
          <w:rFonts w:cs="Arial"/>
          <w:sz w:val="20"/>
          <w:szCs w:val="20"/>
        </w:rPr>
        <w:t xml:space="preserve">DEER </w:t>
      </w:r>
      <w:r w:rsidR="00D719E9" w:rsidRPr="00ED5593">
        <w:rPr>
          <w:rFonts w:cs="Arial"/>
          <w:sz w:val="20"/>
          <w:szCs w:val="20"/>
        </w:rPr>
        <w:t>Net-to-Gross Ratios</w:t>
      </w:r>
      <w:bookmarkEnd w:id="38"/>
    </w:p>
    <w:tbl>
      <w:tblPr>
        <w:tblW w:w="4802"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871"/>
        <w:gridCol w:w="885"/>
        <w:gridCol w:w="1905"/>
        <w:gridCol w:w="1096"/>
        <w:gridCol w:w="1500"/>
      </w:tblGrid>
      <w:tr w:rsidR="00B87109" w:rsidRPr="003A37EC" w14:paraId="393A0C1F" w14:textId="6F7C2D44" w:rsidTr="00B87109">
        <w:trPr>
          <w:trHeight w:val="215"/>
        </w:trPr>
        <w:tc>
          <w:tcPr>
            <w:tcW w:w="5000" w:type="pct"/>
            <w:gridSpan w:val="6"/>
            <w:shd w:val="clear" w:color="auto" w:fill="D9D9D9" w:themeFill="background1" w:themeFillShade="D9"/>
            <w:vAlign w:val="center"/>
          </w:tcPr>
          <w:p w14:paraId="58D4ED01" w14:textId="21966477" w:rsidR="00B87109" w:rsidRPr="003A37EC" w:rsidRDefault="00B87109" w:rsidP="003A37EC">
            <w:pPr>
              <w:keepNext/>
              <w:spacing w:before="60" w:after="60"/>
              <w:jc w:val="center"/>
              <w:rPr>
                <w:rFonts w:cs="Arial"/>
                <w:sz w:val="20"/>
                <w:szCs w:val="20"/>
              </w:rPr>
            </w:pPr>
            <w:r w:rsidRPr="003A37EC">
              <w:rPr>
                <w:rFonts w:cs="Arial"/>
                <w:sz w:val="20"/>
                <w:szCs w:val="20"/>
              </w:rPr>
              <w:t>From DEER Tables</w:t>
            </w:r>
          </w:p>
        </w:tc>
      </w:tr>
      <w:tr w:rsidR="00B87109" w:rsidRPr="003A37EC" w14:paraId="344B0694" w14:textId="2CEA4CBB" w:rsidTr="0071014A">
        <w:trPr>
          <w:trHeight w:val="485"/>
        </w:trPr>
        <w:tc>
          <w:tcPr>
            <w:tcW w:w="940" w:type="pct"/>
            <w:shd w:val="clear" w:color="auto" w:fill="D9D9D9" w:themeFill="background1" w:themeFillShade="D9"/>
            <w:vAlign w:val="center"/>
          </w:tcPr>
          <w:p w14:paraId="29F94FDE" w14:textId="46F6DE5E" w:rsidR="00B87109" w:rsidRPr="003A37EC" w:rsidRDefault="00B87109" w:rsidP="003A37EC">
            <w:pPr>
              <w:keepNext/>
              <w:spacing w:before="60" w:after="60"/>
              <w:jc w:val="center"/>
              <w:rPr>
                <w:rFonts w:cs="Arial"/>
                <w:sz w:val="20"/>
                <w:szCs w:val="20"/>
              </w:rPr>
            </w:pPr>
            <w:r w:rsidRPr="003A37EC">
              <w:rPr>
                <w:rFonts w:cs="Arial"/>
                <w:sz w:val="20"/>
                <w:szCs w:val="20"/>
              </w:rPr>
              <w:t xml:space="preserve">NTGR_ID </w:t>
            </w:r>
          </w:p>
        </w:tc>
        <w:tc>
          <w:tcPr>
            <w:tcW w:w="1047" w:type="pct"/>
            <w:shd w:val="clear" w:color="auto" w:fill="D9D9D9" w:themeFill="background1" w:themeFillShade="D9"/>
            <w:vAlign w:val="center"/>
          </w:tcPr>
          <w:p w14:paraId="5C79C832" w14:textId="07BD9265" w:rsidR="00B87109" w:rsidRPr="003A37EC" w:rsidRDefault="00B87109" w:rsidP="003A37EC">
            <w:pPr>
              <w:keepNext/>
              <w:spacing w:before="60" w:after="60"/>
              <w:jc w:val="center"/>
              <w:rPr>
                <w:rFonts w:cs="Arial"/>
                <w:sz w:val="20"/>
                <w:szCs w:val="20"/>
              </w:rPr>
            </w:pPr>
            <w:r w:rsidRPr="003A37EC">
              <w:rPr>
                <w:rFonts w:cs="Arial"/>
                <w:sz w:val="20"/>
                <w:szCs w:val="20"/>
              </w:rPr>
              <w:t xml:space="preserve">Description </w:t>
            </w:r>
          </w:p>
        </w:tc>
        <w:tc>
          <w:tcPr>
            <w:tcW w:w="495" w:type="pct"/>
            <w:shd w:val="clear" w:color="auto" w:fill="D9D9D9" w:themeFill="background1" w:themeFillShade="D9"/>
            <w:vAlign w:val="center"/>
          </w:tcPr>
          <w:p w14:paraId="47020A1E" w14:textId="0EA5E2CB" w:rsidR="00B87109" w:rsidRPr="003A37EC" w:rsidRDefault="00B87109" w:rsidP="003A37EC">
            <w:pPr>
              <w:keepNext/>
              <w:spacing w:before="60" w:after="60"/>
              <w:jc w:val="center"/>
              <w:rPr>
                <w:rFonts w:cs="Arial"/>
                <w:sz w:val="20"/>
                <w:szCs w:val="20"/>
              </w:rPr>
            </w:pPr>
            <w:r w:rsidRPr="003A37EC">
              <w:rPr>
                <w:rFonts w:cs="Arial"/>
                <w:sz w:val="20"/>
                <w:szCs w:val="20"/>
              </w:rPr>
              <w:t xml:space="preserve">Sector </w:t>
            </w:r>
          </w:p>
        </w:tc>
        <w:tc>
          <w:tcPr>
            <w:tcW w:w="1066" w:type="pct"/>
            <w:shd w:val="clear" w:color="auto" w:fill="D9D9D9" w:themeFill="background1" w:themeFillShade="D9"/>
            <w:vAlign w:val="center"/>
          </w:tcPr>
          <w:p w14:paraId="266D430E" w14:textId="73B07C1F" w:rsidR="00B87109" w:rsidRPr="003A37EC" w:rsidRDefault="00B87109" w:rsidP="003A37EC">
            <w:pPr>
              <w:keepNext/>
              <w:spacing w:before="60" w:after="60"/>
              <w:jc w:val="center"/>
              <w:rPr>
                <w:rFonts w:cs="Arial"/>
                <w:sz w:val="20"/>
                <w:szCs w:val="20"/>
              </w:rPr>
            </w:pPr>
            <w:r w:rsidRPr="003A37EC">
              <w:rPr>
                <w:rFonts w:cs="Arial"/>
                <w:sz w:val="20"/>
                <w:szCs w:val="20"/>
              </w:rPr>
              <w:t>Building Type</w:t>
            </w:r>
          </w:p>
        </w:tc>
        <w:tc>
          <w:tcPr>
            <w:tcW w:w="613" w:type="pct"/>
            <w:shd w:val="clear" w:color="auto" w:fill="D9D9D9" w:themeFill="background1" w:themeFillShade="D9"/>
            <w:vAlign w:val="center"/>
          </w:tcPr>
          <w:p w14:paraId="61CFF64F" w14:textId="5496A600" w:rsidR="00B87109" w:rsidRPr="003A37EC" w:rsidRDefault="00B87109" w:rsidP="003A37EC">
            <w:pPr>
              <w:keepNext/>
              <w:spacing w:before="60" w:after="60"/>
              <w:jc w:val="center"/>
              <w:rPr>
                <w:rFonts w:cs="Arial"/>
                <w:sz w:val="20"/>
                <w:szCs w:val="20"/>
              </w:rPr>
            </w:pPr>
            <w:r w:rsidRPr="003A37EC">
              <w:rPr>
                <w:rFonts w:cs="Arial"/>
                <w:sz w:val="20"/>
                <w:szCs w:val="20"/>
              </w:rPr>
              <w:t>NTG</w:t>
            </w:r>
          </w:p>
        </w:tc>
        <w:tc>
          <w:tcPr>
            <w:tcW w:w="840" w:type="pct"/>
            <w:shd w:val="clear" w:color="auto" w:fill="D9D9D9" w:themeFill="background1" w:themeFillShade="D9"/>
            <w:vAlign w:val="center"/>
          </w:tcPr>
          <w:p w14:paraId="26869CEE" w14:textId="2198E879" w:rsidR="00B87109" w:rsidRPr="003A37EC" w:rsidRDefault="00B87109" w:rsidP="003A37EC">
            <w:pPr>
              <w:keepNext/>
              <w:spacing w:before="60" w:after="60"/>
              <w:jc w:val="center"/>
              <w:rPr>
                <w:rFonts w:cs="Arial"/>
                <w:sz w:val="20"/>
                <w:szCs w:val="20"/>
              </w:rPr>
            </w:pPr>
            <w:r>
              <w:rPr>
                <w:rFonts w:cs="Arial"/>
                <w:sz w:val="20"/>
                <w:szCs w:val="20"/>
              </w:rPr>
              <w:t>Program Delivery</w:t>
            </w:r>
          </w:p>
        </w:tc>
      </w:tr>
      <w:tr w:rsidR="0071014A" w:rsidRPr="0071014A" w14:paraId="393A0C24" w14:textId="797A6BC4" w:rsidTr="0071014A">
        <w:trPr>
          <w:trHeight w:val="440"/>
        </w:trPr>
        <w:tc>
          <w:tcPr>
            <w:tcW w:w="940" w:type="pct"/>
            <w:shd w:val="clear" w:color="auto" w:fill="auto"/>
            <w:vAlign w:val="center"/>
          </w:tcPr>
          <w:p w14:paraId="393A0C20" w14:textId="4035A326" w:rsidR="00B87109" w:rsidRPr="001F0D38" w:rsidRDefault="0071014A" w:rsidP="003A37EC">
            <w:pPr>
              <w:spacing w:before="60" w:after="60"/>
              <w:jc w:val="center"/>
              <w:rPr>
                <w:rFonts w:cs="Arial"/>
                <w:color w:val="FF0000"/>
                <w:sz w:val="20"/>
                <w:szCs w:val="20"/>
              </w:rPr>
            </w:pPr>
            <w:r>
              <w:rPr>
                <w:rFonts w:cs="Arial"/>
                <w:sz w:val="20"/>
                <w:szCs w:val="20"/>
              </w:rPr>
              <w:t>All-Default&lt;=2yrs</w:t>
            </w:r>
          </w:p>
        </w:tc>
        <w:tc>
          <w:tcPr>
            <w:tcW w:w="1047" w:type="pct"/>
            <w:shd w:val="clear" w:color="auto" w:fill="auto"/>
            <w:vAlign w:val="center"/>
          </w:tcPr>
          <w:p w14:paraId="393A0C21" w14:textId="3EC2E121" w:rsidR="00B87109" w:rsidRPr="0071014A" w:rsidRDefault="0071014A" w:rsidP="003A37EC">
            <w:pPr>
              <w:spacing w:before="60" w:after="60"/>
              <w:jc w:val="center"/>
              <w:rPr>
                <w:rFonts w:cs="Arial"/>
                <w:sz w:val="20"/>
                <w:szCs w:val="20"/>
              </w:rPr>
            </w:pPr>
            <w:r>
              <w:rPr>
                <w:rFonts w:cs="Arial"/>
                <w:sz w:val="20"/>
                <w:szCs w:val="20"/>
              </w:rPr>
              <w:t xml:space="preserve">All other EEM with no evaluated </w:t>
            </w:r>
            <w:r>
              <w:rPr>
                <w:rFonts w:cs="Arial"/>
                <w:sz w:val="20"/>
                <w:szCs w:val="20"/>
              </w:rPr>
              <w:lastRenderedPageBreak/>
              <w:t>NTGR; new technology in program for 2 or fewer years</w:t>
            </w:r>
          </w:p>
        </w:tc>
        <w:tc>
          <w:tcPr>
            <w:tcW w:w="495" w:type="pct"/>
            <w:shd w:val="clear" w:color="auto" w:fill="auto"/>
            <w:vAlign w:val="center"/>
          </w:tcPr>
          <w:p w14:paraId="393A0C22" w14:textId="1A554528" w:rsidR="00B87109" w:rsidRPr="0071014A" w:rsidRDefault="0071014A" w:rsidP="003A37EC">
            <w:pPr>
              <w:spacing w:before="60" w:after="60"/>
              <w:jc w:val="center"/>
              <w:rPr>
                <w:rFonts w:cs="Arial"/>
                <w:sz w:val="20"/>
                <w:szCs w:val="20"/>
              </w:rPr>
            </w:pPr>
            <w:r>
              <w:rPr>
                <w:rFonts w:cs="Arial"/>
                <w:sz w:val="20"/>
                <w:szCs w:val="20"/>
              </w:rPr>
              <w:lastRenderedPageBreak/>
              <w:t>All</w:t>
            </w:r>
          </w:p>
        </w:tc>
        <w:tc>
          <w:tcPr>
            <w:tcW w:w="1066" w:type="pct"/>
            <w:vAlign w:val="center"/>
          </w:tcPr>
          <w:p w14:paraId="77A03F3C" w14:textId="0EDC1A10" w:rsidR="00B87109" w:rsidRPr="0071014A" w:rsidRDefault="00B87109" w:rsidP="003A37EC">
            <w:pPr>
              <w:spacing w:before="60" w:after="60"/>
              <w:jc w:val="center"/>
              <w:rPr>
                <w:rFonts w:cs="Arial"/>
                <w:sz w:val="20"/>
                <w:szCs w:val="20"/>
              </w:rPr>
            </w:pPr>
            <w:r w:rsidRPr="0071014A">
              <w:rPr>
                <w:rFonts w:cs="Arial"/>
                <w:sz w:val="20"/>
                <w:szCs w:val="20"/>
              </w:rPr>
              <w:t>Any</w:t>
            </w:r>
          </w:p>
        </w:tc>
        <w:tc>
          <w:tcPr>
            <w:tcW w:w="613" w:type="pct"/>
            <w:vAlign w:val="center"/>
          </w:tcPr>
          <w:p w14:paraId="7C421440" w14:textId="5AAE1D3A" w:rsidR="00B87109" w:rsidRPr="0071014A" w:rsidRDefault="0071014A" w:rsidP="003A37EC">
            <w:pPr>
              <w:spacing w:before="60" w:after="60"/>
              <w:jc w:val="center"/>
              <w:rPr>
                <w:rFonts w:cs="Arial"/>
                <w:sz w:val="20"/>
                <w:szCs w:val="20"/>
              </w:rPr>
            </w:pPr>
            <w:r>
              <w:rPr>
                <w:rFonts w:cs="Arial"/>
                <w:sz w:val="20"/>
                <w:szCs w:val="20"/>
              </w:rPr>
              <w:t>0.7</w:t>
            </w:r>
          </w:p>
        </w:tc>
        <w:tc>
          <w:tcPr>
            <w:tcW w:w="840" w:type="pct"/>
            <w:vAlign w:val="center"/>
          </w:tcPr>
          <w:p w14:paraId="2FF9BC04" w14:textId="5538DD9A" w:rsidR="00B87109" w:rsidRPr="0071014A" w:rsidRDefault="0071014A" w:rsidP="003A37EC">
            <w:pPr>
              <w:spacing w:before="60" w:after="60"/>
              <w:jc w:val="center"/>
              <w:rPr>
                <w:rFonts w:cs="Arial"/>
                <w:sz w:val="20"/>
                <w:szCs w:val="20"/>
              </w:rPr>
            </w:pPr>
            <w:r>
              <w:rPr>
                <w:rFonts w:cs="Arial"/>
                <w:sz w:val="20"/>
                <w:szCs w:val="20"/>
              </w:rPr>
              <w:t>All</w:t>
            </w:r>
          </w:p>
        </w:tc>
      </w:tr>
    </w:tbl>
    <w:p w14:paraId="02594688" w14:textId="77777777" w:rsidR="00572817" w:rsidRDefault="00572817" w:rsidP="00364DA3">
      <w:pPr>
        <w:ind w:left="630"/>
        <w:rPr>
          <w:rFonts w:cs="Arial"/>
          <w:b/>
          <w:sz w:val="20"/>
          <w:szCs w:val="20"/>
        </w:rPr>
      </w:pPr>
    </w:p>
    <w:p w14:paraId="1914DF04" w14:textId="2B20C8E3" w:rsidR="000106A5" w:rsidRPr="000106A5" w:rsidRDefault="000106A5" w:rsidP="00364DA3">
      <w:pPr>
        <w:ind w:left="630"/>
        <w:rPr>
          <w:rFonts w:cs="Arial"/>
          <w:sz w:val="20"/>
          <w:szCs w:val="20"/>
        </w:rPr>
      </w:pPr>
      <w:r>
        <w:rPr>
          <w:rFonts w:cs="Arial"/>
          <w:sz w:val="20"/>
          <w:szCs w:val="20"/>
        </w:rPr>
        <w:t>According to DEER</w:t>
      </w:r>
      <w:r w:rsidR="00DF4C71">
        <w:rPr>
          <w:rFonts w:cs="Arial"/>
          <w:sz w:val="20"/>
          <w:szCs w:val="20"/>
        </w:rPr>
        <w:t>2011</w:t>
      </w:r>
      <w:r>
        <w:rPr>
          <w:rFonts w:cs="Arial"/>
          <w:sz w:val="20"/>
          <w:szCs w:val="20"/>
        </w:rPr>
        <w:t xml:space="preserve">, </w:t>
      </w:r>
      <w:r w:rsidR="003F0D28">
        <w:rPr>
          <w:rFonts w:cs="Arial"/>
          <w:sz w:val="20"/>
          <w:szCs w:val="20"/>
        </w:rPr>
        <w:t>the default that would apply to this measure is 0.7</w:t>
      </w:r>
      <w:r w:rsidR="00F11536">
        <w:rPr>
          <w:rFonts w:cs="Arial"/>
          <w:sz w:val="20"/>
          <w:szCs w:val="20"/>
        </w:rPr>
        <w:t>. Per</w:t>
      </w:r>
      <w:r w:rsidR="004C416E">
        <w:rPr>
          <w:rFonts w:cs="Arial"/>
          <w:sz w:val="20"/>
          <w:szCs w:val="20"/>
        </w:rPr>
        <w:t xml:space="preserve"> the </w:t>
      </w:r>
      <w:r w:rsidR="00F11536">
        <w:rPr>
          <w:rFonts w:cs="Arial"/>
          <w:sz w:val="20"/>
          <w:szCs w:val="20"/>
        </w:rPr>
        <w:t xml:space="preserve">savings </w:t>
      </w:r>
      <w:r w:rsidR="004C416E">
        <w:rPr>
          <w:rFonts w:cs="Arial"/>
          <w:sz w:val="20"/>
          <w:szCs w:val="20"/>
        </w:rPr>
        <w:t xml:space="preserve">methodology presented in the </w:t>
      </w:r>
      <w:r w:rsidR="004C416E" w:rsidRPr="004C416E">
        <w:rPr>
          <w:rFonts w:cs="Arial"/>
          <w:sz w:val="20"/>
          <w:szCs w:val="20"/>
        </w:rPr>
        <w:t xml:space="preserve">Work Order 35 report (WO35) </w:t>
      </w:r>
      <w:r w:rsidR="004C416E">
        <w:rPr>
          <w:rFonts w:cs="Arial"/>
          <w:sz w:val="20"/>
          <w:szCs w:val="20"/>
        </w:rPr>
        <w:t xml:space="preserve">and </w:t>
      </w:r>
      <w:r w:rsidR="004C416E" w:rsidRPr="004C416E">
        <w:rPr>
          <w:rFonts w:cs="Arial"/>
          <w:sz w:val="20"/>
          <w:szCs w:val="20"/>
        </w:rPr>
        <w:t xml:space="preserve">the </w:t>
      </w:r>
      <w:r w:rsidR="004C416E">
        <w:rPr>
          <w:rFonts w:cs="Arial"/>
          <w:sz w:val="20"/>
          <w:szCs w:val="20"/>
        </w:rPr>
        <w:t>National Renewable Energy Laboratory’s Uniform Methods Project</w:t>
      </w:r>
      <w:r w:rsidR="00F11536">
        <w:rPr>
          <w:rFonts w:cs="Arial"/>
          <w:sz w:val="20"/>
          <w:szCs w:val="20"/>
        </w:rPr>
        <w:t>,</w:t>
      </w:r>
      <w:r w:rsidR="000A18A7">
        <w:rPr>
          <w:rStyle w:val="EndnoteReference"/>
          <w:rFonts w:cs="Arial"/>
          <w:sz w:val="20"/>
          <w:szCs w:val="20"/>
        </w:rPr>
        <w:endnoteReference w:id="6"/>
      </w:r>
      <w:r w:rsidR="005F5FBE">
        <w:rPr>
          <w:rFonts w:cs="Arial"/>
          <w:sz w:val="20"/>
          <w:szCs w:val="20"/>
        </w:rPr>
        <w:t xml:space="preserve"> which </w:t>
      </w:r>
      <w:r w:rsidR="005E7BB5">
        <w:rPr>
          <w:rFonts w:cs="Arial"/>
          <w:sz w:val="20"/>
          <w:szCs w:val="20"/>
        </w:rPr>
        <w:t>are</w:t>
      </w:r>
      <w:r w:rsidR="005F5FBE">
        <w:rPr>
          <w:rFonts w:cs="Arial"/>
          <w:sz w:val="20"/>
          <w:szCs w:val="20"/>
        </w:rPr>
        <w:t xml:space="preserve"> specific to refrigerator/freezer recycling,</w:t>
      </w:r>
      <w:r w:rsidR="004C416E">
        <w:rPr>
          <w:rFonts w:cs="Arial"/>
          <w:sz w:val="20"/>
          <w:szCs w:val="20"/>
        </w:rPr>
        <w:t xml:space="preserve"> </w:t>
      </w:r>
      <w:r w:rsidR="00F11536">
        <w:rPr>
          <w:rFonts w:cs="Arial"/>
          <w:sz w:val="20"/>
          <w:szCs w:val="20"/>
        </w:rPr>
        <w:t>the gross savings estimate for this measure includes</w:t>
      </w:r>
      <w:r w:rsidR="004C416E" w:rsidRPr="004C416E">
        <w:rPr>
          <w:rFonts w:cs="Arial"/>
          <w:sz w:val="20"/>
          <w:szCs w:val="20"/>
        </w:rPr>
        <w:t xml:space="preserve"> secondary market impacts.</w:t>
      </w:r>
      <w:r w:rsidR="002B57A4">
        <w:rPr>
          <w:rFonts w:cs="Arial"/>
          <w:sz w:val="20"/>
          <w:szCs w:val="20"/>
        </w:rPr>
        <w:t xml:space="preserve"> The net savings for this measure excludes the savings that would come from units that would </w:t>
      </w:r>
      <w:r w:rsidR="00BA2B03">
        <w:rPr>
          <w:rFonts w:cs="Arial"/>
          <w:sz w:val="20"/>
          <w:szCs w:val="20"/>
        </w:rPr>
        <w:t xml:space="preserve">have </w:t>
      </w:r>
      <w:r w:rsidR="002B57A4">
        <w:rPr>
          <w:rFonts w:cs="Arial"/>
          <w:sz w:val="20"/>
          <w:szCs w:val="20"/>
        </w:rPr>
        <w:t>be</w:t>
      </w:r>
      <w:r w:rsidR="00BA2B03">
        <w:rPr>
          <w:rFonts w:cs="Arial"/>
          <w:sz w:val="20"/>
          <w:szCs w:val="20"/>
        </w:rPr>
        <w:t>en</w:t>
      </w:r>
      <w:r w:rsidR="002B57A4">
        <w:rPr>
          <w:rFonts w:cs="Arial"/>
          <w:sz w:val="20"/>
          <w:szCs w:val="20"/>
        </w:rPr>
        <w:t xml:space="preserve"> recycled in the absence of the program. </w:t>
      </w:r>
      <w:r w:rsidR="005F22BF">
        <w:rPr>
          <w:rFonts w:cs="Arial"/>
          <w:sz w:val="20"/>
          <w:szCs w:val="20"/>
        </w:rPr>
        <w:t xml:space="preserve"> </w:t>
      </w:r>
    </w:p>
    <w:p w14:paraId="393A0C2A" w14:textId="1658D9BA" w:rsidR="002F2D19" w:rsidRPr="00364DA3" w:rsidRDefault="009C5CA7" w:rsidP="00364DA3">
      <w:pPr>
        <w:spacing w:before="200" w:after="60"/>
        <w:ind w:left="630"/>
        <w:rPr>
          <w:rFonts w:cs="Arial"/>
          <w:b/>
          <w:sz w:val="20"/>
          <w:szCs w:val="20"/>
        </w:rPr>
      </w:pPr>
      <w:r w:rsidRPr="00364DA3">
        <w:rPr>
          <w:rFonts w:cs="Arial"/>
          <w:b/>
          <w:sz w:val="20"/>
          <w:szCs w:val="20"/>
        </w:rPr>
        <w:t>Effective Useful Life</w:t>
      </w:r>
      <w:r w:rsidR="00D719E9" w:rsidRPr="00364DA3">
        <w:rPr>
          <w:rFonts w:cs="Arial"/>
          <w:b/>
          <w:sz w:val="20"/>
          <w:szCs w:val="20"/>
        </w:rPr>
        <w:t xml:space="preserve"> / Remaining Useful Life</w:t>
      </w:r>
    </w:p>
    <w:p w14:paraId="448B0BCF" w14:textId="3A0C839F" w:rsidR="001F0D38" w:rsidRPr="00ED5593" w:rsidRDefault="001F0D38" w:rsidP="001F0D38">
      <w:pPr>
        <w:spacing w:after="60"/>
        <w:ind w:left="630"/>
        <w:rPr>
          <w:rFonts w:cs="Arial"/>
          <w:sz w:val="20"/>
          <w:szCs w:val="20"/>
        </w:rPr>
      </w:pPr>
      <w:bookmarkStart w:id="39" w:name="_Toc385592673"/>
      <w:r w:rsidRPr="00ED5593">
        <w:rPr>
          <w:b/>
          <w:sz w:val="20"/>
          <w:szCs w:val="20"/>
        </w:rPr>
        <w:t xml:space="preserve">Table </w:t>
      </w:r>
      <w:r w:rsidRPr="00ED5593">
        <w:rPr>
          <w:b/>
          <w:sz w:val="20"/>
          <w:szCs w:val="20"/>
        </w:rPr>
        <w:fldChar w:fldCharType="begin"/>
      </w:r>
      <w:r w:rsidRPr="00ED5593">
        <w:rPr>
          <w:b/>
          <w:sz w:val="20"/>
          <w:szCs w:val="20"/>
        </w:rPr>
        <w:instrText xml:space="preserve"> SEQ Table \* ARABIC </w:instrText>
      </w:r>
      <w:r w:rsidRPr="00ED5593">
        <w:rPr>
          <w:b/>
          <w:sz w:val="20"/>
          <w:szCs w:val="20"/>
        </w:rPr>
        <w:fldChar w:fldCharType="separate"/>
      </w:r>
      <w:r w:rsidR="00EC4C6F">
        <w:rPr>
          <w:b/>
          <w:noProof/>
          <w:sz w:val="20"/>
          <w:szCs w:val="20"/>
        </w:rPr>
        <w:t>3</w:t>
      </w:r>
      <w:r w:rsidRPr="00ED5593">
        <w:rPr>
          <w:b/>
          <w:noProof/>
          <w:sz w:val="20"/>
          <w:szCs w:val="20"/>
        </w:rPr>
        <w:fldChar w:fldCharType="end"/>
      </w:r>
      <w:r w:rsidRPr="00ED5593">
        <w:rPr>
          <w:b/>
          <w:sz w:val="20"/>
          <w:szCs w:val="20"/>
        </w:rPr>
        <w:t>.</w:t>
      </w:r>
      <w:r w:rsidRPr="00ED5593">
        <w:rPr>
          <w:rFonts w:cs="Arial"/>
          <w:b/>
          <w:sz w:val="20"/>
          <w:szCs w:val="20"/>
        </w:rPr>
        <w:t xml:space="preserve">  </w:t>
      </w:r>
      <w:r w:rsidRPr="00ED5593">
        <w:rPr>
          <w:rFonts w:cs="Arial"/>
          <w:sz w:val="20"/>
          <w:szCs w:val="20"/>
        </w:rPr>
        <w:t xml:space="preserve">DEER </w:t>
      </w:r>
      <w:r>
        <w:rPr>
          <w:rFonts w:cs="Arial"/>
          <w:sz w:val="20"/>
          <w:szCs w:val="20"/>
        </w:rPr>
        <w:t>EUL Values/Methodology</w:t>
      </w:r>
      <w:bookmarkEnd w:id="39"/>
    </w:p>
    <w:tbl>
      <w:tblPr>
        <w:tblStyle w:val="TableContemporary"/>
        <w:tblW w:w="85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658"/>
        <w:gridCol w:w="1177"/>
        <w:gridCol w:w="2039"/>
        <w:gridCol w:w="1233"/>
        <w:gridCol w:w="1110"/>
      </w:tblGrid>
      <w:tr w:rsidR="001F0D38" w:rsidRPr="001F0D38" w14:paraId="1FEFE76D" w14:textId="77777777" w:rsidTr="001F0D38">
        <w:trPr>
          <w:cnfStyle w:val="100000000000" w:firstRow="1" w:lastRow="0" w:firstColumn="0" w:lastColumn="0" w:oddVBand="0" w:evenVBand="0" w:oddHBand="0" w:evenHBand="0" w:firstRowFirstColumn="0" w:firstRowLastColumn="0" w:lastRowFirstColumn="0" w:lastRowLastColumn="0"/>
        </w:trPr>
        <w:tc>
          <w:tcPr>
            <w:tcW w:w="1376" w:type="dxa"/>
            <w:shd w:val="clear" w:color="auto" w:fill="D9D9D9" w:themeFill="background1" w:themeFillShade="D9"/>
            <w:vAlign w:val="center"/>
          </w:tcPr>
          <w:p w14:paraId="06EC5EC8"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READi EUL ID</w:t>
            </w:r>
          </w:p>
        </w:tc>
        <w:tc>
          <w:tcPr>
            <w:tcW w:w="1658" w:type="dxa"/>
            <w:shd w:val="clear" w:color="auto" w:fill="D9D9D9" w:themeFill="background1" w:themeFillShade="D9"/>
            <w:vAlign w:val="center"/>
          </w:tcPr>
          <w:p w14:paraId="34FCE098"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Market</w:t>
            </w:r>
          </w:p>
        </w:tc>
        <w:tc>
          <w:tcPr>
            <w:tcW w:w="1177" w:type="dxa"/>
            <w:shd w:val="clear" w:color="auto" w:fill="D9D9D9" w:themeFill="background1" w:themeFillShade="D9"/>
            <w:vAlign w:val="center"/>
          </w:tcPr>
          <w:p w14:paraId="6440FB10" w14:textId="2ED09148" w:rsidR="001F0D38" w:rsidRPr="001F0D38" w:rsidRDefault="001F0D38" w:rsidP="001F0D38">
            <w:pPr>
              <w:spacing w:before="60" w:after="60"/>
              <w:jc w:val="center"/>
              <w:rPr>
                <w:rFonts w:cs="Arial"/>
                <w:b w:val="0"/>
                <w:sz w:val="20"/>
                <w:szCs w:val="20"/>
              </w:rPr>
            </w:pPr>
            <w:r>
              <w:rPr>
                <w:rFonts w:cs="Arial"/>
                <w:b w:val="0"/>
                <w:sz w:val="20"/>
                <w:szCs w:val="20"/>
              </w:rPr>
              <w:t>End Use</w:t>
            </w:r>
          </w:p>
        </w:tc>
        <w:tc>
          <w:tcPr>
            <w:tcW w:w="2039" w:type="dxa"/>
            <w:shd w:val="clear" w:color="auto" w:fill="D9D9D9" w:themeFill="background1" w:themeFillShade="D9"/>
            <w:vAlign w:val="center"/>
          </w:tcPr>
          <w:p w14:paraId="2BEC7878"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Measure</w:t>
            </w:r>
          </w:p>
        </w:tc>
        <w:tc>
          <w:tcPr>
            <w:tcW w:w="1233" w:type="dxa"/>
            <w:shd w:val="clear" w:color="auto" w:fill="D9D9D9" w:themeFill="background1" w:themeFillShade="D9"/>
            <w:vAlign w:val="center"/>
          </w:tcPr>
          <w:p w14:paraId="29D65D66"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EUL (Years)</w:t>
            </w:r>
          </w:p>
        </w:tc>
        <w:tc>
          <w:tcPr>
            <w:tcW w:w="1110" w:type="dxa"/>
            <w:shd w:val="clear" w:color="auto" w:fill="D9D9D9" w:themeFill="background1" w:themeFillShade="D9"/>
            <w:vAlign w:val="center"/>
          </w:tcPr>
          <w:p w14:paraId="1FC9E8AD" w14:textId="77777777" w:rsidR="001F0D38" w:rsidRPr="001F0D38" w:rsidRDefault="001F0D38" w:rsidP="001F0D38">
            <w:pPr>
              <w:spacing w:before="60" w:after="60"/>
              <w:jc w:val="center"/>
              <w:rPr>
                <w:rFonts w:cs="Arial"/>
                <w:b w:val="0"/>
                <w:sz w:val="20"/>
                <w:szCs w:val="20"/>
              </w:rPr>
            </w:pPr>
            <w:r w:rsidRPr="001F0D38">
              <w:rPr>
                <w:rFonts w:cs="Arial"/>
                <w:b w:val="0"/>
                <w:sz w:val="20"/>
                <w:szCs w:val="20"/>
              </w:rPr>
              <w:t>RUL (Years)</w:t>
            </w:r>
          </w:p>
        </w:tc>
      </w:tr>
      <w:tr w:rsidR="001F0D38" w:rsidRPr="001F0D38" w14:paraId="7113BE22" w14:textId="77777777" w:rsidTr="001F0D38">
        <w:trPr>
          <w:cnfStyle w:val="000000100000" w:firstRow="0" w:lastRow="0" w:firstColumn="0" w:lastColumn="0" w:oddVBand="0" w:evenVBand="0" w:oddHBand="1" w:evenHBand="0" w:firstRowFirstColumn="0" w:firstRowLastColumn="0" w:lastRowFirstColumn="0" w:lastRowLastColumn="0"/>
          <w:trHeight w:val="243"/>
        </w:trPr>
        <w:tc>
          <w:tcPr>
            <w:tcW w:w="1376" w:type="dxa"/>
            <w:shd w:val="clear" w:color="auto" w:fill="auto"/>
            <w:vAlign w:val="center"/>
          </w:tcPr>
          <w:p w14:paraId="518E0B60" w14:textId="1EE2124B" w:rsidR="001F0D38" w:rsidRPr="00B2095E" w:rsidRDefault="00B2095E" w:rsidP="001F0D38">
            <w:pPr>
              <w:spacing w:before="60" w:after="60"/>
              <w:jc w:val="center"/>
              <w:rPr>
                <w:rFonts w:cs="Arial"/>
                <w:sz w:val="20"/>
                <w:szCs w:val="20"/>
              </w:rPr>
            </w:pPr>
            <w:r w:rsidRPr="00B2095E">
              <w:rPr>
                <w:rFonts w:cs="Arial"/>
                <w:sz w:val="20"/>
                <w:szCs w:val="20"/>
              </w:rPr>
              <w:t>Appl-EffCW</w:t>
            </w:r>
          </w:p>
        </w:tc>
        <w:tc>
          <w:tcPr>
            <w:tcW w:w="1658" w:type="dxa"/>
            <w:shd w:val="clear" w:color="auto" w:fill="auto"/>
            <w:vAlign w:val="center"/>
          </w:tcPr>
          <w:p w14:paraId="5157465A" w14:textId="15FFB47A" w:rsidR="001F0D38" w:rsidRPr="00B2095E" w:rsidRDefault="00B2095E" w:rsidP="001F0D38">
            <w:pPr>
              <w:spacing w:before="60" w:after="60"/>
              <w:jc w:val="center"/>
              <w:rPr>
                <w:rFonts w:cs="Arial"/>
                <w:sz w:val="20"/>
                <w:szCs w:val="20"/>
              </w:rPr>
            </w:pPr>
            <w:r w:rsidRPr="00B2095E">
              <w:rPr>
                <w:rFonts w:cs="Arial"/>
                <w:sz w:val="20"/>
                <w:szCs w:val="20"/>
              </w:rPr>
              <w:t>Res</w:t>
            </w:r>
          </w:p>
        </w:tc>
        <w:tc>
          <w:tcPr>
            <w:tcW w:w="1177" w:type="dxa"/>
            <w:shd w:val="clear" w:color="auto" w:fill="auto"/>
            <w:vAlign w:val="center"/>
          </w:tcPr>
          <w:p w14:paraId="1C32DACA" w14:textId="33B39DB8" w:rsidR="001F0D38" w:rsidRPr="00B2095E" w:rsidRDefault="00B2095E" w:rsidP="001F0D38">
            <w:pPr>
              <w:spacing w:before="60" w:after="60"/>
              <w:jc w:val="center"/>
              <w:rPr>
                <w:rFonts w:cs="Arial"/>
                <w:sz w:val="20"/>
                <w:szCs w:val="20"/>
              </w:rPr>
            </w:pPr>
            <w:r w:rsidRPr="00B2095E">
              <w:rPr>
                <w:rFonts w:cs="Arial"/>
                <w:sz w:val="20"/>
                <w:szCs w:val="20"/>
              </w:rPr>
              <w:t>AppPlug-Laundry</w:t>
            </w:r>
          </w:p>
        </w:tc>
        <w:tc>
          <w:tcPr>
            <w:tcW w:w="2039" w:type="dxa"/>
            <w:shd w:val="clear" w:color="auto" w:fill="auto"/>
            <w:vAlign w:val="center"/>
          </w:tcPr>
          <w:p w14:paraId="66004708" w14:textId="4D3B1E5A" w:rsidR="001F0D38" w:rsidRPr="00B2095E" w:rsidRDefault="00B2095E" w:rsidP="001F0D38">
            <w:pPr>
              <w:spacing w:before="60" w:after="60"/>
              <w:jc w:val="center"/>
              <w:rPr>
                <w:rFonts w:cs="Arial"/>
                <w:sz w:val="20"/>
                <w:szCs w:val="20"/>
              </w:rPr>
            </w:pPr>
            <w:r w:rsidRPr="00B2095E">
              <w:rPr>
                <w:rFonts w:cs="Arial"/>
                <w:sz w:val="20"/>
                <w:szCs w:val="20"/>
              </w:rPr>
              <w:t>High Efficiency Clothes Washer</w:t>
            </w:r>
          </w:p>
        </w:tc>
        <w:tc>
          <w:tcPr>
            <w:tcW w:w="1233" w:type="dxa"/>
            <w:shd w:val="clear" w:color="auto" w:fill="auto"/>
            <w:vAlign w:val="center"/>
          </w:tcPr>
          <w:p w14:paraId="33B1DAF8" w14:textId="072F63A2" w:rsidR="001F0D38" w:rsidRPr="00B2095E" w:rsidRDefault="001F0D38" w:rsidP="00B2095E">
            <w:pPr>
              <w:spacing w:before="60" w:after="60"/>
              <w:jc w:val="center"/>
              <w:rPr>
                <w:rFonts w:cs="Arial"/>
                <w:sz w:val="20"/>
                <w:szCs w:val="20"/>
              </w:rPr>
            </w:pPr>
            <w:r w:rsidRPr="00B2095E">
              <w:rPr>
                <w:rFonts w:cs="Arial"/>
                <w:sz w:val="20"/>
                <w:szCs w:val="20"/>
              </w:rPr>
              <w:t>1</w:t>
            </w:r>
            <w:r w:rsidR="00B2095E" w:rsidRPr="00B2095E">
              <w:rPr>
                <w:rFonts w:cs="Arial"/>
                <w:sz w:val="20"/>
                <w:szCs w:val="20"/>
              </w:rPr>
              <w:t>1</w:t>
            </w:r>
          </w:p>
        </w:tc>
        <w:tc>
          <w:tcPr>
            <w:tcW w:w="1110" w:type="dxa"/>
            <w:shd w:val="clear" w:color="auto" w:fill="auto"/>
            <w:vAlign w:val="center"/>
          </w:tcPr>
          <w:p w14:paraId="492A267F" w14:textId="74B8D51D" w:rsidR="001F0D38" w:rsidRPr="00B2095E" w:rsidRDefault="00B2095E" w:rsidP="001F0D38">
            <w:pPr>
              <w:spacing w:before="60" w:after="60"/>
              <w:jc w:val="center"/>
              <w:rPr>
                <w:rFonts w:cs="Arial"/>
                <w:sz w:val="20"/>
                <w:szCs w:val="20"/>
              </w:rPr>
            </w:pPr>
            <w:r w:rsidRPr="00B2095E">
              <w:rPr>
                <w:rFonts w:cs="Arial"/>
                <w:sz w:val="20"/>
                <w:szCs w:val="20"/>
              </w:rPr>
              <w:t>3.67</w:t>
            </w:r>
          </w:p>
        </w:tc>
      </w:tr>
    </w:tbl>
    <w:p w14:paraId="65D18FFB" w14:textId="77777777" w:rsidR="001F0D38" w:rsidRPr="00ED5593" w:rsidRDefault="001F0D38" w:rsidP="00364DA3">
      <w:pPr>
        <w:ind w:left="630"/>
        <w:rPr>
          <w:rFonts w:cs="Arial"/>
          <w:color w:val="FF0000"/>
          <w:sz w:val="20"/>
          <w:szCs w:val="20"/>
        </w:rPr>
      </w:pPr>
    </w:p>
    <w:p w14:paraId="08A65AAF" w14:textId="77777777" w:rsidR="00572817" w:rsidRPr="001D4579" w:rsidRDefault="00572817" w:rsidP="00364DA3">
      <w:pPr>
        <w:ind w:left="630"/>
        <w:rPr>
          <w:rFonts w:cs="Arial"/>
          <w:sz w:val="20"/>
          <w:szCs w:val="20"/>
        </w:rPr>
      </w:pPr>
    </w:p>
    <w:p w14:paraId="7628DCB6" w14:textId="07AF7F30" w:rsidR="0064211E" w:rsidRPr="00364DA3" w:rsidRDefault="00EA172F" w:rsidP="00364DA3">
      <w:pPr>
        <w:spacing w:after="60"/>
        <w:ind w:left="630"/>
        <w:rPr>
          <w:rFonts w:cs="Arial"/>
          <w:b/>
          <w:sz w:val="20"/>
          <w:szCs w:val="20"/>
        </w:rPr>
      </w:pPr>
      <w:r>
        <w:rPr>
          <w:rFonts w:cs="Arial"/>
          <w:b/>
          <w:sz w:val="20"/>
          <w:szCs w:val="20"/>
        </w:rPr>
        <w:t>In-Service R</w:t>
      </w:r>
      <w:r w:rsidR="00020042" w:rsidRPr="00364DA3">
        <w:rPr>
          <w:rFonts w:cs="Arial"/>
          <w:b/>
          <w:sz w:val="20"/>
          <w:szCs w:val="20"/>
        </w:rPr>
        <w:t>ate</w:t>
      </w:r>
      <w:r>
        <w:rPr>
          <w:rFonts w:cs="Arial"/>
          <w:b/>
          <w:sz w:val="20"/>
          <w:szCs w:val="20"/>
        </w:rPr>
        <w:t xml:space="preserve"> </w:t>
      </w:r>
      <w:r w:rsidR="00806070" w:rsidRPr="00364DA3">
        <w:rPr>
          <w:rFonts w:cs="Arial"/>
          <w:b/>
          <w:sz w:val="20"/>
          <w:szCs w:val="20"/>
        </w:rPr>
        <w:t>/</w:t>
      </w:r>
      <w:r>
        <w:rPr>
          <w:rFonts w:cs="Arial"/>
          <w:b/>
          <w:sz w:val="20"/>
          <w:szCs w:val="20"/>
        </w:rPr>
        <w:t xml:space="preserve"> F</w:t>
      </w:r>
      <w:r w:rsidR="00806070" w:rsidRPr="00364DA3">
        <w:rPr>
          <w:rFonts w:cs="Arial"/>
          <w:b/>
          <w:sz w:val="20"/>
          <w:szCs w:val="20"/>
        </w:rPr>
        <w:t xml:space="preserve">irst </w:t>
      </w:r>
      <w:r>
        <w:rPr>
          <w:rFonts w:cs="Arial"/>
          <w:b/>
          <w:sz w:val="20"/>
          <w:szCs w:val="20"/>
        </w:rPr>
        <w:t>Y</w:t>
      </w:r>
      <w:r w:rsidR="00806070" w:rsidRPr="00364DA3">
        <w:rPr>
          <w:rFonts w:cs="Arial"/>
          <w:b/>
          <w:sz w:val="20"/>
          <w:szCs w:val="20"/>
        </w:rPr>
        <w:t xml:space="preserve">ear </w:t>
      </w:r>
      <w:r>
        <w:rPr>
          <w:rFonts w:cs="Arial"/>
          <w:b/>
          <w:sz w:val="20"/>
          <w:szCs w:val="20"/>
        </w:rPr>
        <w:t>Installation R</w:t>
      </w:r>
      <w:r w:rsidR="00806070" w:rsidRPr="00364DA3">
        <w:rPr>
          <w:rFonts w:cs="Arial"/>
          <w:b/>
          <w:sz w:val="20"/>
          <w:szCs w:val="20"/>
        </w:rPr>
        <w:t>ate:</w:t>
      </w:r>
    </w:p>
    <w:p w14:paraId="5DC1F07F" w14:textId="70C1C114" w:rsidR="003A37EC" w:rsidRPr="00ED5593" w:rsidRDefault="003A37EC" w:rsidP="00B2095E">
      <w:pPr>
        <w:spacing w:after="60"/>
        <w:ind w:left="630"/>
        <w:rPr>
          <w:rFonts w:cs="Arial"/>
          <w:sz w:val="20"/>
          <w:szCs w:val="20"/>
        </w:rPr>
      </w:pPr>
      <w:bookmarkStart w:id="40" w:name="_Toc385592674"/>
      <w:r w:rsidRPr="00ED5593">
        <w:rPr>
          <w:b/>
          <w:sz w:val="20"/>
          <w:szCs w:val="20"/>
        </w:rPr>
        <w:t xml:space="preserve">Table </w:t>
      </w:r>
      <w:r w:rsidRPr="00ED5593">
        <w:rPr>
          <w:b/>
          <w:sz w:val="20"/>
          <w:szCs w:val="20"/>
        </w:rPr>
        <w:fldChar w:fldCharType="begin"/>
      </w:r>
      <w:r w:rsidRPr="00ED5593">
        <w:rPr>
          <w:b/>
          <w:sz w:val="20"/>
          <w:szCs w:val="20"/>
        </w:rPr>
        <w:instrText xml:space="preserve"> SEQ Table \* ARABIC </w:instrText>
      </w:r>
      <w:r w:rsidRPr="00ED5593">
        <w:rPr>
          <w:b/>
          <w:sz w:val="20"/>
          <w:szCs w:val="20"/>
        </w:rPr>
        <w:fldChar w:fldCharType="separate"/>
      </w:r>
      <w:r w:rsidR="00EC4C6F">
        <w:rPr>
          <w:b/>
          <w:noProof/>
          <w:sz w:val="20"/>
          <w:szCs w:val="20"/>
        </w:rPr>
        <w:t>4</w:t>
      </w:r>
      <w:r w:rsidRPr="00ED5593">
        <w:rPr>
          <w:b/>
          <w:noProof/>
          <w:sz w:val="20"/>
          <w:szCs w:val="20"/>
        </w:rPr>
        <w:fldChar w:fldCharType="end"/>
      </w:r>
      <w:r w:rsidRPr="00ED5593">
        <w:rPr>
          <w:b/>
          <w:sz w:val="20"/>
          <w:szCs w:val="20"/>
        </w:rPr>
        <w:t>.</w:t>
      </w:r>
      <w:r w:rsidRPr="00ED5593">
        <w:rPr>
          <w:rFonts w:cs="Arial"/>
          <w:b/>
          <w:sz w:val="20"/>
          <w:szCs w:val="20"/>
        </w:rPr>
        <w:t xml:space="preserve"> </w:t>
      </w:r>
      <w:r>
        <w:rPr>
          <w:rFonts w:cs="Arial"/>
          <w:sz w:val="20"/>
          <w:szCs w:val="20"/>
        </w:rPr>
        <w:t>Installation Rate</w:t>
      </w:r>
      <w:bookmarkEnd w:id="40"/>
    </w:p>
    <w:tbl>
      <w:tblPr>
        <w:tblW w:w="4801"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249"/>
        <w:gridCol w:w="1507"/>
        <w:gridCol w:w="1499"/>
        <w:gridCol w:w="1499"/>
        <w:gridCol w:w="1498"/>
      </w:tblGrid>
      <w:tr w:rsidR="00B87109" w:rsidRPr="003A37EC" w14:paraId="6BAD0509" w14:textId="77777777" w:rsidTr="00B87109">
        <w:trPr>
          <w:trHeight w:val="215"/>
        </w:trPr>
        <w:tc>
          <w:tcPr>
            <w:tcW w:w="5000" w:type="pct"/>
            <w:gridSpan w:val="6"/>
            <w:shd w:val="clear" w:color="auto" w:fill="D9D9D9" w:themeFill="background1" w:themeFillShade="D9"/>
            <w:vAlign w:val="center"/>
          </w:tcPr>
          <w:p w14:paraId="6F5514A6" w14:textId="2AB29805" w:rsidR="00B87109" w:rsidRPr="003A37EC" w:rsidRDefault="00B87109" w:rsidP="00907264">
            <w:pPr>
              <w:keepNext/>
              <w:spacing w:before="60" w:after="60"/>
              <w:jc w:val="center"/>
              <w:rPr>
                <w:rFonts w:cs="Arial"/>
                <w:sz w:val="20"/>
                <w:szCs w:val="20"/>
              </w:rPr>
            </w:pPr>
            <w:r w:rsidRPr="003A37EC">
              <w:rPr>
                <w:rFonts w:cs="Arial"/>
                <w:sz w:val="20"/>
                <w:szCs w:val="20"/>
              </w:rPr>
              <w:t>From DEER Tables</w:t>
            </w:r>
          </w:p>
        </w:tc>
      </w:tr>
      <w:tr w:rsidR="00B87109" w:rsidRPr="003A37EC" w14:paraId="50E0557C" w14:textId="77777777" w:rsidTr="00B87109">
        <w:trPr>
          <w:trHeight w:val="485"/>
        </w:trPr>
        <w:tc>
          <w:tcPr>
            <w:tcW w:w="942" w:type="pct"/>
            <w:shd w:val="clear" w:color="auto" w:fill="D9D9D9" w:themeFill="background1" w:themeFillShade="D9"/>
            <w:vAlign w:val="center"/>
          </w:tcPr>
          <w:p w14:paraId="67A709A7" w14:textId="4C7738F2" w:rsidR="00B87109" w:rsidRPr="003A37EC" w:rsidRDefault="00B87109" w:rsidP="00B87109">
            <w:pPr>
              <w:keepNext/>
              <w:spacing w:before="60" w:after="60"/>
              <w:jc w:val="center"/>
              <w:rPr>
                <w:rFonts w:cs="Arial"/>
                <w:sz w:val="20"/>
                <w:szCs w:val="20"/>
              </w:rPr>
            </w:pPr>
            <w:r>
              <w:rPr>
                <w:rFonts w:cs="Arial"/>
                <w:sz w:val="20"/>
                <w:szCs w:val="20"/>
              </w:rPr>
              <w:t>GSIA_ID</w:t>
            </w:r>
            <w:r w:rsidRPr="003A37EC">
              <w:rPr>
                <w:rFonts w:cs="Arial"/>
                <w:sz w:val="20"/>
                <w:szCs w:val="20"/>
              </w:rPr>
              <w:t xml:space="preserve"> </w:t>
            </w:r>
          </w:p>
        </w:tc>
        <w:tc>
          <w:tcPr>
            <w:tcW w:w="699" w:type="pct"/>
            <w:shd w:val="clear" w:color="auto" w:fill="D9D9D9" w:themeFill="background1" w:themeFillShade="D9"/>
            <w:vAlign w:val="center"/>
          </w:tcPr>
          <w:p w14:paraId="0E2A2E5A" w14:textId="77777777" w:rsidR="00B87109" w:rsidRPr="003A37EC" w:rsidRDefault="00B87109" w:rsidP="00B87109">
            <w:pPr>
              <w:keepNext/>
              <w:spacing w:before="60" w:after="60"/>
              <w:jc w:val="center"/>
              <w:rPr>
                <w:rFonts w:cs="Arial"/>
                <w:sz w:val="20"/>
                <w:szCs w:val="20"/>
              </w:rPr>
            </w:pPr>
            <w:r w:rsidRPr="003A37EC">
              <w:rPr>
                <w:rFonts w:cs="Arial"/>
                <w:sz w:val="20"/>
                <w:szCs w:val="20"/>
              </w:rPr>
              <w:t xml:space="preserve">Description </w:t>
            </w:r>
          </w:p>
        </w:tc>
        <w:tc>
          <w:tcPr>
            <w:tcW w:w="843" w:type="pct"/>
            <w:shd w:val="clear" w:color="auto" w:fill="D9D9D9" w:themeFill="background1" w:themeFillShade="D9"/>
            <w:vAlign w:val="center"/>
          </w:tcPr>
          <w:p w14:paraId="0340EEA4" w14:textId="77777777" w:rsidR="00B87109" w:rsidRPr="003A37EC" w:rsidRDefault="00B87109" w:rsidP="00B87109">
            <w:pPr>
              <w:keepNext/>
              <w:spacing w:before="60" w:after="60"/>
              <w:jc w:val="center"/>
              <w:rPr>
                <w:rFonts w:cs="Arial"/>
                <w:sz w:val="20"/>
                <w:szCs w:val="20"/>
              </w:rPr>
            </w:pPr>
            <w:r w:rsidRPr="003A37EC">
              <w:rPr>
                <w:rFonts w:cs="Arial"/>
                <w:sz w:val="20"/>
                <w:szCs w:val="20"/>
              </w:rPr>
              <w:t xml:space="preserve">Sector </w:t>
            </w:r>
          </w:p>
        </w:tc>
        <w:tc>
          <w:tcPr>
            <w:tcW w:w="839" w:type="pct"/>
            <w:shd w:val="clear" w:color="auto" w:fill="D9D9D9" w:themeFill="background1" w:themeFillShade="D9"/>
            <w:vAlign w:val="center"/>
          </w:tcPr>
          <w:p w14:paraId="6D0FC90A" w14:textId="77777777" w:rsidR="00B87109" w:rsidRPr="003A37EC" w:rsidRDefault="00B87109" w:rsidP="00B87109">
            <w:pPr>
              <w:keepNext/>
              <w:spacing w:before="60" w:after="60"/>
              <w:jc w:val="center"/>
              <w:rPr>
                <w:rFonts w:cs="Arial"/>
                <w:sz w:val="20"/>
                <w:szCs w:val="20"/>
              </w:rPr>
            </w:pPr>
            <w:r w:rsidRPr="003A37EC">
              <w:rPr>
                <w:rFonts w:cs="Arial"/>
                <w:sz w:val="20"/>
                <w:szCs w:val="20"/>
              </w:rPr>
              <w:t>Building Type</w:t>
            </w:r>
          </w:p>
        </w:tc>
        <w:tc>
          <w:tcPr>
            <w:tcW w:w="839" w:type="pct"/>
            <w:shd w:val="clear" w:color="auto" w:fill="D9D9D9" w:themeFill="background1" w:themeFillShade="D9"/>
            <w:vAlign w:val="center"/>
          </w:tcPr>
          <w:p w14:paraId="11A07F12" w14:textId="1BF1C269" w:rsidR="00B87109" w:rsidRPr="003A37EC" w:rsidRDefault="00B87109" w:rsidP="00B87109">
            <w:pPr>
              <w:keepNext/>
              <w:spacing w:before="60" w:after="60"/>
              <w:jc w:val="center"/>
              <w:rPr>
                <w:rFonts w:cs="Arial"/>
                <w:sz w:val="20"/>
                <w:szCs w:val="20"/>
              </w:rPr>
            </w:pPr>
            <w:r>
              <w:rPr>
                <w:rFonts w:cs="Arial"/>
                <w:sz w:val="20"/>
                <w:szCs w:val="20"/>
              </w:rPr>
              <w:t>GSIA Value</w:t>
            </w:r>
          </w:p>
        </w:tc>
        <w:tc>
          <w:tcPr>
            <w:tcW w:w="838" w:type="pct"/>
            <w:shd w:val="clear" w:color="auto" w:fill="D9D9D9" w:themeFill="background1" w:themeFillShade="D9"/>
            <w:vAlign w:val="center"/>
          </w:tcPr>
          <w:p w14:paraId="3C7703C4" w14:textId="3A306C5D" w:rsidR="00B87109" w:rsidRPr="003A37EC" w:rsidRDefault="00B87109" w:rsidP="00B87109">
            <w:pPr>
              <w:keepNext/>
              <w:spacing w:before="60" w:after="60"/>
              <w:jc w:val="center"/>
              <w:rPr>
                <w:rFonts w:cs="Arial"/>
                <w:sz w:val="20"/>
                <w:szCs w:val="20"/>
              </w:rPr>
            </w:pPr>
            <w:r w:rsidRPr="003A37EC">
              <w:rPr>
                <w:rFonts w:cs="Arial"/>
                <w:sz w:val="20"/>
                <w:szCs w:val="20"/>
              </w:rPr>
              <w:t>Program Delivery</w:t>
            </w:r>
          </w:p>
        </w:tc>
      </w:tr>
      <w:tr w:rsidR="00B87109" w:rsidRPr="003A37EC" w14:paraId="1ABB1A2A" w14:textId="77777777" w:rsidTr="00B87109">
        <w:trPr>
          <w:trHeight w:val="440"/>
        </w:trPr>
        <w:tc>
          <w:tcPr>
            <w:tcW w:w="942" w:type="pct"/>
            <w:shd w:val="clear" w:color="auto" w:fill="auto"/>
            <w:vAlign w:val="center"/>
          </w:tcPr>
          <w:p w14:paraId="493C4A7E" w14:textId="33B6FC3B" w:rsidR="00B87109" w:rsidRPr="003A37EC" w:rsidRDefault="004A2B1F" w:rsidP="00B87109">
            <w:pPr>
              <w:spacing w:before="60" w:after="60"/>
              <w:jc w:val="center"/>
              <w:rPr>
                <w:rFonts w:cs="Arial"/>
                <w:sz w:val="20"/>
                <w:szCs w:val="20"/>
              </w:rPr>
            </w:pPr>
            <w:r>
              <w:rPr>
                <w:rFonts w:cs="Arial"/>
                <w:sz w:val="20"/>
                <w:szCs w:val="20"/>
              </w:rPr>
              <w:t>Def-GSIA</w:t>
            </w:r>
          </w:p>
        </w:tc>
        <w:tc>
          <w:tcPr>
            <w:tcW w:w="699" w:type="pct"/>
            <w:shd w:val="clear" w:color="auto" w:fill="auto"/>
            <w:vAlign w:val="center"/>
          </w:tcPr>
          <w:p w14:paraId="29029273" w14:textId="5EC03194" w:rsidR="00B87109" w:rsidRPr="003A37EC" w:rsidRDefault="004A2B1F" w:rsidP="00B87109">
            <w:pPr>
              <w:spacing w:before="60" w:after="60"/>
              <w:jc w:val="center"/>
              <w:rPr>
                <w:rFonts w:cs="Arial"/>
                <w:sz w:val="20"/>
                <w:szCs w:val="20"/>
              </w:rPr>
            </w:pPr>
            <w:r>
              <w:rPr>
                <w:rFonts w:cs="Arial"/>
                <w:sz w:val="20"/>
                <w:szCs w:val="20"/>
              </w:rPr>
              <w:t>Default GSIA</w:t>
            </w:r>
          </w:p>
        </w:tc>
        <w:tc>
          <w:tcPr>
            <w:tcW w:w="843" w:type="pct"/>
            <w:shd w:val="clear" w:color="auto" w:fill="auto"/>
            <w:vAlign w:val="center"/>
          </w:tcPr>
          <w:p w14:paraId="62B914FA" w14:textId="02D86607" w:rsidR="00B87109" w:rsidRPr="003A37EC" w:rsidRDefault="004A2B1F" w:rsidP="00B87109">
            <w:pPr>
              <w:spacing w:before="60" w:after="60"/>
              <w:jc w:val="center"/>
              <w:rPr>
                <w:rFonts w:cs="Arial"/>
                <w:sz w:val="20"/>
                <w:szCs w:val="20"/>
              </w:rPr>
            </w:pPr>
            <w:r>
              <w:rPr>
                <w:rFonts w:cs="Arial"/>
                <w:sz w:val="20"/>
                <w:szCs w:val="20"/>
              </w:rPr>
              <w:t>Any</w:t>
            </w:r>
          </w:p>
        </w:tc>
        <w:tc>
          <w:tcPr>
            <w:tcW w:w="839" w:type="pct"/>
            <w:vAlign w:val="center"/>
          </w:tcPr>
          <w:p w14:paraId="7166946F" w14:textId="77777777" w:rsidR="00B87109" w:rsidRPr="003A37EC" w:rsidRDefault="00B87109" w:rsidP="00B87109">
            <w:pPr>
              <w:spacing w:before="60" w:after="60"/>
              <w:jc w:val="center"/>
              <w:rPr>
                <w:rFonts w:cs="Arial"/>
                <w:sz w:val="20"/>
                <w:szCs w:val="20"/>
              </w:rPr>
            </w:pPr>
            <w:r w:rsidRPr="003A37EC">
              <w:rPr>
                <w:rFonts w:cs="Arial"/>
                <w:sz w:val="20"/>
                <w:szCs w:val="20"/>
              </w:rPr>
              <w:t>Any</w:t>
            </w:r>
          </w:p>
        </w:tc>
        <w:tc>
          <w:tcPr>
            <w:tcW w:w="839" w:type="pct"/>
            <w:vAlign w:val="center"/>
          </w:tcPr>
          <w:p w14:paraId="07594975" w14:textId="62D96829" w:rsidR="00B87109" w:rsidRPr="003A37EC" w:rsidRDefault="008D50F5" w:rsidP="00B87109">
            <w:pPr>
              <w:spacing w:before="60" w:after="60"/>
              <w:jc w:val="center"/>
              <w:rPr>
                <w:rFonts w:cs="Arial"/>
                <w:sz w:val="20"/>
                <w:szCs w:val="20"/>
              </w:rPr>
            </w:pPr>
            <w:r>
              <w:rPr>
                <w:rFonts w:cs="Arial"/>
                <w:sz w:val="20"/>
                <w:szCs w:val="20"/>
              </w:rPr>
              <w:t>1.0</w:t>
            </w:r>
          </w:p>
        </w:tc>
        <w:tc>
          <w:tcPr>
            <w:tcW w:w="838" w:type="pct"/>
            <w:vAlign w:val="center"/>
          </w:tcPr>
          <w:p w14:paraId="4F41C1A9" w14:textId="11219A3F" w:rsidR="00B87109" w:rsidRPr="003A37EC" w:rsidRDefault="004A2B1F" w:rsidP="00B87109">
            <w:pPr>
              <w:spacing w:before="60" w:after="60"/>
              <w:jc w:val="center"/>
              <w:rPr>
                <w:rFonts w:cs="Arial"/>
                <w:sz w:val="20"/>
                <w:szCs w:val="20"/>
              </w:rPr>
            </w:pPr>
            <w:r>
              <w:rPr>
                <w:rFonts w:cs="Arial"/>
                <w:sz w:val="20"/>
                <w:szCs w:val="20"/>
              </w:rPr>
              <w:t>Any</w:t>
            </w:r>
          </w:p>
        </w:tc>
      </w:tr>
    </w:tbl>
    <w:p w14:paraId="1998E428" w14:textId="77777777" w:rsidR="003A37EC" w:rsidRDefault="003A37EC" w:rsidP="00364DA3">
      <w:pPr>
        <w:ind w:left="630"/>
        <w:rPr>
          <w:rFonts w:cs="Arial"/>
          <w:color w:val="FF0000"/>
          <w:sz w:val="20"/>
          <w:szCs w:val="20"/>
        </w:rPr>
      </w:pPr>
    </w:p>
    <w:p w14:paraId="6B289C6E" w14:textId="41747AFB" w:rsidR="003A37EC" w:rsidRDefault="003A37EC">
      <w:pPr>
        <w:rPr>
          <w:rFonts w:cs="Arial"/>
          <w:b/>
          <w:sz w:val="20"/>
          <w:szCs w:val="20"/>
        </w:rPr>
      </w:pPr>
    </w:p>
    <w:p w14:paraId="57D1634D" w14:textId="116BAF16" w:rsidR="003A37EC" w:rsidRPr="003A37EC" w:rsidRDefault="003A37EC" w:rsidP="003A37EC">
      <w:pPr>
        <w:spacing w:after="60"/>
        <w:ind w:left="630"/>
        <w:rPr>
          <w:rFonts w:cs="Arial"/>
          <w:b/>
          <w:sz w:val="20"/>
          <w:szCs w:val="20"/>
        </w:rPr>
      </w:pPr>
      <w:r w:rsidRPr="003A37EC">
        <w:rPr>
          <w:rFonts w:cs="Arial"/>
          <w:b/>
          <w:sz w:val="20"/>
          <w:szCs w:val="20"/>
        </w:rPr>
        <w:t>READi Technology Fields</w:t>
      </w:r>
    </w:p>
    <w:p w14:paraId="1FF9A218" w14:textId="3E51F08A" w:rsidR="001F0D38" w:rsidRPr="001F0D38" w:rsidRDefault="001F0D38" w:rsidP="001F0D38">
      <w:pPr>
        <w:pStyle w:val="Caption"/>
        <w:spacing w:after="60"/>
        <w:ind w:firstLine="576"/>
        <w:rPr>
          <w:rFonts w:cs="Arial"/>
        </w:rPr>
      </w:pPr>
      <w:bookmarkStart w:id="41" w:name="_Toc385592675"/>
      <w:r w:rsidRPr="001F0D38">
        <w:rPr>
          <w:rFonts w:cs="Arial"/>
        </w:rPr>
        <w:t xml:space="preserve">Table </w:t>
      </w:r>
      <w:r w:rsidRPr="001F0D38">
        <w:rPr>
          <w:rFonts w:cs="Arial"/>
        </w:rPr>
        <w:fldChar w:fldCharType="begin"/>
      </w:r>
      <w:r w:rsidRPr="001F0D38">
        <w:rPr>
          <w:rFonts w:cs="Arial"/>
        </w:rPr>
        <w:instrText xml:space="preserve"> SEQ Table \* ARABIC </w:instrText>
      </w:r>
      <w:r w:rsidRPr="001F0D38">
        <w:rPr>
          <w:rFonts w:cs="Arial"/>
        </w:rPr>
        <w:fldChar w:fldCharType="separate"/>
      </w:r>
      <w:r w:rsidR="00EC4C6F">
        <w:rPr>
          <w:rFonts w:cs="Arial"/>
          <w:noProof/>
        </w:rPr>
        <w:t>5</w:t>
      </w:r>
      <w:r w:rsidRPr="001F0D38">
        <w:rPr>
          <w:rFonts w:cs="Arial"/>
        </w:rPr>
        <w:fldChar w:fldCharType="end"/>
      </w:r>
      <w:r w:rsidRPr="001F0D38">
        <w:rPr>
          <w:rFonts w:cs="Arial"/>
        </w:rPr>
        <w:t xml:space="preserve">. </w:t>
      </w:r>
      <w:r w:rsidRPr="001F0D38">
        <w:rPr>
          <w:rFonts w:cs="Arial"/>
          <w:b w:val="0"/>
        </w:rPr>
        <w:t>READi Tech IDs</w:t>
      </w:r>
      <w:bookmarkEnd w:id="41"/>
    </w:p>
    <w:tbl>
      <w:tblPr>
        <w:tblStyle w:val="TableContemporary"/>
        <w:tblW w:w="883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030"/>
      </w:tblGrid>
      <w:tr w:rsidR="001F0D38" w:rsidRPr="001F0D38" w14:paraId="0564FE77" w14:textId="77777777" w:rsidTr="001F0D38">
        <w:trPr>
          <w:cnfStyle w:val="100000000000" w:firstRow="1" w:lastRow="0" w:firstColumn="0" w:lastColumn="0" w:oddVBand="0" w:evenVBand="0" w:oddHBand="0" w:evenHBand="0" w:firstRowFirstColumn="0" w:firstRowLastColumn="0" w:lastRowFirstColumn="0" w:lastRowLastColumn="0"/>
        </w:trPr>
        <w:tc>
          <w:tcPr>
            <w:tcW w:w="2808" w:type="dxa"/>
            <w:shd w:val="clear" w:color="auto" w:fill="BFBFBF" w:themeFill="background1" w:themeFillShade="BF"/>
          </w:tcPr>
          <w:p w14:paraId="47E262B2" w14:textId="77777777" w:rsidR="001F0D38" w:rsidRPr="001F0D38" w:rsidRDefault="001F0D38" w:rsidP="001F0D38">
            <w:pPr>
              <w:pStyle w:val="Reminders"/>
              <w:jc w:val="center"/>
              <w:rPr>
                <w:rFonts w:ascii="Arial" w:hAnsi="Arial" w:cs="Arial"/>
                <w:b w:val="0"/>
                <w:i w:val="0"/>
                <w:color w:val="auto"/>
                <w:sz w:val="20"/>
                <w:szCs w:val="22"/>
              </w:rPr>
            </w:pPr>
            <w:r w:rsidRPr="001F0D38">
              <w:rPr>
                <w:rFonts w:ascii="Arial" w:hAnsi="Arial" w:cs="Arial"/>
                <w:b w:val="0"/>
                <w:i w:val="0"/>
                <w:color w:val="auto"/>
                <w:sz w:val="20"/>
                <w:szCs w:val="22"/>
              </w:rPr>
              <w:t>READi Field Name</w:t>
            </w:r>
          </w:p>
        </w:tc>
        <w:tc>
          <w:tcPr>
            <w:tcW w:w="6030" w:type="dxa"/>
            <w:shd w:val="clear" w:color="auto" w:fill="BFBFBF" w:themeFill="background1" w:themeFillShade="BF"/>
          </w:tcPr>
          <w:p w14:paraId="52F112A4" w14:textId="77777777" w:rsidR="001F0D38" w:rsidRPr="001F0D38" w:rsidRDefault="001F0D38" w:rsidP="001F0D38">
            <w:pPr>
              <w:pStyle w:val="Reminders"/>
              <w:jc w:val="center"/>
              <w:rPr>
                <w:rFonts w:ascii="Arial" w:hAnsi="Arial" w:cs="Arial"/>
                <w:b w:val="0"/>
                <w:i w:val="0"/>
                <w:color w:val="auto"/>
                <w:sz w:val="20"/>
                <w:szCs w:val="22"/>
              </w:rPr>
            </w:pPr>
            <w:r w:rsidRPr="001F0D38">
              <w:rPr>
                <w:rFonts w:ascii="Arial" w:hAnsi="Arial" w:cs="Arial"/>
                <w:b w:val="0"/>
                <w:i w:val="0"/>
                <w:color w:val="auto"/>
                <w:sz w:val="20"/>
                <w:szCs w:val="22"/>
              </w:rPr>
              <w:t>Values included in this workpaper</w:t>
            </w:r>
          </w:p>
        </w:tc>
      </w:tr>
      <w:tr w:rsidR="001F0D38" w:rsidRPr="001F0D38" w14:paraId="79A81BBF" w14:textId="77777777" w:rsidTr="001F0D38">
        <w:trPr>
          <w:cnfStyle w:val="000000100000" w:firstRow="0" w:lastRow="0" w:firstColumn="0" w:lastColumn="0" w:oddVBand="0" w:evenVBand="0" w:oddHBand="1" w:evenHBand="0" w:firstRowFirstColumn="0" w:firstRowLastColumn="0" w:lastRowFirstColumn="0" w:lastRowLastColumn="0"/>
        </w:trPr>
        <w:tc>
          <w:tcPr>
            <w:tcW w:w="2808" w:type="dxa"/>
            <w:shd w:val="clear" w:color="auto" w:fill="auto"/>
          </w:tcPr>
          <w:p w14:paraId="0E82C964" w14:textId="7B864FB9" w:rsidR="001F0D38" w:rsidRPr="001F0D38" w:rsidRDefault="001F0D38" w:rsidP="00907264">
            <w:pPr>
              <w:pStyle w:val="Reminders"/>
              <w:rPr>
                <w:rFonts w:ascii="Arial" w:hAnsi="Arial" w:cs="Arial"/>
                <w:i w:val="0"/>
                <w:color w:val="auto"/>
                <w:sz w:val="20"/>
                <w:szCs w:val="22"/>
              </w:rPr>
            </w:pPr>
            <w:r w:rsidRPr="001F0D38">
              <w:rPr>
                <w:rFonts w:ascii="Arial" w:hAnsi="Arial" w:cs="Arial"/>
                <w:i w:val="0"/>
                <w:color w:val="auto"/>
                <w:sz w:val="20"/>
                <w:szCs w:val="22"/>
              </w:rPr>
              <w:t>Measu</w:t>
            </w:r>
            <w:r w:rsidR="004A2B1F">
              <w:rPr>
                <w:rFonts w:ascii="Arial" w:hAnsi="Arial" w:cs="Arial"/>
                <w:i w:val="0"/>
                <w:color w:val="auto"/>
                <w:sz w:val="20"/>
                <w:szCs w:val="22"/>
              </w:rPr>
              <w:t>r</w:t>
            </w:r>
            <w:r w:rsidRPr="001F0D38">
              <w:rPr>
                <w:rFonts w:ascii="Arial" w:hAnsi="Arial" w:cs="Arial"/>
                <w:i w:val="0"/>
                <w:color w:val="auto"/>
                <w:sz w:val="20"/>
                <w:szCs w:val="22"/>
              </w:rPr>
              <w:t>e Case UseCategory</w:t>
            </w:r>
          </w:p>
        </w:tc>
        <w:tc>
          <w:tcPr>
            <w:tcW w:w="6030" w:type="dxa"/>
            <w:shd w:val="clear" w:color="auto" w:fill="auto"/>
          </w:tcPr>
          <w:p w14:paraId="4A74B09C" w14:textId="51271CA8" w:rsidR="001F0D38" w:rsidRPr="001F0D38" w:rsidRDefault="004A2B1F" w:rsidP="004A2B1F">
            <w:pPr>
              <w:pStyle w:val="Reminders"/>
              <w:jc w:val="center"/>
              <w:rPr>
                <w:rFonts w:ascii="Arial" w:hAnsi="Arial" w:cs="Arial"/>
                <w:i w:val="0"/>
                <w:color w:val="auto"/>
                <w:sz w:val="20"/>
                <w:szCs w:val="22"/>
              </w:rPr>
            </w:pPr>
            <w:r>
              <w:rPr>
                <w:rFonts w:ascii="Arial" w:hAnsi="Arial" w:cs="Arial"/>
                <w:i w:val="0"/>
                <w:color w:val="auto"/>
                <w:sz w:val="20"/>
                <w:szCs w:val="22"/>
              </w:rPr>
              <w:t>Appliances and Plug Loads</w:t>
            </w:r>
          </w:p>
        </w:tc>
      </w:tr>
      <w:tr w:rsidR="001F0D38" w:rsidRPr="001F0D38" w14:paraId="3BEE9016" w14:textId="77777777" w:rsidTr="001F0D38">
        <w:trPr>
          <w:cnfStyle w:val="000000010000" w:firstRow="0" w:lastRow="0" w:firstColumn="0" w:lastColumn="0" w:oddVBand="0" w:evenVBand="0" w:oddHBand="0" w:evenHBand="1" w:firstRowFirstColumn="0" w:firstRowLastColumn="0" w:lastRowFirstColumn="0" w:lastRowLastColumn="0"/>
        </w:trPr>
        <w:tc>
          <w:tcPr>
            <w:tcW w:w="2808" w:type="dxa"/>
            <w:shd w:val="clear" w:color="auto" w:fill="auto"/>
          </w:tcPr>
          <w:p w14:paraId="413D6EBD" w14:textId="77777777" w:rsidR="001F0D38" w:rsidRPr="001F0D38" w:rsidRDefault="001F0D38" w:rsidP="00907264">
            <w:pPr>
              <w:pStyle w:val="Reminders"/>
              <w:rPr>
                <w:rFonts w:ascii="Arial" w:hAnsi="Arial" w:cs="Arial"/>
                <w:i w:val="0"/>
                <w:color w:val="auto"/>
                <w:sz w:val="20"/>
                <w:szCs w:val="22"/>
              </w:rPr>
            </w:pPr>
            <w:r w:rsidRPr="001F0D38">
              <w:rPr>
                <w:rFonts w:ascii="Arial" w:hAnsi="Arial" w:cs="Arial"/>
                <w:i w:val="0"/>
                <w:color w:val="auto"/>
                <w:sz w:val="20"/>
                <w:szCs w:val="22"/>
              </w:rPr>
              <w:t>Measure Case UseSubCats</w:t>
            </w:r>
          </w:p>
        </w:tc>
        <w:tc>
          <w:tcPr>
            <w:tcW w:w="6030" w:type="dxa"/>
            <w:shd w:val="clear" w:color="auto" w:fill="auto"/>
          </w:tcPr>
          <w:p w14:paraId="6CCE2857" w14:textId="64833497" w:rsidR="001F0D38" w:rsidRPr="001F0D38" w:rsidRDefault="004A2B1F" w:rsidP="004A2B1F">
            <w:pPr>
              <w:pStyle w:val="Reminders"/>
              <w:jc w:val="center"/>
              <w:rPr>
                <w:rFonts w:ascii="Arial" w:hAnsi="Arial" w:cs="Arial"/>
                <w:i w:val="0"/>
                <w:color w:val="auto"/>
                <w:sz w:val="20"/>
                <w:szCs w:val="22"/>
              </w:rPr>
            </w:pPr>
            <w:r>
              <w:rPr>
                <w:rFonts w:ascii="Arial" w:hAnsi="Arial" w:cs="Arial"/>
                <w:i w:val="0"/>
                <w:color w:val="auto"/>
                <w:sz w:val="20"/>
                <w:szCs w:val="22"/>
              </w:rPr>
              <w:t>Laundry Appliances</w:t>
            </w:r>
          </w:p>
        </w:tc>
      </w:tr>
      <w:tr w:rsidR="001F0D38" w:rsidRPr="001F0D38" w14:paraId="798197FA" w14:textId="77777777" w:rsidTr="001F0D38">
        <w:trPr>
          <w:cnfStyle w:val="000000100000" w:firstRow="0" w:lastRow="0" w:firstColumn="0" w:lastColumn="0" w:oddVBand="0" w:evenVBand="0" w:oddHBand="1" w:evenHBand="0" w:firstRowFirstColumn="0" w:firstRowLastColumn="0" w:lastRowFirstColumn="0" w:lastRowLastColumn="0"/>
        </w:trPr>
        <w:tc>
          <w:tcPr>
            <w:tcW w:w="2808" w:type="dxa"/>
            <w:shd w:val="clear" w:color="auto" w:fill="auto"/>
          </w:tcPr>
          <w:p w14:paraId="4A1A66D8" w14:textId="77777777" w:rsidR="001F0D38" w:rsidRPr="001F0D38" w:rsidRDefault="001F0D38" w:rsidP="00907264">
            <w:pPr>
              <w:pStyle w:val="Reminders"/>
              <w:rPr>
                <w:rFonts w:ascii="Arial" w:hAnsi="Arial" w:cs="Arial"/>
                <w:i w:val="0"/>
                <w:color w:val="auto"/>
                <w:sz w:val="20"/>
                <w:szCs w:val="22"/>
              </w:rPr>
            </w:pPr>
            <w:r w:rsidRPr="001F0D38">
              <w:rPr>
                <w:rFonts w:ascii="Arial" w:hAnsi="Arial" w:cs="Arial"/>
                <w:i w:val="0"/>
                <w:color w:val="auto"/>
                <w:sz w:val="20"/>
                <w:szCs w:val="22"/>
              </w:rPr>
              <w:t>Measure Case TechGroups</w:t>
            </w:r>
          </w:p>
        </w:tc>
        <w:tc>
          <w:tcPr>
            <w:tcW w:w="6030" w:type="dxa"/>
            <w:shd w:val="clear" w:color="auto" w:fill="auto"/>
          </w:tcPr>
          <w:p w14:paraId="71E857EA" w14:textId="2FF2BDC0" w:rsidR="001F0D38" w:rsidRPr="001F0D38" w:rsidRDefault="00B0780C" w:rsidP="004A2B1F">
            <w:pPr>
              <w:pStyle w:val="Reminders"/>
              <w:jc w:val="center"/>
              <w:rPr>
                <w:rFonts w:ascii="Arial" w:hAnsi="Arial" w:cs="Arial"/>
                <w:i w:val="0"/>
                <w:color w:val="auto"/>
                <w:sz w:val="20"/>
                <w:szCs w:val="22"/>
              </w:rPr>
            </w:pPr>
            <w:r>
              <w:rPr>
                <w:rFonts w:ascii="Arial" w:hAnsi="Arial" w:cs="Arial"/>
                <w:i w:val="0"/>
                <w:color w:val="auto"/>
                <w:sz w:val="20"/>
                <w:szCs w:val="22"/>
              </w:rPr>
              <w:t>Cleaning Equipment</w:t>
            </w:r>
          </w:p>
        </w:tc>
      </w:tr>
      <w:tr w:rsidR="001F0D38" w:rsidRPr="001F0D38" w14:paraId="708E7BBE" w14:textId="77777777" w:rsidTr="001F0D38">
        <w:trPr>
          <w:cnfStyle w:val="000000010000" w:firstRow="0" w:lastRow="0" w:firstColumn="0" w:lastColumn="0" w:oddVBand="0" w:evenVBand="0" w:oddHBand="0" w:evenHBand="1" w:firstRowFirstColumn="0" w:firstRowLastColumn="0" w:lastRowFirstColumn="0" w:lastRowLastColumn="0"/>
        </w:trPr>
        <w:tc>
          <w:tcPr>
            <w:tcW w:w="2808" w:type="dxa"/>
            <w:shd w:val="clear" w:color="auto" w:fill="auto"/>
          </w:tcPr>
          <w:p w14:paraId="7BB04847" w14:textId="77777777" w:rsidR="001F0D38" w:rsidRPr="001F0D38" w:rsidRDefault="001F0D38" w:rsidP="00907264">
            <w:pPr>
              <w:pStyle w:val="Reminders"/>
              <w:rPr>
                <w:rFonts w:ascii="Arial" w:hAnsi="Arial" w:cs="Arial"/>
                <w:i w:val="0"/>
                <w:color w:val="auto"/>
                <w:sz w:val="20"/>
                <w:szCs w:val="22"/>
              </w:rPr>
            </w:pPr>
            <w:r w:rsidRPr="001F0D38">
              <w:rPr>
                <w:rFonts w:ascii="Arial" w:hAnsi="Arial" w:cs="Arial"/>
                <w:i w:val="0"/>
                <w:color w:val="auto"/>
                <w:sz w:val="20"/>
                <w:szCs w:val="22"/>
              </w:rPr>
              <w:t>Measure Case TechTypes</w:t>
            </w:r>
          </w:p>
        </w:tc>
        <w:tc>
          <w:tcPr>
            <w:tcW w:w="6030" w:type="dxa"/>
            <w:shd w:val="clear" w:color="auto" w:fill="auto"/>
          </w:tcPr>
          <w:p w14:paraId="34D1D2BD" w14:textId="0E663782" w:rsidR="001F0D38" w:rsidRPr="001F0D38" w:rsidRDefault="00B0780C" w:rsidP="004A2B1F">
            <w:pPr>
              <w:pStyle w:val="Reminders"/>
              <w:jc w:val="center"/>
              <w:rPr>
                <w:rFonts w:ascii="Arial" w:hAnsi="Arial" w:cs="Arial"/>
                <w:i w:val="0"/>
                <w:color w:val="auto"/>
                <w:sz w:val="20"/>
                <w:szCs w:val="22"/>
              </w:rPr>
            </w:pPr>
            <w:r>
              <w:rPr>
                <w:rFonts w:ascii="Arial" w:hAnsi="Arial" w:cs="Arial"/>
                <w:i w:val="0"/>
                <w:color w:val="auto"/>
                <w:sz w:val="20"/>
                <w:szCs w:val="22"/>
              </w:rPr>
              <w:t>Clothes washer</w:t>
            </w:r>
          </w:p>
        </w:tc>
      </w:tr>
      <w:tr w:rsidR="001F0D38" w:rsidRPr="001F0D38" w14:paraId="67E77A4B" w14:textId="77777777" w:rsidTr="001F0D38">
        <w:trPr>
          <w:cnfStyle w:val="000000100000" w:firstRow="0" w:lastRow="0" w:firstColumn="0" w:lastColumn="0" w:oddVBand="0" w:evenVBand="0" w:oddHBand="1" w:evenHBand="0" w:firstRowFirstColumn="0" w:firstRowLastColumn="0" w:lastRowFirstColumn="0" w:lastRowLastColumn="0"/>
        </w:trPr>
        <w:tc>
          <w:tcPr>
            <w:tcW w:w="2808" w:type="dxa"/>
            <w:shd w:val="clear" w:color="auto" w:fill="auto"/>
          </w:tcPr>
          <w:p w14:paraId="252E151F" w14:textId="77777777" w:rsidR="001F0D38" w:rsidRPr="001F0D38" w:rsidRDefault="001F0D38" w:rsidP="00907264">
            <w:pPr>
              <w:pStyle w:val="Reminders"/>
              <w:rPr>
                <w:rFonts w:ascii="Arial" w:hAnsi="Arial" w:cs="Arial"/>
                <w:i w:val="0"/>
                <w:color w:val="auto"/>
                <w:sz w:val="20"/>
                <w:szCs w:val="22"/>
              </w:rPr>
            </w:pPr>
            <w:r w:rsidRPr="001F0D38">
              <w:rPr>
                <w:rFonts w:ascii="Arial" w:hAnsi="Arial" w:cs="Arial"/>
                <w:i w:val="0"/>
                <w:color w:val="auto"/>
                <w:sz w:val="20"/>
                <w:szCs w:val="22"/>
              </w:rPr>
              <w:t>Base Case TechGroups</w:t>
            </w:r>
          </w:p>
        </w:tc>
        <w:tc>
          <w:tcPr>
            <w:tcW w:w="6030" w:type="dxa"/>
            <w:shd w:val="clear" w:color="auto" w:fill="auto"/>
          </w:tcPr>
          <w:p w14:paraId="73ED0BB8" w14:textId="1799B739" w:rsidR="001F0D38" w:rsidRPr="001F0D38" w:rsidRDefault="004A2B1F" w:rsidP="004A2B1F">
            <w:pPr>
              <w:pStyle w:val="Reminders"/>
              <w:jc w:val="center"/>
              <w:rPr>
                <w:rFonts w:ascii="Arial" w:hAnsi="Arial" w:cs="Arial"/>
                <w:i w:val="0"/>
                <w:color w:val="auto"/>
                <w:sz w:val="20"/>
                <w:szCs w:val="22"/>
              </w:rPr>
            </w:pPr>
            <w:r>
              <w:rPr>
                <w:rFonts w:ascii="Arial" w:hAnsi="Arial" w:cs="Arial"/>
                <w:i w:val="0"/>
                <w:color w:val="auto"/>
                <w:sz w:val="20"/>
                <w:szCs w:val="22"/>
              </w:rPr>
              <w:t>Cleaning Equipment</w:t>
            </w:r>
          </w:p>
        </w:tc>
      </w:tr>
      <w:tr w:rsidR="001F0D38" w:rsidRPr="001F0D38" w14:paraId="7EBDF956" w14:textId="77777777" w:rsidTr="001F0D38">
        <w:trPr>
          <w:cnfStyle w:val="000000010000" w:firstRow="0" w:lastRow="0" w:firstColumn="0" w:lastColumn="0" w:oddVBand="0" w:evenVBand="0" w:oddHBand="0" w:evenHBand="1" w:firstRowFirstColumn="0" w:firstRowLastColumn="0" w:lastRowFirstColumn="0" w:lastRowLastColumn="0"/>
        </w:trPr>
        <w:tc>
          <w:tcPr>
            <w:tcW w:w="2808" w:type="dxa"/>
            <w:shd w:val="clear" w:color="auto" w:fill="auto"/>
          </w:tcPr>
          <w:p w14:paraId="364B712E" w14:textId="77777777" w:rsidR="001F0D38" w:rsidRPr="001F0D38" w:rsidRDefault="001F0D38" w:rsidP="00907264">
            <w:pPr>
              <w:pStyle w:val="Reminders"/>
              <w:rPr>
                <w:rFonts w:ascii="Arial" w:hAnsi="Arial" w:cs="Arial"/>
                <w:i w:val="0"/>
                <w:color w:val="auto"/>
                <w:sz w:val="20"/>
                <w:szCs w:val="22"/>
              </w:rPr>
            </w:pPr>
            <w:r w:rsidRPr="001F0D38">
              <w:rPr>
                <w:rFonts w:ascii="Arial" w:hAnsi="Arial" w:cs="Arial"/>
                <w:i w:val="0"/>
                <w:color w:val="auto"/>
                <w:sz w:val="20"/>
                <w:szCs w:val="22"/>
              </w:rPr>
              <w:t>Base Case TechTypes</w:t>
            </w:r>
          </w:p>
        </w:tc>
        <w:tc>
          <w:tcPr>
            <w:tcW w:w="6030" w:type="dxa"/>
            <w:shd w:val="clear" w:color="auto" w:fill="auto"/>
          </w:tcPr>
          <w:p w14:paraId="0741B4B3" w14:textId="7F16CFE2" w:rsidR="001F0D38" w:rsidRPr="001F0D38" w:rsidRDefault="004A2B1F" w:rsidP="004A2B1F">
            <w:pPr>
              <w:pStyle w:val="Reminders"/>
              <w:jc w:val="center"/>
              <w:rPr>
                <w:rFonts w:ascii="Arial" w:hAnsi="Arial" w:cs="Arial"/>
                <w:i w:val="0"/>
                <w:color w:val="auto"/>
                <w:sz w:val="20"/>
                <w:szCs w:val="22"/>
              </w:rPr>
            </w:pPr>
            <w:r>
              <w:rPr>
                <w:rFonts w:ascii="Arial" w:hAnsi="Arial" w:cs="Arial"/>
                <w:i w:val="0"/>
                <w:color w:val="auto"/>
                <w:sz w:val="20"/>
                <w:szCs w:val="22"/>
              </w:rPr>
              <w:t>Clothes washer</w:t>
            </w:r>
          </w:p>
        </w:tc>
      </w:tr>
    </w:tbl>
    <w:p w14:paraId="7CC705C6" w14:textId="4A4B8B12" w:rsidR="00777C1F" w:rsidRPr="00FB6F32" w:rsidRDefault="00E71EF1" w:rsidP="00F81AAE">
      <w:pPr>
        <w:pStyle w:val="Heading3-CalTFStyle31"/>
      </w:pPr>
      <w:bookmarkStart w:id="42" w:name="_Toc304800206"/>
      <w:bookmarkStart w:id="43" w:name="_Toc324318342"/>
      <w:bookmarkStart w:id="44" w:name="_Toc324340486"/>
      <w:bookmarkStart w:id="45" w:name="_Toc385592987"/>
      <w:r w:rsidRPr="00FB6F32">
        <w:t xml:space="preserve">Codes &amp; Standards Requirements </w:t>
      </w:r>
      <w:r w:rsidR="009C5CA7" w:rsidRPr="00FB6F32">
        <w:t>Base Case and Measure Information</w:t>
      </w:r>
      <w:bookmarkEnd w:id="42"/>
      <w:bookmarkEnd w:id="43"/>
      <w:bookmarkEnd w:id="44"/>
      <w:bookmarkEnd w:id="45"/>
    </w:p>
    <w:p w14:paraId="5EA91BB9" w14:textId="77777777" w:rsidR="00086F2F" w:rsidRPr="00572817" w:rsidRDefault="00086F2F" w:rsidP="00364DA3">
      <w:pPr>
        <w:ind w:left="630"/>
        <w:rPr>
          <w:rFonts w:cs="Arial"/>
          <w:sz w:val="20"/>
          <w:szCs w:val="20"/>
        </w:rPr>
      </w:pPr>
    </w:p>
    <w:p w14:paraId="3E5C8337" w14:textId="79DFF898" w:rsidR="007565A1" w:rsidRDefault="009941CA" w:rsidP="007565A1">
      <w:pPr>
        <w:ind w:left="630"/>
        <w:rPr>
          <w:rFonts w:cs="Arial"/>
          <w:sz w:val="20"/>
          <w:szCs w:val="20"/>
        </w:rPr>
      </w:pPr>
      <w:r>
        <w:rPr>
          <w:rFonts w:cs="Arial"/>
          <w:sz w:val="20"/>
          <w:szCs w:val="20"/>
        </w:rPr>
        <w:t>The California Title 20 standard requires that all top-loading standard size (</w:t>
      </w:r>
      <w:r>
        <w:rPr>
          <w:rFonts w:ascii="Franklin Gothic Medium" w:hAnsi="Franklin Gothic Medium" w:cs="Arial"/>
          <w:sz w:val="20"/>
          <w:szCs w:val="20"/>
        </w:rPr>
        <w:t>≥</w:t>
      </w:r>
      <w:r>
        <w:rPr>
          <w:rFonts w:cs="Arial"/>
          <w:sz w:val="20"/>
          <w:szCs w:val="20"/>
        </w:rPr>
        <w:t xml:space="preserve"> 1.6 cu. ft) clothes washers meet the minimum standards </w:t>
      </w:r>
      <w:r w:rsidR="00FF38E8">
        <w:rPr>
          <w:rFonts w:cs="Arial"/>
          <w:sz w:val="20"/>
          <w:szCs w:val="20"/>
        </w:rPr>
        <w:t>in Table 6</w:t>
      </w:r>
      <w:r>
        <w:rPr>
          <w:rFonts w:cs="Arial"/>
          <w:sz w:val="20"/>
          <w:szCs w:val="20"/>
        </w:rPr>
        <w:t xml:space="preserve"> after the effective dates listed.</w:t>
      </w:r>
      <w:r w:rsidRPr="009941CA">
        <w:rPr>
          <w:rFonts w:cs="Arial"/>
          <w:sz w:val="20"/>
          <w:szCs w:val="20"/>
        </w:rPr>
        <w:t xml:space="preserve"> </w:t>
      </w:r>
      <w:r w:rsidRPr="00080785">
        <w:rPr>
          <w:rFonts w:cs="Arial"/>
          <w:sz w:val="20"/>
          <w:szCs w:val="20"/>
        </w:rPr>
        <w:t>The Title 20 standard for residential clothes washers is equivalent to the federal standard due to federal preemption.</w:t>
      </w:r>
      <w:r w:rsidR="007565A1" w:rsidRPr="007565A1">
        <w:rPr>
          <w:rFonts w:cs="Arial"/>
          <w:sz w:val="20"/>
          <w:szCs w:val="20"/>
        </w:rPr>
        <w:t xml:space="preserve"> </w:t>
      </w:r>
      <w:r w:rsidR="007565A1">
        <w:rPr>
          <w:rFonts w:cs="Arial"/>
          <w:sz w:val="20"/>
          <w:szCs w:val="20"/>
        </w:rPr>
        <w:t>The Title 20 standard is used f</w:t>
      </w:r>
      <w:r w:rsidR="007565A1" w:rsidRPr="00080785">
        <w:rPr>
          <w:rFonts w:cs="Arial"/>
          <w:sz w:val="20"/>
          <w:szCs w:val="20"/>
        </w:rPr>
        <w:t>or calculating secondary market impacts,</w:t>
      </w:r>
      <w:r w:rsidR="007565A1">
        <w:rPr>
          <w:rFonts w:cs="Arial"/>
          <w:sz w:val="20"/>
          <w:szCs w:val="20"/>
        </w:rPr>
        <w:t xml:space="preserve"> and</w:t>
      </w:r>
      <w:r w:rsidR="007565A1" w:rsidRPr="00080785">
        <w:rPr>
          <w:rFonts w:cs="Arial"/>
          <w:sz w:val="20"/>
          <w:szCs w:val="20"/>
        </w:rPr>
        <w:t xml:space="preserve"> the </w:t>
      </w:r>
      <w:r w:rsidR="007565A1">
        <w:rPr>
          <w:rFonts w:cs="Arial"/>
          <w:sz w:val="20"/>
          <w:szCs w:val="20"/>
        </w:rPr>
        <w:lastRenderedPageBreak/>
        <w:t>unit energy savings under this scenario</w:t>
      </w:r>
      <w:r w:rsidR="007565A1" w:rsidRPr="00080785">
        <w:rPr>
          <w:rFonts w:cs="Arial"/>
          <w:sz w:val="20"/>
          <w:szCs w:val="20"/>
        </w:rPr>
        <w:t xml:space="preserve"> is derived from the standard going into effect on March 7, 2015.</w:t>
      </w:r>
      <w:r w:rsidR="007565A1">
        <w:rPr>
          <w:rFonts w:cs="Arial"/>
          <w:sz w:val="20"/>
          <w:szCs w:val="20"/>
        </w:rPr>
        <w:t xml:space="preserve"> </w:t>
      </w:r>
      <w:r w:rsidR="007565A1" w:rsidRPr="00080785">
        <w:rPr>
          <w:rFonts w:cs="Arial"/>
          <w:sz w:val="20"/>
          <w:szCs w:val="20"/>
        </w:rPr>
        <w:t xml:space="preserve"> </w:t>
      </w:r>
    </w:p>
    <w:p w14:paraId="2050EAF6" w14:textId="77777777" w:rsidR="007565A1" w:rsidRDefault="007565A1" w:rsidP="007565A1">
      <w:pPr>
        <w:ind w:left="630"/>
        <w:rPr>
          <w:rFonts w:cs="Arial"/>
          <w:sz w:val="20"/>
          <w:szCs w:val="20"/>
        </w:rPr>
      </w:pPr>
    </w:p>
    <w:p w14:paraId="3D8402AA" w14:textId="630109E7" w:rsidR="00FF17CA" w:rsidRDefault="00AA547E" w:rsidP="007565A1">
      <w:pPr>
        <w:ind w:left="630"/>
        <w:rPr>
          <w:rFonts w:cs="Arial"/>
          <w:sz w:val="20"/>
          <w:szCs w:val="20"/>
        </w:rPr>
      </w:pPr>
      <w:r>
        <w:rPr>
          <w:rFonts w:cs="Arial"/>
          <w:sz w:val="20"/>
          <w:szCs w:val="20"/>
        </w:rPr>
        <w:t>The</w:t>
      </w:r>
      <w:r w:rsidR="007565A1">
        <w:rPr>
          <w:rFonts w:cs="Arial"/>
          <w:sz w:val="20"/>
          <w:szCs w:val="20"/>
        </w:rPr>
        <w:t xml:space="preserve"> March 2015</w:t>
      </w:r>
      <w:r>
        <w:rPr>
          <w:rFonts w:cs="Arial"/>
          <w:sz w:val="20"/>
          <w:szCs w:val="20"/>
        </w:rPr>
        <w:t xml:space="preserve"> </w:t>
      </w:r>
      <w:r w:rsidR="00401792">
        <w:rPr>
          <w:rFonts w:cs="Arial"/>
          <w:sz w:val="20"/>
          <w:szCs w:val="20"/>
        </w:rPr>
        <w:t xml:space="preserve">standards </w:t>
      </w:r>
      <w:r>
        <w:rPr>
          <w:rFonts w:cs="Arial"/>
          <w:sz w:val="20"/>
          <w:szCs w:val="20"/>
        </w:rPr>
        <w:t>are equivalent to</w:t>
      </w:r>
      <w:r w:rsidR="00946B0C">
        <w:rPr>
          <w:rFonts w:cs="Arial"/>
          <w:sz w:val="20"/>
          <w:szCs w:val="20"/>
        </w:rPr>
        <w:t xml:space="preserve"> a modified energy factor (MEF) of 1.72 and a water factor (WF)</w:t>
      </w:r>
      <w:r w:rsidR="00401792">
        <w:rPr>
          <w:rFonts w:cs="Arial"/>
          <w:sz w:val="20"/>
          <w:szCs w:val="20"/>
        </w:rPr>
        <w:t xml:space="preserve"> of 8.0</w:t>
      </w:r>
      <w:r w:rsidR="00946B0C">
        <w:rPr>
          <w:rFonts w:cs="Arial"/>
          <w:sz w:val="20"/>
          <w:szCs w:val="20"/>
        </w:rPr>
        <w:t xml:space="preserve"> under the previous methodology.</w:t>
      </w:r>
      <w:r w:rsidR="00401792">
        <w:rPr>
          <w:rFonts w:cs="Arial"/>
          <w:sz w:val="20"/>
          <w:szCs w:val="20"/>
        </w:rPr>
        <w:t xml:space="preserve"> The new energy and water metrics</w:t>
      </w:r>
      <w:r w:rsidR="00FF17CA">
        <w:rPr>
          <w:rFonts w:cs="Arial"/>
          <w:sz w:val="20"/>
          <w:szCs w:val="20"/>
        </w:rPr>
        <w:t xml:space="preserve">, </w:t>
      </w:r>
      <w:r w:rsidR="00DF4C71">
        <w:rPr>
          <w:rFonts w:cs="Arial"/>
          <w:sz w:val="20"/>
          <w:szCs w:val="20"/>
        </w:rPr>
        <w:t>integrated modified energy factor (</w:t>
      </w:r>
      <w:r w:rsidR="00FF17CA">
        <w:rPr>
          <w:rFonts w:cs="Arial"/>
          <w:sz w:val="20"/>
          <w:szCs w:val="20"/>
        </w:rPr>
        <w:t>IMEF</w:t>
      </w:r>
      <w:r w:rsidR="00DF4C71">
        <w:rPr>
          <w:rFonts w:cs="Arial"/>
          <w:sz w:val="20"/>
          <w:szCs w:val="20"/>
        </w:rPr>
        <w:t>)</w:t>
      </w:r>
      <w:r w:rsidR="00FF17CA">
        <w:rPr>
          <w:rFonts w:cs="Arial"/>
          <w:sz w:val="20"/>
          <w:szCs w:val="20"/>
        </w:rPr>
        <w:t xml:space="preserve"> and</w:t>
      </w:r>
      <w:r w:rsidR="00DF4C71">
        <w:rPr>
          <w:rFonts w:cs="Arial"/>
          <w:sz w:val="20"/>
          <w:szCs w:val="20"/>
        </w:rPr>
        <w:t xml:space="preserve"> integrated water factor</w:t>
      </w:r>
      <w:r w:rsidR="00FF17CA">
        <w:rPr>
          <w:rFonts w:cs="Arial"/>
          <w:sz w:val="20"/>
          <w:szCs w:val="20"/>
        </w:rPr>
        <w:t xml:space="preserve"> </w:t>
      </w:r>
      <w:r w:rsidR="00DF4C71">
        <w:rPr>
          <w:rFonts w:cs="Arial"/>
          <w:sz w:val="20"/>
          <w:szCs w:val="20"/>
        </w:rPr>
        <w:t>(</w:t>
      </w:r>
      <w:r w:rsidR="00FF17CA">
        <w:rPr>
          <w:rFonts w:cs="Arial"/>
          <w:sz w:val="20"/>
          <w:szCs w:val="20"/>
        </w:rPr>
        <w:t>IWF</w:t>
      </w:r>
      <w:r w:rsidR="00DF4C71">
        <w:rPr>
          <w:rFonts w:cs="Arial"/>
          <w:sz w:val="20"/>
          <w:szCs w:val="20"/>
        </w:rPr>
        <w:t>)</w:t>
      </w:r>
      <w:r w:rsidR="00FF17CA">
        <w:rPr>
          <w:rFonts w:cs="Arial"/>
          <w:sz w:val="20"/>
          <w:szCs w:val="20"/>
        </w:rPr>
        <w:t>,</w:t>
      </w:r>
      <w:r w:rsidR="00401792">
        <w:rPr>
          <w:rFonts w:cs="Arial"/>
          <w:sz w:val="20"/>
          <w:szCs w:val="20"/>
        </w:rPr>
        <w:t xml:space="preserve"> mainly differ from the prior metric</w:t>
      </w:r>
      <w:r w:rsidR="00FF17CA">
        <w:rPr>
          <w:rFonts w:cs="Arial"/>
          <w:sz w:val="20"/>
          <w:szCs w:val="20"/>
        </w:rPr>
        <w:t>s</w:t>
      </w:r>
      <w:r w:rsidR="00401792">
        <w:rPr>
          <w:rFonts w:cs="Arial"/>
          <w:sz w:val="20"/>
          <w:szCs w:val="20"/>
        </w:rPr>
        <w:t xml:space="preserve"> </w:t>
      </w:r>
      <w:r w:rsidR="00F05292">
        <w:rPr>
          <w:rFonts w:cs="Arial"/>
          <w:sz w:val="20"/>
          <w:szCs w:val="20"/>
        </w:rPr>
        <w:t xml:space="preserve">used, MEF and WF, </w:t>
      </w:r>
      <w:r w:rsidR="00401792">
        <w:rPr>
          <w:rFonts w:cs="Arial"/>
          <w:sz w:val="20"/>
          <w:szCs w:val="20"/>
        </w:rPr>
        <w:t>due to the addition of standby and off-mode energy consumption.</w:t>
      </w:r>
    </w:p>
    <w:p w14:paraId="68C95505" w14:textId="77777777" w:rsidR="00FF17CA" w:rsidRDefault="00FF17CA" w:rsidP="007565A1">
      <w:pPr>
        <w:ind w:left="630"/>
        <w:rPr>
          <w:rFonts w:cs="Arial"/>
          <w:sz w:val="20"/>
          <w:szCs w:val="20"/>
        </w:rPr>
      </w:pPr>
    </w:p>
    <w:p w14:paraId="5B52B010" w14:textId="44BBCCAC" w:rsidR="007565A1" w:rsidRPr="00080785" w:rsidRDefault="00FF17CA" w:rsidP="007565A1">
      <w:pPr>
        <w:ind w:left="630"/>
        <w:rPr>
          <w:rFonts w:cs="Arial"/>
          <w:color w:val="FF0000"/>
          <w:sz w:val="20"/>
          <w:szCs w:val="20"/>
        </w:rPr>
      </w:pPr>
      <w:r>
        <w:rPr>
          <w:rFonts w:cs="Arial"/>
          <w:sz w:val="20"/>
          <w:szCs w:val="20"/>
        </w:rPr>
        <w:t>IMEF has units expressed in cubic ft/kWh/cycle and is defined below.</w:t>
      </w:r>
      <w:r>
        <w:rPr>
          <w:rStyle w:val="EndnoteReference"/>
          <w:rFonts w:cs="Arial"/>
          <w:sz w:val="20"/>
          <w:szCs w:val="20"/>
        </w:rPr>
        <w:endnoteReference w:id="7"/>
      </w:r>
      <w:r w:rsidR="00B77BB5">
        <w:rPr>
          <w:rFonts w:cs="Arial"/>
          <w:sz w:val="20"/>
          <w:szCs w:val="20"/>
        </w:rPr>
        <w:t xml:space="preserve"> </w:t>
      </w:r>
      <w:r w:rsidR="00303D53">
        <w:rPr>
          <w:rFonts w:cs="Arial"/>
          <w:i/>
          <w:sz w:val="20"/>
          <w:szCs w:val="20"/>
        </w:rPr>
        <w:t xml:space="preserve">C </w:t>
      </w:r>
      <w:r w:rsidR="00303D53">
        <w:rPr>
          <w:rFonts w:cs="Arial"/>
          <w:sz w:val="20"/>
          <w:szCs w:val="20"/>
        </w:rPr>
        <w:t xml:space="preserve">represents the clothes washer capacity in cubic ft, </w:t>
      </w:r>
      <w:r w:rsidR="00303D53">
        <w:rPr>
          <w:rFonts w:cs="Arial"/>
          <w:i/>
          <w:sz w:val="20"/>
          <w:szCs w:val="20"/>
        </w:rPr>
        <w:t>E</w:t>
      </w:r>
      <w:r w:rsidR="00303D53">
        <w:rPr>
          <w:rFonts w:cs="Arial"/>
          <w:i/>
          <w:sz w:val="20"/>
          <w:szCs w:val="20"/>
          <w:vertAlign w:val="subscript"/>
        </w:rPr>
        <w:t xml:space="preserve">TE </w:t>
      </w:r>
      <w:r w:rsidR="00303D53">
        <w:rPr>
          <w:rFonts w:cs="Arial"/>
          <w:sz w:val="20"/>
          <w:szCs w:val="20"/>
        </w:rPr>
        <w:t xml:space="preserve">represents the total </w:t>
      </w:r>
      <w:r w:rsidR="00F2520B">
        <w:rPr>
          <w:rFonts w:cs="Arial"/>
          <w:sz w:val="20"/>
          <w:szCs w:val="20"/>
        </w:rPr>
        <w:t xml:space="preserve">machine electrical and hot water </w:t>
      </w:r>
      <w:r w:rsidR="00303D53">
        <w:rPr>
          <w:rFonts w:cs="Arial"/>
          <w:sz w:val="20"/>
          <w:szCs w:val="20"/>
        </w:rPr>
        <w:t>energy consumption</w:t>
      </w:r>
      <w:r w:rsidR="00F2520B">
        <w:rPr>
          <w:rFonts w:cs="Arial"/>
          <w:sz w:val="20"/>
          <w:szCs w:val="20"/>
        </w:rPr>
        <w:t xml:space="preserve"> in kWh</w:t>
      </w:r>
      <w:r w:rsidR="00303D53">
        <w:rPr>
          <w:rFonts w:cs="Arial"/>
          <w:sz w:val="20"/>
          <w:szCs w:val="20"/>
        </w:rPr>
        <w:t xml:space="preserve">, </w:t>
      </w:r>
      <w:r w:rsidR="00303D53">
        <w:rPr>
          <w:rFonts w:cs="Arial"/>
          <w:i/>
          <w:sz w:val="20"/>
          <w:szCs w:val="20"/>
        </w:rPr>
        <w:t>D</w:t>
      </w:r>
      <w:r w:rsidR="00303D53">
        <w:rPr>
          <w:rFonts w:cs="Arial"/>
          <w:i/>
          <w:sz w:val="20"/>
          <w:szCs w:val="20"/>
          <w:vertAlign w:val="subscript"/>
        </w:rPr>
        <w:t>E</w:t>
      </w:r>
      <w:r w:rsidR="00303D53">
        <w:rPr>
          <w:rFonts w:cs="Arial"/>
          <w:sz w:val="20"/>
          <w:szCs w:val="20"/>
          <w:vertAlign w:val="subscript"/>
        </w:rPr>
        <w:t xml:space="preserve"> </w:t>
      </w:r>
      <w:r w:rsidR="00303D53">
        <w:rPr>
          <w:rFonts w:cs="Arial"/>
          <w:sz w:val="20"/>
          <w:szCs w:val="20"/>
        </w:rPr>
        <w:t xml:space="preserve"> represents the</w:t>
      </w:r>
      <w:r w:rsidR="00C82FD3">
        <w:rPr>
          <w:rFonts w:cs="Arial"/>
          <w:sz w:val="20"/>
          <w:szCs w:val="20"/>
        </w:rPr>
        <w:t xml:space="preserve"> energy consumption for removal of moisture from test load</w:t>
      </w:r>
      <w:r w:rsidR="00F2520B">
        <w:rPr>
          <w:rFonts w:cs="Arial"/>
          <w:sz w:val="20"/>
          <w:szCs w:val="20"/>
        </w:rPr>
        <w:t xml:space="preserve"> in kWh</w:t>
      </w:r>
      <w:r w:rsidR="00C82FD3">
        <w:rPr>
          <w:rFonts w:cs="Arial"/>
          <w:sz w:val="20"/>
          <w:szCs w:val="20"/>
        </w:rPr>
        <w:t xml:space="preserve">, and </w:t>
      </w:r>
      <w:r w:rsidR="00C82FD3">
        <w:rPr>
          <w:rFonts w:cs="Arial"/>
          <w:i/>
          <w:sz w:val="20"/>
          <w:szCs w:val="20"/>
        </w:rPr>
        <w:t>E</w:t>
      </w:r>
      <w:r w:rsidR="00C82FD3">
        <w:rPr>
          <w:rFonts w:cs="Arial"/>
          <w:i/>
          <w:sz w:val="20"/>
          <w:szCs w:val="20"/>
          <w:vertAlign w:val="subscript"/>
        </w:rPr>
        <w:t>TLP</w:t>
      </w:r>
      <w:r w:rsidR="00C82FD3">
        <w:rPr>
          <w:rFonts w:cs="Arial"/>
          <w:i/>
          <w:sz w:val="20"/>
          <w:szCs w:val="20"/>
        </w:rPr>
        <w:t xml:space="preserve"> </w:t>
      </w:r>
      <w:r w:rsidR="00F2520B">
        <w:rPr>
          <w:rFonts w:cs="Arial"/>
          <w:sz w:val="20"/>
          <w:szCs w:val="20"/>
        </w:rPr>
        <w:t xml:space="preserve">represents the combined low-power mode energy consumption in kWh. </w:t>
      </w:r>
      <w:r w:rsidR="00C82FD3">
        <w:rPr>
          <w:rFonts w:cs="Arial"/>
          <w:i/>
          <w:sz w:val="20"/>
          <w:szCs w:val="20"/>
        </w:rPr>
        <w:t xml:space="preserve"> </w:t>
      </w:r>
      <w:r w:rsidR="00303D53">
        <w:rPr>
          <w:rFonts w:cs="Arial"/>
          <w:sz w:val="20"/>
          <w:szCs w:val="20"/>
        </w:rPr>
        <w:t xml:space="preserve">  </w:t>
      </w:r>
      <w:r>
        <w:rPr>
          <w:rFonts w:cs="Arial"/>
          <w:sz w:val="20"/>
          <w:szCs w:val="20"/>
        </w:rPr>
        <w:t xml:space="preserve"> </w:t>
      </w:r>
      <w:r w:rsidR="00401792">
        <w:rPr>
          <w:rFonts w:cs="Arial"/>
          <w:sz w:val="20"/>
          <w:szCs w:val="20"/>
        </w:rPr>
        <w:t xml:space="preserve">  </w:t>
      </w:r>
      <w:r w:rsidR="00946B0C">
        <w:rPr>
          <w:rFonts w:cs="Arial"/>
          <w:sz w:val="20"/>
          <w:szCs w:val="20"/>
        </w:rPr>
        <w:t xml:space="preserve"> </w:t>
      </w:r>
    </w:p>
    <w:p w14:paraId="770FD354" w14:textId="62A008B6" w:rsidR="00A00567" w:rsidRDefault="00A00567" w:rsidP="00364DA3">
      <w:pPr>
        <w:ind w:left="630"/>
        <w:rPr>
          <w:rFonts w:cs="Arial"/>
          <w:sz w:val="20"/>
          <w:szCs w:val="20"/>
        </w:rPr>
      </w:pPr>
    </w:p>
    <w:p w14:paraId="7B0498FB" w14:textId="344F952A" w:rsidR="00FF38E8" w:rsidRPr="00F05292" w:rsidRDefault="00303D53" w:rsidP="00303D53">
      <w:pPr>
        <w:ind w:left="630"/>
        <w:jc w:val="center"/>
        <w:rPr>
          <w:rFonts w:cs="Arial"/>
          <w:sz w:val="20"/>
          <w:szCs w:val="20"/>
        </w:rPr>
      </w:pPr>
      <m:oMathPara>
        <m:oMath>
          <m:r>
            <w:rPr>
              <w:rFonts w:ascii="Cambria Math" w:hAnsi="Cambria Math" w:cs="Arial"/>
              <w:sz w:val="20"/>
              <w:szCs w:val="20"/>
            </w:rPr>
            <m:t>IMEF=</m:t>
          </m:r>
          <m:f>
            <m:fPr>
              <m:ctrlPr>
                <w:rPr>
                  <w:rFonts w:ascii="Cambria Math" w:hAnsi="Cambria Math" w:cs="Arial"/>
                  <w:i/>
                  <w:sz w:val="20"/>
                  <w:szCs w:val="20"/>
                </w:rPr>
              </m:ctrlPr>
            </m:fPr>
            <m:num>
              <m:r>
                <w:rPr>
                  <w:rFonts w:ascii="Cambria Math" w:hAnsi="Cambria Math" w:cs="Arial"/>
                  <w:sz w:val="20"/>
                  <w:szCs w:val="20"/>
                </w:rPr>
                <m:t>C</m:t>
              </m:r>
            </m:num>
            <m:den>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TE</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E</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TLP</m:t>
                  </m:r>
                </m:sub>
              </m:sSub>
              <m:r>
                <w:rPr>
                  <w:rFonts w:ascii="Cambria Math" w:hAnsi="Cambria Math" w:cs="Arial"/>
                  <w:sz w:val="20"/>
                  <w:szCs w:val="20"/>
                </w:rPr>
                <m:t>)</m:t>
              </m:r>
            </m:den>
          </m:f>
        </m:oMath>
      </m:oMathPara>
    </w:p>
    <w:p w14:paraId="5CC49AD9" w14:textId="77777777" w:rsidR="00F05292" w:rsidRDefault="00F05292" w:rsidP="00303D53">
      <w:pPr>
        <w:ind w:left="630"/>
        <w:jc w:val="center"/>
        <w:rPr>
          <w:rFonts w:cs="Arial"/>
          <w:sz w:val="20"/>
          <w:szCs w:val="20"/>
        </w:rPr>
      </w:pPr>
    </w:p>
    <w:p w14:paraId="7D754D86" w14:textId="245183FF" w:rsidR="00F05292" w:rsidRDefault="00F05292" w:rsidP="00F05292">
      <w:pPr>
        <w:ind w:left="630"/>
        <w:rPr>
          <w:rFonts w:cs="Arial"/>
          <w:sz w:val="20"/>
          <w:szCs w:val="20"/>
        </w:rPr>
      </w:pPr>
      <w:r>
        <w:rPr>
          <w:rFonts w:cs="Arial"/>
          <w:sz w:val="20"/>
          <w:szCs w:val="20"/>
        </w:rPr>
        <w:t xml:space="preserve">IWF has units expressed in gallons/cycle/cubic ft and is defined below. </w:t>
      </w:r>
      <w:r>
        <w:rPr>
          <w:rFonts w:cs="Arial"/>
          <w:i/>
          <w:sz w:val="20"/>
          <w:szCs w:val="20"/>
        </w:rPr>
        <w:t>Q</w:t>
      </w:r>
      <w:r>
        <w:rPr>
          <w:rFonts w:cs="Arial"/>
          <w:i/>
          <w:sz w:val="20"/>
          <w:szCs w:val="20"/>
          <w:vertAlign w:val="subscript"/>
        </w:rPr>
        <w:t xml:space="preserve">T </w:t>
      </w:r>
      <w:r>
        <w:rPr>
          <w:rFonts w:cs="Arial"/>
          <w:sz w:val="20"/>
          <w:szCs w:val="20"/>
        </w:rPr>
        <w:t xml:space="preserve">represents </w:t>
      </w:r>
      <w:r w:rsidR="00AB36E5">
        <w:rPr>
          <w:rFonts w:cs="Arial"/>
          <w:sz w:val="20"/>
          <w:szCs w:val="20"/>
        </w:rPr>
        <w:t>total weighted water consumption for all cycles,</w:t>
      </w:r>
      <w:r>
        <w:rPr>
          <w:rFonts w:cs="Arial"/>
          <w:sz w:val="20"/>
          <w:szCs w:val="20"/>
        </w:rPr>
        <w:t xml:space="preserve"> and </w:t>
      </w:r>
      <w:r>
        <w:rPr>
          <w:rFonts w:cs="Arial"/>
          <w:i/>
          <w:sz w:val="20"/>
          <w:szCs w:val="20"/>
        </w:rPr>
        <w:t xml:space="preserve">C </w:t>
      </w:r>
      <w:r>
        <w:rPr>
          <w:rFonts w:cs="Arial"/>
          <w:sz w:val="20"/>
          <w:szCs w:val="20"/>
        </w:rPr>
        <w:t>represents the clothes washer capacity in cubic ft.</w:t>
      </w:r>
    </w:p>
    <w:p w14:paraId="6641962A" w14:textId="77777777" w:rsidR="00AB36E5" w:rsidRDefault="00AB36E5" w:rsidP="00F05292">
      <w:pPr>
        <w:ind w:left="630"/>
        <w:rPr>
          <w:rFonts w:cs="Arial"/>
          <w:sz w:val="20"/>
          <w:szCs w:val="20"/>
        </w:rPr>
      </w:pPr>
    </w:p>
    <w:p w14:paraId="7D2AC2DD" w14:textId="5AFABDBE" w:rsidR="00AB36E5" w:rsidRPr="00F05292" w:rsidRDefault="00AB36E5" w:rsidP="00F05292">
      <w:pPr>
        <w:ind w:left="630"/>
        <w:rPr>
          <w:rFonts w:cs="Arial"/>
          <w:sz w:val="20"/>
          <w:szCs w:val="20"/>
        </w:rPr>
      </w:pPr>
      <m:oMathPara>
        <m:oMath>
          <m:r>
            <w:rPr>
              <w:rFonts w:ascii="Cambria Math" w:hAnsi="Cambria Math" w:cs="Arial"/>
              <w:sz w:val="20"/>
              <w:szCs w:val="20"/>
            </w:rPr>
            <m:t xml:space="preserve">IWF=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T</m:t>
                  </m:r>
                </m:sub>
              </m:sSub>
            </m:num>
            <m:den>
              <m:r>
                <w:rPr>
                  <w:rFonts w:ascii="Cambria Math" w:hAnsi="Cambria Math" w:cs="Arial"/>
                  <w:sz w:val="20"/>
                  <w:szCs w:val="20"/>
                </w:rPr>
                <m:t>C</m:t>
              </m:r>
            </m:den>
          </m:f>
        </m:oMath>
      </m:oMathPara>
    </w:p>
    <w:p w14:paraId="63E72502" w14:textId="77777777" w:rsidR="009941CA" w:rsidRDefault="009941CA" w:rsidP="00364DA3">
      <w:pPr>
        <w:ind w:left="630"/>
        <w:rPr>
          <w:rFonts w:cs="Arial"/>
          <w:sz w:val="20"/>
          <w:szCs w:val="20"/>
        </w:rPr>
      </w:pPr>
    </w:p>
    <w:p w14:paraId="42300DD7" w14:textId="39838AB9" w:rsidR="00FF38E8" w:rsidRDefault="00FF38E8" w:rsidP="00FF38E8">
      <w:pPr>
        <w:pStyle w:val="Caption"/>
        <w:keepNext/>
        <w:ind w:firstLine="540"/>
      </w:pPr>
      <w:r>
        <w:t xml:space="preserve">Table </w:t>
      </w:r>
      <w:fldSimple w:instr=" SEQ Table \* ARABIC ">
        <w:r w:rsidR="00EC4C6F">
          <w:rPr>
            <w:noProof/>
          </w:rPr>
          <w:t>6</w:t>
        </w:r>
      </w:fldSimple>
      <w:r>
        <w:t>. California Title 20 Code for Residential Clothes Washers</w:t>
      </w:r>
      <w:r w:rsidR="00AA547E">
        <w:rPr>
          <w:rStyle w:val="EndnoteReference"/>
        </w:rPr>
        <w:endnoteReference w:id="8"/>
      </w:r>
    </w:p>
    <w:p w14:paraId="2F7D752A" w14:textId="77777777" w:rsidR="00FF38E8" w:rsidRPr="00FF38E8" w:rsidRDefault="00FF38E8" w:rsidP="00FF38E8"/>
    <w:tbl>
      <w:tblPr>
        <w:tblStyle w:val="TableGrid"/>
        <w:tblW w:w="8838" w:type="dxa"/>
        <w:tblInd w:w="630" w:type="dxa"/>
        <w:tblLook w:val="04A0" w:firstRow="1" w:lastRow="0" w:firstColumn="1" w:lastColumn="0" w:noHBand="0" w:noVBand="1"/>
      </w:tblPr>
      <w:tblGrid>
        <w:gridCol w:w="1458"/>
        <w:gridCol w:w="1620"/>
        <w:gridCol w:w="1530"/>
        <w:gridCol w:w="1440"/>
        <w:gridCol w:w="1350"/>
        <w:gridCol w:w="1440"/>
      </w:tblGrid>
      <w:tr w:rsidR="00FF38E8" w14:paraId="5233AF9D" w14:textId="77777777" w:rsidTr="00AA547E">
        <w:tc>
          <w:tcPr>
            <w:tcW w:w="1458" w:type="dxa"/>
            <w:vMerge w:val="restart"/>
            <w:shd w:val="clear" w:color="auto" w:fill="A6A6A6" w:themeFill="background1" w:themeFillShade="A6"/>
            <w:vAlign w:val="center"/>
          </w:tcPr>
          <w:p w14:paraId="5A7A3037" w14:textId="72D33078" w:rsidR="00FF38E8" w:rsidRDefault="00FF38E8" w:rsidP="00AA547E">
            <w:pPr>
              <w:jc w:val="center"/>
              <w:rPr>
                <w:rFonts w:cs="Arial"/>
                <w:sz w:val="20"/>
                <w:szCs w:val="20"/>
              </w:rPr>
            </w:pPr>
            <w:r>
              <w:rPr>
                <w:rFonts w:cs="Arial"/>
                <w:sz w:val="20"/>
                <w:szCs w:val="20"/>
              </w:rPr>
              <w:t>Washer Type</w:t>
            </w:r>
          </w:p>
        </w:tc>
        <w:tc>
          <w:tcPr>
            <w:tcW w:w="1620" w:type="dxa"/>
            <w:vMerge w:val="restart"/>
            <w:shd w:val="clear" w:color="auto" w:fill="A6A6A6" w:themeFill="background1" w:themeFillShade="A6"/>
            <w:vAlign w:val="center"/>
          </w:tcPr>
          <w:p w14:paraId="1C9889B2" w14:textId="35BA74E6" w:rsidR="00FF38E8" w:rsidRDefault="00FF38E8" w:rsidP="00AA547E">
            <w:pPr>
              <w:jc w:val="center"/>
              <w:rPr>
                <w:rFonts w:cs="Arial"/>
                <w:sz w:val="20"/>
                <w:szCs w:val="20"/>
              </w:rPr>
            </w:pPr>
            <w:r>
              <w:rPr>
                <w:rFonts w:cs="Arial"/>
                <w:sz w:val="20"/>
                <w:szCs w:val="20"/>
              </w:rPr>
              <w:t>Capacity</w:t>
            </w:r>
          </w:p>
        </w:tc>
        <w:tc>
          <w:tcPr>
            <w:tcW w:w="2970" w:type="dxa"/>
            <w:gridSpan w:val="2"/>
            <w:shd w:val="clear" w:color="auto" w:fill="A6A6A6" w:themeFill="background1" w:themeFillShade="A6"/>
          </w:tcPr>
          <w:p w14:paraId="1A6B9207" w14:textId="1FA5253D" w:rsidR="00FF38E8" w:rsidRDefault="00FF38E8" w:rsidP="00062698">
            <w:pPr>
              <w:jc w:val="center"/>
              <w:rPr>
                <w:rFonts w:cs="Arial"/>
                <w:sz w:val="20"/>
                <w:szCs w:val="20"/>
              </w:rPr>
            </w:pPr>
            <w:r>
              <w:rPr>
                <w:rFonts w:cs="Arial"/>
                <w:sz w:val="20"/>
                <w:szCs w:val="20"/>
              </w:rPr>
              <w:t>Minimum Integrated Modified Energy Factor</w:t>
            </w:r>
            <w:r w:rsidR="00AA547E">
              <w:rPr>
                <w:rFonts w:cs="Arial"/>
                <w:sz w:val="20"/>
                <w:szCs w:val="20"/>
              </w:rPr>
              <w:t xml:space="preserve"> (IMEF)</w:t>
            </w:r>
          </w:p>
        </w:tc>
        <w:tc>
          <w:tcPr>
            <w:tcW w:w="2790" w:type="dxa"/>
            <w:gridSpan w:val="2"/>
            <w:shd w:val="clear" w:color="auto" w:fill="A6A6A6" w:themeFill="background1" w:themeFillShade="A6"/>
          </w:tcPr>
          <w:p w14:paraId="1075B75F" w14:textId="1D926244" w:rsidR="00FF38E8" w:rsidRDefault="00FF38E8" w:rsidP="00062698">
            <w:pPr>
              <w:jc w:val="center"/>
              <w:rPr>
                <w:rFonts w:cs="Arial"/>
                <w:sz w:val="20"/>
                <w:szCs w:val="20"/>
              </w:rPr>
            </w:pPr>
            <w:r>
              <w:rPr>
                <w:rFonts w:cs="Arial"/>
                <w:sz w:val="20"/>
                <w:szCs w:val="20"/>
              </w:rPr>
              <w:t>Minimum Integrated Water Factor</w:t>
            </w:r>
            <w:r w:rsidR="00AA547E">
              <w:rPr>
                <w:rFonts w:cs="Arial"/>
                <w:sz w:val="20"/>
                <w:szCs w:val="20"/>
              </w:rPr>
              <w:t xml:space="preserve"> (IWF)</w:t>
            </w:r>
          </w:p>
        </w:tc>
      </w:tr>
      <w:tr w:rsidR="00FF38E8" w14:paraId="2C98A6CF" w14:textId="77777777" w:rsidTr="00AA547E">
        <w:tc>
          <w:tcPr>
            <w:tcW w:w="1458" w:type="dxa"/>
            <w:vMerge/>
            <w:vAlign w:val="center"/>
          </w:tcPr>
          <w:p w14:paraId="7BAE2986" w14:textId="77777777" w:rsidR="00FF38E8" w:rsidRDefault="00FF38E8" w:rsidP="00792909">
            <w:pPr>
              <w:jc w:val="center"/>
              <w:rPr>
                <w:rFonts w:cs="Arial"/>
                <w:sz w:val="20"/>
                <w:szCs w:val="20"/>
              </w:rPr>
            </w:pPr>
          </w:p>
        </w:tc>
        <w:tc>
          <w:tcPr>
            <w:tcW w:w="1620" w:type="dxa"/>
            <w:vMerge/>
            <w:vAlign w:val="center"/>
          </w:tcPr>
          <w:p w14:paraId="637BE9B2" w14:textId="77777777" w:rsidR="00FF38E8" w:rsidRDefault="00FF38E8" w:rsidP="00792909">
            <w:pPr>
              <w:jc w:val="center"/>
              <w:rPr>
                <w:rFonts w:cs="Arial"/>
                <w:sz w:val="20"/>
                <w:szCs w:val="20"/>
              </w:rPr>
            </w:pPr>
          </w:p>
        </w:tc>
        <w:tc>
          <w:tcPr>
            <w:tcW w:w="1530" w:type="dxa"/>
            <w:vAlign w:val="center"/>
          </w:tcPr>
          <w:p w14:paraId="23C140C9" w14:textId="610D39E0" w:rsidR="00FF38E8" w:rsidRPr="00FF38E8" w:rsidRDefault="00FF38E8" w:rsidP="00792909">
            <w:pPr>
              <w:jc w:val="center"/>
              <w:rPr>
                <w:rFonts w:cs="Arial"/>
                <w:i/>
                <w:sz w:val="20"/>
                <w:szCs w:val="20"/>
              </w:rPr>
            </w:pPr>
            <w:r>
              <w:rPr>
                <w:rFonts w:cs="Arial"/>
                <w:i/>
                <w:sz w:val="20"/>
                <w:szCs w:val="20"/>
              </w:rPr>
              <w:t>Effective 3/7/15</w:t>
            </w:r>
          </w:p>
        </w:tc>
        <w:tc>
          <w:tcPr>
            <w:tcW w:w="1440" w:type="dxa"/>
            <w:vAlign w:val="center"/>
          </w:tcPr>
          <w:p w14:paraId="47DF20CE" w14:textId="5F166F73" w:rsidR="00FF38E8" w:rsidRPr="00FF38E8" w:rsidRDefault="00FF38E8" w:rsidP="00792909">
            <w:pPr>
              <w:jc w:val="center"/>
              <w:rPr>
                <w:rFonts w:cs="Arial"/>
                <w:i/>
                <w:sz w:val="20"/>
                <w:szCs w:val="20"/>
              </w:rPr>
            </w:pPr>
            <w:r>
              <w:rPr>
                <w:rFonts w:cs="Arial"/>
                <w:i/>
                <w:sz w:val="20"/>
                <w:szCs w:val="20"/>
              </w:rPr>
              <w:t>Effective 1/1/18</w:t>
            </w:r>
          </w:p>
        </w:tc>
        <w:tc>
          <w:tcPr>
            <w:tcW w:w="1350" w:type="dxa"/>
            <w:vAlign w:val="center"/>
          </w:tcPr>
          <w:p w14:paraId="55FA6B1B" w14:textId="7ABE71D4" w:rsidR="00FF38E8" w:rsidRPr="00FF38E8" w:rsidRDefault="00FF38E8" w:rsidP="00792909">
            <w:pPr>
              <w:jc w:val="center"/>
              <w:rPr>
                <w:rFonts w:cs="Arial"/>
                <w:i/>
                <w:sz w:val="20"/>
                <w:szCs w:val="20"/>
              </w:rPr>
            </w:pPr>
            <w:r>
              <w:rPr>
                <w:rFonts w:cs="Arial"/>
                <w:i/>
                <w:sz w:val="20"/>
                <w:szCs w:val="20"/>
              </w:rPr>
              <w:t>Effective 3/7/15</w:t>
            </w:r>
          </w:p>
        </w:tc>
        <w:tc>
          <w:tcPr>
            <w:tcW w:w="1440" w:type="dxa"/>
            <w:vAlign w:val="center"/>
          </w:tcPr>
          <w:p w14:paraId="02EBD6B6" w14:textId="7721D729" w:rsidR="00FF38E8" w:rsidRPr="00FF38E8" w:rsidRDefault="00FF38E8" w:rsidP="00792909">
            <w:pPr>
              <w:jc w:val="center"/>
              <w:rPr>
                <w:rFonts w:cs="Arial"/>
                <w:i/>
                <w:sz w:val="20"/>
                <w:szCs w:val="20"/>
              </w:rPr>
            </w:pPr>
            <w:r>
              <w:rPr>
                <w:rFonts w:cs="Arial"/>
                <w:i/>
                <w:sz w:val="20"/>
                <w:szCs w:val="20"/>
              </w:rPr>
              <w:t>Effective 1/1/18</w:t>
            </w:r>
          </w:p>
        </w:tc>
      </w:tr>
      <w:tr w:rsidR="00792909" w14:paraId="3F607772" w14:textId="77777777" w:rsidTr="00AA547E">
        <w:tc>
          <w:tcPr>
            <w:tcW w:w="1458" w:type="dxa"/>
            <w:vAlign w:val="center"/>
          </w:tcPr>
          <w:p w14:paraId="23E502B6" w14:textId="2AF7668D" w:rsidR="00792909" w:rsidRDefault="00792909" w:rsidP="00792909">
            <w:pPr>
              <w:jc w:val="center"/>
              <w:rPr>
                <w:rFonts w:cs="Arial"/>
                <w:sz w:val="20"/>
                <w:szCs w:val="20"/>
              </w:rPr>
            </w:pPr>
            <w:r>
              <w:rPr>
                <w:rFonts w:cs="Arial"/>
                <w:sz w:val="20"/>
                <w:szCs w:val="20"/>
              </w:rPr>
              <w:t>Top-loading</w:t>
            </w:r>
          </w:p>
        </w:tc>
        <w:tc>
          <w:tcPr>
            <w:tcW w:w="1620" w:type="dxa"/>
            <w:vAlign w:val="center"/>
          </w:tcPr>
          <w:p w14:paraId="79CFDBCB" w14:textId="77777777" w:rsidR="00792909" w:rsidRDefault="00792909" w:rsidP="00792909">
            <w:pPr>
              <w:jc w:val="center"/>
              <w:rPr>
                <w:rFonts w:cs="Arial"/>
                <w:sz w:val="20"/>
                <w:szCs w:val="20"/>
              </w:rPr>
            </w:pPr>
            <w:r>
              <w:rPr>
                <w:rFonts w:cs="Arial"/>
                <w:sz w:val="20"/>
                <w:szCs w:val="20"/>
              </w:rPr>
              <w:t xml:space="preserve">Standard </w:t>
            </w:r>
          </w:p>
          <w:p w14:paraId="23A5D071" w14:textId="362FF7BA" w:rsidR="00792909" w:rsidRDefault="00792909" w:rsidP="00792909">
            <w:pPr>
              <w:jc w:val="center"/>
              <w:rPr>
                <w:rFonts w:cs="Arial"/>
                <w:sz w:val="20"/>
                <w:szCs w:val="20"/>
              </w:rPr>
            </w:pPr>
            <w:r>
              <w:rPr>
                <w:rFonts w:cs="Arial"/>
                <w:sz w:val="20"/>
                <w:szCs w:val="20"/>
              </w:rPr>
              <w:t>(</w:t>
            </w:r>
            <w:r>
              <w:rPr>
                <w:rFonts w:ascii="Franklin Gothic Medium" w:hAnsi="Franklin Gothic Medium" w:cs="Arial"/>
                <w:sz w:val="20"/>
                <w:szCs w:val="20"/>
              </w:rPr>
              <w:t>≥</w:t>
            </w:r>
            <w:r>
              <w:rPr>
                <w:rFonts w:cs="Arial"/>
                <w:sz w:val="20"/>
                <w:szCs w:val="20"/>
              </w:rPr>
              <w:t xml:space="preserve"> 1.6 cu. ft)</w:t>
            </w:r>
          </w:p>
        </w:tc>
        <w:tc>
          <w:tcPr>
            <w:tcW w:w="1530" w:type="dxa"/>
            <w:vAlign w:val="center"/>
          </w:tcPr>
          <w:p w14:paraId="2B3A4E1A" w14:textId="6AEB9E7A" w:rsidR="00792909" w:rsidRDefault="001960A2" w:rsidP="00792909">
            <w:pPr>
              <w:jc w:val="center"/>
              <w:rPr>
                <w:rFonts w:cs="Arial"/>
                <w:sz w:val="20"/>
                <w:szCs w:val="20"/>
              </w:rPr>
            </w:pPr>
            <w:r>
              <w:rPr>
                <w:rFonts w:cs="Arial"/>
                <w:sz w:val="20"/>
                <w:szCs w:val="20"/>
              </w:rPr>
              <w:t>1.29</w:t>
            </w:r>
          </w:p>
        </w:tc>
        <w:tc>
          <w:tcPr>
            <w:tcW w:w="1440" w:type="dxa"/>
            <w:vAlign w:val="center"/>
          </w:tcPr>
          <w:p w14:paraId="76D3071F" w14:textId="6C2B97F8" w:rsidR="00792909" w:rsidRDefault="001960A2" w:rsidP="00792909">
            <w:pPr>
              <w:jc w:val="center"/>
              <w:rPr>
                <w:rFonts w:cs="Arial"/>
                <w:sz w:val="20"/>
                <w:szCs w:val="20"/>
              </w:rPr>
            </w:pPr>
            <w:r>
              <w:rPr>
                <w:rFonts w:cs="Arial"/>
                <w:sz w:val="20"/>
                <w:szCs w:val="20"/>
              </w:rPr>
              <w:t>1.57</w:t>
            </w:r>
          </w:p>
        </w:tc>
        <w:tc>
          <w:tcPr>
            <w:tcW w:w="1350" w:type="dxa"/>
            <w:vAlign w:val="center"/>
          </w:tcPr>
          <w:p w14:paraId="18C51BA3" w14:textId="5F71E36D" w:rsidR="00792909" w:rsidRDefault="001960A2" w:rsidP="00792909">
            <w:pPr>
              <w:jc w:val="center"/>
              <w:rPr>
                <w:rFonts w:cs="Arial"/>
                <w:sz w:val="20"/>
                <w:szCs w:val="20"/>
              </w:rPr>
            </w:pPr>
            <w:r>
              <w:rPr>
                <w:rFonts w:cs="Arial"/>
                <w:sz w:val="20"/>
                <w:szCs w:val="20"/>
              </w:rPr>
              <w:t>8.4</w:t>
            </w:r>
          </w:p>
        </w:tc>
        <w:tc>
          <w:tcPr>
            <w:tcW w:w="1440" w:type="dxa"/>
            <w:vAlign w:val="center"/>
          </w:tcPr>
          <w:p w14:paraId="5CC1FAEE" w14:textId="2F2EC0D0" w:rsidR="00792909" w:rsidRDefault="001960A2" w:rsidP="00792909">
            <w:pPr>
              <w:jc w:val="center"/>
              <w:rPr>
                <w:rFonts w:cs="Arial"/>
                <w:sz w:val="20"/>
                <w:szCs w:val="20"/>
              </w:rPr>
            </w:pPr>
            <w:r>
              <w:rPr>
                <w:rFonts w:cs="Arial"/>
                <w:sz w:val="20"/>
                <w:szCs w:val="20"/>
              </w:rPr>
              <w:t>6.5</w:t>
            </w:r>
          </w:p>
        </w:tc>
      </w:tr>
    </w:tbl>
    <w:p w14:paraId="3583A607" w14:textId="77777777" w:rsidR="009941CA" w:rsidRDefault="009941CA" w:rsidP="00364DA3">
      <w:pPr>
        <w:ind w:left="630"/>
        <w:rPr>
          <w:rFonts w:cs="Arial"/>
          <w:sz w:val="20"/>
          <w:szCs w:val="20"/>
        </w:rPr>
      </w:pPr>
    </w:p>
    <w:p w14:paraId="352B3BB2" w14:textId="77777777" w:rsidR="00A00567" w:rsidRDefault="00A00567" w:rsidP="00364DA3">
      <w:pPr>
        <w:ind w:left="630"/>
        <w:rPr>
          <w:rFonts w:cs="Arial"/>
          <w:sz w:val="20"/>
          <w:szCs w:val="20"/>
        </w:rPr>
      </w:pPr>
    </w:p>
    <w:p w14:paraId="393A0DB6" w14:textId="450B193F" w:rsidR="00432C65" w:rsidRPr="00271E01" w:rsidRDefault="00F84BD3" w:rsidP="00F81AAE">
      <w:pPr>
        <w:pStyle w:val="Heading3-CalTFStyle31"/>
      </w:pPr>
      <w:bookmarkStart w:id="46" w:name="_Toc385592988"/>
      <w:r w:rsidRPr="00271E01">
        <w:t>Relevant EM&amp;V Studies</w:t>
      </w:r>
      <w:bookmarkEnd w:id="46"/>
    </w:p>
    <w:p w14:paraId="4B303046" w14:textId="77777777" w:rsidR="00080785" w:rsidRDefault="00080785" w:rsidP="00364DA3">
      <w:pPr>
        <w:ind w:left="630"/>
        <w:rPr>
          <w:rFonts w:cs="Arial"/>
          <w:color w:val="FF0000"/>
          <w:sz w:val="20"/>
          <w:szCs w:val="20"/>
        </w:rPr>
      </w:pPr>
    </w:p>
    <w:p w14:paraId="56A1A9A6" w14:textId="175DC3E8" w:rsidR="00080785" w:rsidRPr="00080785" w:rsidRDefault="00BD1B9F" w:rsidP="00080785">
      <w:pPr>
        <w:ind w:left="576"/>
        <w:rPr>
          <w:sz w:val="20"/>
          <w:szCs w:val="20"/>
        </w:rPr>
      </w:pPr>
      <w:r>
        <w:rPr>
          <w:sz w:val="20"/>
          <w:szCs w:val="20"/>
        </w:rPr>
        <w:t>While there are no known EM&amp;V studies for a clothes washer recycling program specifically</w:t>
      </w:r>
      <w:r w:rsidR="00791697">
        <w:rPr>
          <w:sz w:val="20"/>
          <w:szCs w:val="20"/>
        </w:rPr>
        <w:t xml:space="preserve"> (as there are no known clothes washer recycling incentive programs)</w:t>
      </w:r>
      <w:r>
        <w:rPr>
          <w:sz w:val="20"/>
          <w:szCs w:val="20"/>
        </w:rPr>
        <w:t xml:space="preserve">, refrigerator/freezer recycling EM&amp;V studies </w:t>
      </w:r>
      <w:r w:rsidR="00CF3100">
        <w:rPr>
          <w:sz w:val="20"/>
          <w:szCs w:val="20"/>
        </w:rPr>
        <w:t>were</w:t>
      </w:r>
      <w:r w:rsidRPr="00CF3100">
        <w:rPr>
          <w:sz w:val="20"/>
          <w:szCs w:val="20"/>
        </w:rPr>
        <w:t xml:space="preserve"> </w:t>
      </w:r>
      <w:r>
        <w:rPr>
          <w:sz w:val="20"/>
          <w:szCs w:val="20"/>
        </w:rPr>
        <w:t>reviewed</w:t>
      </w:r>
      <w:r w:rsidR="00AB44CE">
        <w:rPr>
          <w:sz w:val="20"/>
          <w:szCs w:val="20"/>
        </w:rPr>
        <w:t xml:space="preserve"> to develop this work paper</w:t>
      </w:r>
      <w:r>
        <w:rPr>
          <w:sz w:val="20"/>
          <w:szCs w:val="20"/>
        </w:rPr>
        <w:t xml:space="preserve">. </w:t>
      </w:r>
      <w:r w:rsidR="00080785" w:rsidRPr="00080785">
        <w:rPr>
          <w:sz w:val="20"/>
          <w:szCs w:val="20"/>
        </w:rPr>
        <w:t xml:space="preserve">The methodology for calculating gross and net </w:t>
      </w:r>
      <w:r w:rsidR="001F088D">
        <w:rPr>
          <w:sz w:val="20"/>
          <w:szCs w:val="20"/>
        </w:rPr>
        <w:t>unit energy savings</w:t>
      </w:r>
      <w:r w:rsidR="00080785" w:rsidRPr="00080785">
        <w:rPr>
          <w:sz w:val="20"/>
          <w:szCs w:val="20"/>
        </w:rPr>
        <w:t xml:space="preserve"> is based off </w:t>
      </w:r>
      <w:r w:rsidR="00080785" w:rsidRPr="00080785">
        <w:rPr>
          <w:i/>
          <w:sz w:val="20"/>
          <w:szCs w:val="20"/>
        </w:rPr>
        <w:t>Appliance Recycling Program Impact Evaluation, Volume 1: Report, Work Order 35</w:t>
      </w:r>
      <w:r w:rsidR="00080785" w:rsidRPr="00080785">
        <w:rPr>
          <w:sz w:val="20"/>
          <w:szCs w:val="20"/>
        </w:rPr>
        <w:t xml:space="preserve"> (2014), prepared for the CPUC by KEMA.</w:t>
      </w:r>
      <w:r w:rsidR="002D2177" w:rsidRPr="00080785">
        <w:rPr>
          <w:rStyle w:val="EndnoteReference"/>
          <w:sz w:val="20"/>
          <w:szCs w:val="20"/>
        </w:rPr>
        <w:endnoteReference w:id="9"/>
      </w:r>
      <w:r w:rsidR="002D2177">
        <w:rPr>
          <w:sz w:val="20"/>
          <w:szCs w:val="20"/>
        </w:rPr>
        <w:t xml:space="preserve"> </w:t>
      </w:r>
      <w:r w:rsidR="001F088D">
        <w:rPr>
          <w:sz w:val="20"/>
          <w:szCs w:val="20"/>
        </w:rPr>
        <w:t xml:space="preserve">Clothes washer metering data </w:t>
      </w:r>
      <w:r w:rsidR="00EB197F">
        <w:rPr>
          <w:sz w:val="20"/>
          <w:szCs w:val="20"/>
        </w:rPr>
        <w:t>of</w:t>
      </w:r>
      <w:r w:rsidR="001F088D">
        <w:rPr>
          <w:sz w:val="20"/>
          <w:szCs w:val="20"/>
        </w:rPr>
        <w:t xml:space="preserve"> energy and water consumption for the base case comes from </w:t>
      </w:r>
      <w:r w:rsidR="00EB197F" w:rsidRPr="00EB197F">
        <w:rPr>
          <w:sz w:val="20"/>
          <w:szCs w:val="20"/>
        </w:rPr>
        <w:t xml:space="preserve">The Cadmus Group, </w:t>
      </w:r>
      <w:r w:rsidR="00EB197F" w:rsidRPr="00EB197F">
        <w:rPr>
          <w:i/>
          <w:sz w:val="20"/>
          <w:szCs w:val="20"/>
        </w:rPr>
        <w:t>Residential Retrofit High Impact Measure Evaluation Report</w:t>
      </w:r>
      <w:r w:rsidR="00EB197F" w:rsidRPr="00EB197F">
        <w:rPr>
          <w:sz w:val="20"/>
          <w:szCs w:val="20"/>
        </w:rPr>
        <w:t xml:space="preserve"> (2010)</w:t>
      </w:r>
      <w:r w:rsidR="00EB197F">
        <w:rPr>
          <w:sz w:val="20"/>
          <w:szCs w:val="20"/>
        </w:rPr>
        <w:t>.</w:t>
      </w:r>
      <w:r w:rsidR="00EB197F">
        <w:rPr>
          <w:rStyle w:val="EndnoteReference"/>
          <w:sz w:val="20"/>
          <w:szCs w:val="20"/>
        </w:rPr>
        <w:endnoteReference w:id="10"/>
      </w:r>
      <w:r w:rsidR="0054799F">
        <w:rPr>
          <w:sz w:val="20"/>
          <w:szCs w:val="20"/>
        </w:rPr>
        <w:t xml:space="preserve"> </w:t>
      </w:r>
      <w:r w:rsidR="00D90C8C">
        <w:rPr>
          <w:sz w:val="20"/>
          <w:szCs w:val="20"/>
        </w:rPr>
        <w:t>Additionally, t</w:t>
      </w:r>
      <w:r w:rsidR="0054799F">
        <w:rPr>
          <w:sz w:val="20"/>
          <w:szCs w:val="20"/>
        </w:rPr>
        <w:t xml:space="preserve">he </w:t>
      </w:r>
      <w:r w:rsidR="0054799F" w:rsidRPr="0054799F">
        <w:rPr>
          <w:sz w:val="20"/>
          <w:szCs w:val="20"/>
        </w:rPr>
        <w:t xml:space="preserve">ADM Associates et al., </w:t>
      </w:r>
      <w:r w:rsidR="0054799F" w:rsidRPr="0054799F">
        <w:rPr>
          <w:i/>
          <w:sz w:val="20"/>
          <w:szCs w:val="20"/>
        </w:rPr>
        <w:t>Evaluation Study of the 2004-05 Statewide Appliance Recycling Program</w:t>
      </w:r>
      <w:r w:rsidR="00490DC7">
        <w:rPr>
          <w:sz w:val="20"/>
          <w:szCs w:val="20"/>
        </w:rPr>
        <w:t xml:space="preserve"> </w:t>
      </w:r>
      <w:r w:rsidR="0054799F">
        <w:rPr>
          <w:sz w:val="20"/>
          <w:szCs w:val="20"/>
        </w:rPr>
        <w:t>was reviewed to better understand the savings methodology for existing recycling programs for refrigerators and freezers.</w:t>
      </w:r>
      <w:r w:rsidR="00D90C8C">
        <w:rPr>
          <w:rStyle w:val="EndnoteReference"/>
          <w:sz w:val="20"/>
          <w:szCs w:val="20"/>
        </w:rPr>
        <w:endnoteReference w:id="11"/>
      </w:r>
      <w:r w:rsidR="0054799F">
        <w:rPr>
          <w:sz w:val="20"/>
          <w:szCs w:val="20"/>
        </w:rPr>
        <w:t xml:space="preserve">    </w:t>
      </w:r>
      <w:r w:rsidR="00EC18E7">
        <w:rPr>
          <w:sz w:val="20"/>
          <w:szCs w:val="20"/>
        </w:rPr>
        <w:t xml:space="preserve"> </w:t>
      </w:r>
      <w:r w:rsidR="00EB197F" w:rsidRPr="00EB197F">
        <w:rPr>
          <w:sz w:val="20"/>
          <w:szCs w:val="20"/>
        </w:rPr>
        <w:t xml:space="preserve"> </w:t>
      </w:r>
    </w:p>
    <w:p w14:paraId="12B8CD1E" w14:textId="77777777" w:rsidR="00080785" w:rsidRPr="001F0D38" w:rsidRDefault="00080785" w:rsidP="00364DA3">
      <w:pPr>
        <w:ind w:left="630"/>
        <w:rPr>
          <w:rFonts w:cs="Arial"/>
          <w:color w:val="FF0000"/>
          <w:sz w:val="20"/>
          <w:szCs w:val="20"/>
        </w:rPr>
      </w:pPr>
    </w:p>
    <w:p w14:paraId="3BBE0050" w14:textId="258BF155" w:rsidR="00364DA3" w:rsidRPr="00271E01" w:rsidRDefault="00785970" w:rsidP="00CF3100">
      <w:pPr>
        <w:pStyle w:val="Heading3-CalTFStyle31"/>
        <w:ind w:left="540" w:firstLine="0"/>
      </w:pPr>
      <w:bookmarkStart w:id="47" w:name="_Toc385592989"/>
      <w:r w:rsidRPr="00271E01">
        <w:t>Relevant</w:t>
      </w:r>
      <w:r w:rsidR="00364DA3" w:rsidRPr="00271E01">
        <w:t xml:space="preserve"> Work</w:t>
      </w:r>
      <w:r w:rsidR="00CF3100">
        <w:t xml:space="preserve"> P</w:t>
      </w:r>
      <w:r w:rsidR="00364DA3" w:rsidRPr="00271E01">
        <w:t>aper Dispositions</w:t>
      </w:r>
      <w:bookmarkEnd w:id="47"/>
    </w:p>
    <w:p w14:paraId="4D6937AE" w14:textId="77777777" w:rsidR="00CF3100" w:rsidRDefault="00CF3100" w:rsidP="00A62879">
      <w:pPr>
        <w:ind w:left="540" w:hanging="90"/>
        <w:rPr>
          <w:rFonts w:cs="Arial"/>
          <w:color w:val="FF0000"/>
          <w:sz w:val="20"/>
          <w:szCs w:val="20"/>
        </w:rPr>
      </w:pPr>
    </w:p>
    <w:p w14:paraId="481DF5C7" w14:textId="77777777" w:rsidR="00482514" w:rsidRDefault="00CF3100" w:rsidP="00CF3100">
      <w:pPr>
        <w:ind w:left="540"/>
        <w:rPr>
          <w:rFonts w:cs="Arial"/>
          <w:sz w:val="20"/>
          <w:szCs w:val="20"/>
        </w:rPr>
      </w:pPr>
      <w:r>
        <w:rPr>
          <w:rFonts w:cs="Arial"/>
          <w:sz w:val="20"/>
          <w:szCs w:val="20"/>
        </w:rPr>
        <w:lastRenderedPageBreak/>
        <w:t>There are no known past or current work papers for clothes washer recycling. However,</w:t>
      </w:r>
      <w:r w:rsidR="00FF4C48">
        <w:rPr>
          <w:rFonts w:cs="Arial"/>
          <w:sz w:val="20"/>
          <w:szCs w:val="20"/>
        </w:rPr>
        <w:t xml:space="preserve"> </w:t>
      </w:r>
      <w:r w:rsidR="0062617A">
        <w:rPr>
          <w:rFonts w:cs="Arial"/>
          <w:i/>
          <w:sz w:val="20"/>
          <w:szCs w:val="20"/>
        </w:rPr>
        <w:t>Clothes Washers for Residential Applications (3.2 MEF &amp; 3.0 WF)</w:t>
      </w:r>
      <w:r w:rsidR="0062617A">
        <w:rPr>
          <w:rFonts w:cs="Arial"/>
          <w:sz w:val="20"/>
          <w:szCs w:val="20"/>
        </w:rPr>
        <w:t xml:space="preserve"> </w:t>
      </w:r>
      <w:r w:rsidR="00FF4C48">
        <w:rPr>
          <w:rFonts w:cs="Arial"/>
          <w:sz w:val="20"/>
          <w:szCs w:val="20"/>
        </w:rPr>
        <w:t>WPSCGREAP140211A Rev 0</w:t>
      </w:r>
      <w:r w:rsidR="0062617A">
        <w:rPr>
          <w:rFonts w:cs="Arial"/>
          <w:sz w:val="20"/>
          <w:szCs w:val="20"/>
        </w:rPr>
        <w:t xml:space="preserve">, </w:t>
      </w:r>
      <w:r w:rsidR="0062617A">
        <w:rPr>
          <w:rFonts w:cs="Arial"/>
          <w:i/>
          <w:sz w:val="20"/>
          <w:szCs w:val="20"/>
        </w:rPr>
        <w:t xml:space="preserve">High Efficiency Clothes Washers Residential </w:t>
      </w:r>
      <w:r w:rsidR="00FF4C48">
        <w:rPr>
          <w:rFonts w:cs="Arial"/>
          <w:sz w:val="20"/>
          <w:szCs w:val="20"/>
        </w:rPr>
        <w:t>PGECOAPP114 Rev 3</w:t>
      </w:r>
      <w:r w:rsidR="0062617A">
        <w:rPr>
          <w:rFonts w:cs="Arial"/>
          <w:sz w:val="20"/>
          <w:szCs w:val="20"/>
        </w:rPr>
        <w:t xml:space="preserve">, </w:t>
      </w:r>
      <w:r w:rsidR="0062617A">
        <w:rPr>
          <w:rFonts w:cs="Arial"/>
          <w:i/>
          <w:sz w:val="20"/>
          <w:szCs w:val="20"/>
        </w:rPr>
        <w:t xml:space="preserve">High Efficiency Clothes Washers </w:t>
      </w:r>
      <w:r w:rsidR="0062617A">
        <w:rPr>
          <w:rFonts w:cs="Arial"/>
          <w:sz w:val="20"/>
          <w:szCs w:val="20"/>
        </w:rPr>
        <w:t xml:space="preserve">PGECOAPP127 Rev </w:t>
      </w:r>
      <w:r w:rsidR="00FF4C48">
        <w:rPr>
          <w:rFonts w:cs="Arial"/>
          <w:sz w:val="20"/>
          <w:szCs w:val="20"/>
        </w:rPr>
        <w:t>0</w:t>
      </w:r>
      <w:r w:rsidR="0062617A">
        <w:rPr>
          <w:rFonts w:cs="Arial"/>
          <w:sz w:val="20"/>
          <w:szCs w:val="20"/>
        </w:rPr>
        <w:t xml:space="preserve">, and </w:t>
      </w:r>
      <w:r w:rsidR="0062617A" w:rsidRPr="0062617A">
        <w:rPr>
          <w:rFonts w:cs="Arial"/>
          <w:i/>
          <w:sz w:val="20"/>
          <w:szCs w:val="20"/>
        </w:rPr>
        <w:t>Refrigerator or Freezer Recycling</w:t>
      </w:r>
      <w:r>
        <w:rPr>
          <w:rFonts w:cs="Arial"/>
          <w:sz w:val="20"/>
          <w:szCs w:val="20"/>
        </w:rPr>
        <w:t xml:space="preserve"> </w:t>
      </w:r>
      <w:r w:rsidR="00FF4C48">
        <w:rPr>
          <w:rFonts w:cs="Arial"/>
          <w:sz w:val="20"/>
          <w:szCs w:val="20"/>
        </w:rPr>
        <w:t xml:space="preserve">PGECOAPP119 </w:t>
      </w:r>
      <w:r w:rsidR="0062617A">
        <w:rPr>
          <w:rFonts w:cs="Arial"/>
          <w:sz w:val="20"/>
          <w:szCs w:val="20"/>
        </w:rPr>
        <w:t xml:space="preserve">Rev </w:t>
      </w:r>
      <w:r w:rsidR="00FF4C48">
        <w:rPr>
          <w:rFonts w:cs="Arial"/>
          <w:sz w:val="20"/>
          <w:szCs w:val="20"/>
        </w:rPr>
        <w:t>5 were reviewed</w:t>
      </w:r>
      <w:r w:rsidR="00761D77">
        <w:rPr>
          <w:rFonts w:cs="Arial"/>
          <w:sz w:val="20"/>
          <w:szCs w:val="20"/>
        </w:rPr>
        <w:t xml:space="preserve"> for content and applicability to this measure</w:t>
      </w:r>
      <w:r w:rsidR="0062617A">
        <w:rPr>
          <w:rFonts w:cs="Arial"/>
          <w:sz w:val="20"/>
          <w:szCs w:val="20"/>
        </w:rPr>
        <w:t xml:space="preserve">. </w:t>
      </w:r>
    </w:p>
    <w:p w14:paraId="59E7E759" w14:textId="77777777" w:rsidR="00482514" w:rsidRDefault="00482514" w:rsidP="00CF3100">
      <w:pPr>
        <w:ind w:left="540"/>
        <w:rPr>
          <w:rFonts w:cs="Arial"/>
          <w:sz w:val="20"/>
          <w:szCs w:val="20"/>
        </w:rPr>
      </w:pPr>
    </w:p>
    <w:p w14:paraId="5889FF34" w14:textId="21266F9D" w:rsidR="00CF3100" w:rsidRPr="00CF3100" w:rsidRDefault="009532F1" w:rsidP="00CF3100">
      <w:pPr>
        <w:ind w:left="540"/>
        <w:rPr>
          <w:rFonts w:cs="Arial"/>
          <w:sz w:val="20"/>
          <w:szCs w:val="20"/>
        </w:rPr>
      </w:pPr>
      <w:r>
        <w:rPr>
          <w:rFonts w:cs="Arial"/>
          <w:sz w:val="20"/>
          <w:szCs w:val="20"/>
        </w:rPr>
        <w:t xml:space="preserve">Specifically, the methodology presented here for determining Title 20 unit energy consumption, including DHW/dryer fuel share and usage cycles per year, is consistent with the existing </w:t>
      </w:r>
      <w:r w:rsidR="00806DCF">
        <w:rPr>
          <w:rFonts w:cs="Arial"/>
          <w:sz w:val="20"/>
          <w:szCs w:val="20"/>
        </w:rPr>
        <w:t xml:space="preserve">SCG and PGE clothes washer work papers. The methodology for determining interactive effects and load shapes and the calculation for </w:t>
      </w:r>
      <w:r w:rsidR="00482514">
        <w:rPr>
          <w:rFonts w:cs="Arial"/>
          <w:sz w:val="20"/>
          <w:szCs w:val="20"/>
        </w:rPr>
        <w:t xml:space="preserve">energy demand savings for this work paper are consistent with </w:t>
      </w:r>
      <w:r w:rsidR="00334EBB">
        <w:rPr>
          <w:rFonts w:cs="Arial"/>
          <w:sz w:val="20"/>
          <w:szCs w:val="20"/>
        </w:rPr>
        <w:t xml:space="preserve">the approaches used in </w:t>
      </w:r>
      <w:r w:rsidR="00482514">
        <w:rPr>
          <w:rFonts w:cs="Arial"/>
          <w:sz w:val="20"/>
          <w:szCs w:val="20"/>
        </w:rPr>
        <w:t>PGECOAPP127 Rev 0.</w:t>
      </w:r>
      <w:r w:rsidR="00806DCF">
        <w:rPr>
          <w:rFonts w:cs="Arial"/>
          <w:sz w:val="20"/>
          <w:szCs w:val="20"/>
        </w:rPr>
        <w:t xml:space="preserve"> </w:t>
      </w:r>
      <w:r w:rsidR="00CF3100">
        <w:rPr>
          <w:rFonts w:cs="Arial"/>
          <w:sz w:val="20"/>
          <w:szCs w:val="20"/>
        </w:rPr>
        <w:t xml:space="preserve"> </w:t>
      </w:r>
    </w:p>
    <w:p w14:paraId="0198E52B" w14:textId="2E23BE28" w:rsidR="00364DA3" w:rsidRPr="00271E01" w:rsidRDefault="00785970" w:rsidP="00CF3100">
      <w:pPr>
        <w:pStyle w:val="Heading3-CalTFStyle31"/>
        <w:ind w:hanging="180"/>
      </w:pPr>
      <w:bookmarkStart w:id="48" w:name="_Toc385592990"/>
      <w:r w:rsidRPr="00271E01">
        <w:t>Other Sources</w:t>
      </w:r>
      <w:r w:rsidR="001F0D38">
        <w:t xml:space="preserve"> for non-DEER Methods</w:t>
      </w:r>
      <w:bookmarkEnd w:id="48"/>
    </w:p>
    <w:p w14:paraId="008D01EE" w14:textId="77777777" w:rsidR="00761D77" w:rsidRDefault="00761D77" w:rsidP="004B3428">
      <w:pPr>
        <w:pStyle w:val="Reminder"/>
        <w:ind w:left="540"/>
        <w:rPr>
          <w:rFonts w:ascii="Arial" w:eastAsia="Times New Roman" w:hAnsi="Arial" w:cs="Arial"/>
          <w:i w:val="0"/>
          <w:sz w:val="20"/>
          <w:szCs w:val="20"/>
        </w:rPr>
      </w:pPr>
    </w:p>
    <w:p w14:paraId="3C8FB458" w14:textId="106947E7" w:rsidR="00761D77" w:rsidRDefault="00041CF4" w:rsidP="004B3428">
      <w:pPr>
        <w:pStyle w:val="Reminder"/>
        <w:ind w:left="540"/>
        <w:rPr>
          <w:rFonts w:ascii="Arial" w:eastAsia="Times New Roman" w:hAnsi="Arial" w:cs="Arial"/>
          <w:i w:val="0"/>
          <w:color w:val="auto"/>
          <w:sz w:val="20"/>
          <w:szCs w:val="20"/>
        </w:rPr>
      </w:pPr>
      <w:r>
        <w:rPr>
          <w:rFonts w:ascii="Arial" w:eastAsia="Times New Roman" w:hAnsi="Arial" w:cs="Arial"/>
          <w:i w:val="0"/>
          <w:color w:val="auto"/>
          <w:sz w:val="20"/>
          <w:szCs w:val="20"/>
        </w:rPr>
        <w:t>In addition to the aforementioned sources, t</w:t>
      </w:r>
      <w:r w:rsidR="00761D77">
        <w:rPr>
          <w:rFonts w:ascii="Arial" w:eastAsia="Times New Roman" w:hAnsi="Arial" w:cs="Arial"/>
          <w:i w:val="0"/>
          <w:color w:val="auto"/>
          <w:sz w:val="20"/>
          <w:szCs w:val="20"/>
        </w:rPr>
        <w:t>he methodology for this work</w:t>
      </w:r>
      <w:r w:rsidR="008B4EFC">
        <w:rPr>
          <w:rFonts w:ascii="Arial" w:eastAsia="Times New Roman" w:hAnsi="Arial" w:cs="Arial"/>
          <w:i w:val="0"/>
          <w:color w:val="auto"/>
          <w:sz w:val="20"/>
          <w:szCs w:val="20"/>
        </w:rPr>
        <w:t xml:space="preserve"> </w:t>
      </w:r>
      <w:r w:rsidR="00761D77">
        <w:rPr>
          <w:rFonts w:ascii="Arial" w:eastAsia="Times New Roman" w:hAnsi="Arial" w:cs="Arial"/>
          <w:i w:val="0"/>
          <w:color w:val="auto"/>
          <w:sz w:val="20"/>
          <w:szCs w:val="20"/>
        </w:rPr>
        <w:t>paper</w:t>
      </w:r>
      <w:r w:rsidR="007B2C48">
        <w:rPr>
          <w:rFonts w:ascii="Arial" w:eastAsia="Times New Roman" w:hAnsi="Arial" w:cs="Arial"/>
          <w:i w:val="0"/>
          <w:color w:val="auto"/>
          <w:sz w:val="20"/>
          <w:szCs w:val="20"/>
        </w:rPr>
        <w:t>, especially for secondary market impacts,</w:t>
      </w:r>
      <w:r w:rsidR="00761D77">
        <w:rPr>
          <w:rFonts w:ascii="Arial" w:eastAsia="Times New Roman" w:hAnsi="Arial" w:cs="Arial"/>
          <w:i w:val="0"/>
          <w:color w:val="auto"/>
          <w:sz w:val="20"/>
          <w:szCs w:val="20"/>
        </w:rPr>
        <w:t xml:space="preserve"> was informed by the </w:t>
      </w:r>
      <w:r w:rsidR="00761D77" w:rsidRPr="00761D77">
        <w:rPr>
          <w:rFonts w:ascii="Arial" w:eastAsia="Times New Roman" w:hAnsi="Arial" w:cs="Arial"/>
          <w:i w:val="0"/>
          <w:color w:val="auto"/>
          <w:sz w:val="20"/>
          <w:szCs w:val="20"/>
        </w:rPr>
        <w:t>National Renewable Energy Laboratory</w:t>
      </w:r>
      <w:r w:rsidR="005E7BB5">
        <w:rPr>
          <w:rFonts w:ascii="Arial" w:eastAsia="Times New Roman" w:hAnsi="Arial" w:cs="Arial"/>
          <w:i w:val="0"/>
          <w:color w:val="auto"/>
          <w:sz w:val="20"/>
          <w:szCs w:val="20"/>
        </w:rPr>
        <w:t xml:space="preserve"> (NREL) Uniform Methods Project’s (UMP)</w:t>
      </w:r>
      <w:r w:rsidR="00761D77" w:rsidRPr="00761D77">
        <w:rPr>
          <w:rFonts w:ascii="Arial" w:eastAsia="Times New Roman" w:hAnsi="Arial" w:cs="Arial"/>
          <w:i w:val="0"/>
          <w:color w:val="auto"/>
          <w:sz w:val="20"/>
          <w:szCs w:val="20"/>
        </w:rPr>
        <w:t xml:space="preserve"> </w:t>
      </w:r>
      <w:r w:rsidR="00761D77" w:rsidRPr="00761D77">
        <w:rPr>
          <w:rFonts w:ascii="Arial" w:eastAsia="Times New Roman" w:hAnsi="Arial" w:cs="Arial"/>
          <w:color w:val="auto"/>
          <w:sz w:val="20"/>
          <w:szCs w:val="20"/>
        </w:rPr>
        <w:t>Chapter 7. Refrigerator Recycling Evaluation Protocol</w:t>
      </w:r>
      <w:r w:rsidR="00761D77" w:rsidRPr="00761D77">
        <w:rPr>
          <w:rFonts w:ascii="Arial" w:eastAsia="Times New Roman" w:hAnsi="Arial" w:cs="Arial"/>
          <w:i w:val="0"/>
          <w:color w:val="auto"/>
          <w:sz w:val="20"/>
          <w:szCs w:val="20"/>
        </w:rPr>
        <w:t xml:space="preserve"> (2013)</w:t>
      </w:r>
      <w:r w:rsidR="00761D77">
        <w:rPr>
          <w:rFonts w:ascii="Arial" w:eastAsia="Times New Roman" w:hAnsi="Arial" w:cs="Arial"/>
          <w:i w:val="0"/>
          <w:color w:val="auto"/>
          <w:sz w:val="20"/>
          <w:szCs w:val="20"/>
        </w:rPr>
        <w:t>.</w:t>
      </w:r>
      <w:r w:rsidR="00761D77">
        <w:rPr>
          <w:rStyle w:val="EndnoteReference"/>
          <w:rFonts w:ascii="Arial" w:eastAsia="Times New Roman" w:hAnsi="Arial" w:cs="Arial"/>
          <w:i w:val="0"/>
          <w:color w:val="auto"/>
          <w:sz w:val="20"/>
          <w:szCs w:val="20"/>
        </w:rPr>
        <w:endnoteReference w:id="12"/>
      </w:r>
    </w:p>
    <w:p w14:paraId="0EB86532" w14:textId="77777777" w:rsidR="007B2C48" w:rsidRDefault="007B2C48" w:rsidP="004B3428">
      <w:pPr>
        <w:pStyle w:val="Reminder"/>
        <w:ind w:left="540"/>
        <w:rPr>
          <w:rFonts w:ascii="Arial" w:eastAsia="Times New Roman" w:hAnsi="Arial" w:cs="Arial"/>
          <w:i w:val="0"/>
          <w:color w:val="auto"/>
          <w:sz w:val="20"/>
          <w:szCs w:val="20"/>
        </w:rPr>
      </w:pPr>
    </w:p>
    <w:p w14:paraId="069B2964" w14:textId="3FD291EF" w:rsidR="00776887" w:rsidRDefault="00776887" w:rsidP="004B3428">
      <w:pPr>
        <w:pStyle w:val="Reminder"/>
        <w:ind w:left="540"/>
        <w:rPr>
          <w:rFonts w:ascii="Arial" w:eastAsia="Times New Roman" w:hAnsi="Arial" w:cs="Arial"/>
          <w:i w:val="0"/>
          <w:color w:val="auto"/>
          <w:sz w:val="20"/>
          <w:szCs w:val="20"/>
        </w:rPr>
      </w:pPr>
      <w:r>
        <w:rPr>
          <w:rFonts w:ascii="Arial" w:eastAsia="Times New Roman" w:hAnsi="Arial" w:cs="Arial"/>
          <w:i w:val="0"/>
          <w:color w:val="auto"/>
          <w:sz w:val="20"/>
          <w:szCs w:val="20"/>
        </w:rPr>
        <w:t>To calculate the annual unit energy consumption, the number of annual clothes washer cycles</w:t>
      </w:r>
      <w:r w:rsidR="00B54208">
        <w:rPr>
          <w:rFonts w:ascii="Arial" w:eastAsia="Times New Roman" w:hAnsi="Arial" w:cs="Arial"/>
          <w:i w:val="0"/>
          <w:color w:val="auto"/>
          <w:sz w:val="20"/>
          <w:szCs w:val="20"/>
        </w:rPr>
        <w:t xml:space="preserve"> for single-family homes</w:t>
      </w:r>
      <w:r>
        <w:rPr>
          <w:rFonts w:ascii="Arial" w:eastAsia="Times New Roman" w:hAnsi="Arial" w:cs="Arial"/>
          <w:i w:val="0"/>
          <w:color w:val="auto"/>
          <w:sz w:val="20"/>
          <w:szCs w:val="20"/>
        </w:rPr>
        <w:t xml:space="preserve"> </w:t>
      </w:r>
      <w:r w:rsidR="00B54208">
        <w:rPr>
          <w:rFonts w:ascii="Arial" w:eastAsia="Times New Roman" w:hAnsi="Arial" w:cs="Arial"/>
          <w:i w:val="0"/>
          <w:color w:val="auto"/>
          <w:sz w:val="20"/>
          <w:szCs w:val="20"/>
        </w:rPr>
        <w:t xml:space="preserve">as well as the per cycle energy </w:t>
      </w:r>
      <w:r w:rsidR="00D03E10">
        <w:rPr>
          <w:rFonts w:ascii="Arial" w:eastAsia="Times New Roman" w:hAnsi="Arial" w:cs="Arial"/>
          <w:i w:val="0"/>
          <w:color w:val="auto"/>
          <w:sz w:val="20"/>
          <w:szCs w:val="20"/>
        </w:rPr>
        <w:t xml:space="preserve">and water </w:t>
      </w:r>
      <w:r w:rsidR="00B54208">
        <w:rPr>
          <w:rFonts w:ascii="Arial" w:eastAsia="Times New Roman" w:hAnsi="Arial" w:cs="Arial"/>
          <w:i w:val="0"/>
          <w:color w:val="auto"/>
          <w:sz w:val="20"/>
          <w:szCs w:val="20"/>
        </w:rPr>
        <w:t xml:space="preserve">consumption for a clothes washer meeting the Title 20 standard </w:t>
      </w:r>
      <w:r w:rsidR="00490DC7">
        <w:rPr>
          <w:rFonts w:ascii="Arial" w:eastAsia="Times New Roman" w:hAnsi="Arial" w:cs="Arial"/>
          <w:i w:val="0"/>
          <w:color w:val="auto"/>
          <w:sz w:val="20"/>
          <w:szCs w:val="20"/>
        </w:rPr>
        <w:t>comes</w:t>
      </w:r>
      <w:r w:rsidR="00B54208">
        <w:rPr>
          <w:rFonts w:ascii="Arial" w:eastAsia="Times New Roman" w:hAnsi="Arial" w:cs="Arial"/>
          <w:i w:val="0"/>
          <w:color w:val="auto"/>
          <w:sz w:val="20"/>
          <w:szCs w:val="20"/>
        </w:rPr>
        <w:t xml:space="preserve"> </w:t>
      </w:r>
      <w:r>
        <w:rPr>
          <w:rFonts w:ascii="Arial" w:eastAsia="Times New Roman" w:hAnsi="Arial" w:cs="Arial"/>
          <w:i w:val="0"/>
          <w:color w:val="auto"/>
          <w:sz w:val="20"/>
          <w:szCs w:val="20"/>
        </w:rPr>
        <w:t>from the 2012 DOE Residential Clothes Washer Technical Support Document</w:t>
      </w:r>
      <w:r w:rsidR="008B4EFC">
        <w:rPr>
          <w:rFonts w:ascii="Arial" w:eastAsia="Times New Roman" w:hAnsi="Arial" w:cs="Arial"/>
          <w:i w:val="0"/>
          <w:color w:val="auto"/>
          <w:sz w:val="20"/>
          <w:szCs w:val="20"/>
        </w:rPr>
        <w:t xml:space="preserve"> (TSD)</w:t>
      </w:r>
      <w:r w:rsidR="00B54208">
        <w:rPr>
          <w:rFonts w:ascii="Arial" w:eastAsia="Times New Roman" w:hAnsi="Arial" w:cs="Arial"/>
          <w:i w:val="0"/>
          <w:color w:val="auto"/>
          <w:sz w:val="20"/>
          <w:szCs w:val="20"/>
        </w:rPr>
        <w:t>.</w:t>
      </w:r>
      <w:r w:rsidR="00B54208">
        <w:rPr>
          <w:rStyle w:val="EndnoteReference"/>
          <w:rFonts w:ascii="Arial" w:eastAsia="Times New Roman" w:hAnsi="Arial" w:cs="Arial"/>
          <w:i w:val="0"/>
          <w:color w:val="auto"/>
          <w:sz w:val="20"/>
          <w:szCs w:val="20"/>
        </w:rPr>
        <w:endnoteReference w:id="13"/>
      </w:r>
      <w:r w:rsidR="00D03E10">
        <w:rPr>
          <w:rFonts w:ascii="Arial" w:eastAsia="Times New Roman" w:hAnsi="Arial" w:cs="Arial"/>
          <w:i w:val="0"/>
          <w:color w:val="auto"/>
          <w:sz w:val="20"/>
          <w:szCs w:val="20"/>
        </w:rPr>
        <w:t xml:space="preserve"> The number of annual clothes washer cycles for multi-family homes is from the 20</w:t>
      </w:r>
      <w:r w:rsidR="005E7BB5">
        <w:rPr>
          <w:rFonts w:ascii="Arial" w:eastAsia="Times New Roman" w:hAnsi="Arial" w:cs="Arial"/>
          <w:i w:val="0"/>
          <w:color w:val="auto"/>
          <w:sz w:val="20"/>
          <w:szCs w:val="20"/>
        </w:rPr>
        <w:t xml:space="preserve">10 </w:t>
      </w:r>
      <w:r w:rsidR="00D03E10">
        <w:rPr>
          <w:rFonts w:ascii="Arial" w:eastAsia="Times New Roman" w:hAnsi="Arial" w:cs="Arial"/>
          <w:i w:val="0"/>
          <w:color w:val="auto"/>
          <w:sz w:val="20"/>
          <w:szCs w:val="20"/>
        </w:rPr>
        <w:t xml:space="preserve">DOE Commercial Clothes Washer </w:t>
      </w:r>
      <w:r w:rsidR="008B4EFC">
        <w:rPr>
          <w:rFonts w:ascii="Arial" w:eastAsia="Times New Roman" w:hAnsi="Arial" w:cs="Arial"/>
          <w:i w:val="0"/>
          <w:color w:val="auto"/>
          <w:sz w:val="20"/>
          <w:szCs w:val="20"/>
        </w:rPr>
        <w:t>TSD</w:t>
      </w:r>
      <w:r w:rsidR="00D03E10">
        <w:rPr>
          <w:rFonts w:ascii="Arial" w:eastAsia="Times New Roman" w:hAnsi="Arial" w:cs="Arial"/>
          <w:i w:val="0"/>
          <w:color w:val="auto"/>
          <w:sz w:val="20"/>
          <w:szCs w:val="20"/>
        </w:rPr>
        <w:t>.</w:t>
      </w:r>
      <w:r w:rsidR="00D03E10">
        <w:rPr>
          <w:rStyle w:val="EndnoteReference"/>
          <w:rFonts w:ascii="Arial" w:eastAsia="Times New Roman" w:hAnsi="Arial" w:cs="Arial"/>
          <w:i w:val="0"/>
          <w:color w:val="auto"/>
          <w:sz w:val="20"/>
          <w:szCs w:val="20"/>
        </w:rPr>
        <w:endnoteReference w:id="14"/>
      </w:r>
      <w:r w:rsidR="00261422">
        <w:rPr>
          <w:rFonts w:ascii="Arial" w:eastAsia="Times New Roman" w:hAnsi="Arial" w:cs="Arial"/>
          <w:i w:val="0"/>
          <w:color w:val="auto"/>
          <w:sz w:val="20"/>
          <w:szCs w:val="20"/>
        </w:rPr>
        <w:t xml:space="preserve"> This is consistent with the existing high efficiency clothes washer work papers as previously described in Section 1.3.4.</w:t>
      </w:r>
    </w:p>
    <w:p w14:paraId="18FCDDC3" w14:textId="77777777" w:rsidR="00F37A35" w:rsidRDefault="00F37A35" w:rsidP="004B3428">
      <w:pPr>
        <w:pStyle w:val="Reminder"/>
        <w:ind w:left="540"/>
        <w:rPr>
          <w:rFonts w:ascii="Arial" w:eastAsia="Times New Roman" w:hAnsi="Arial" w:cs="Arial"/>
          <w:i w:val="0"/>
          <w:color w:val="auto"/>
          <w:sz w:val="20"/>
          <w:szCs w:val="20"/>
        </w:rPr>
      </w:pPr>
    </w:p>
    <w:p w14:paraId="0576D71B" w14:textId="6C50BCB6" w:rsidR="00500836" w:rsidRDefault="00F37A35" w:rsidP="004B3428">
      <w:pPr>
        <w:pStyle w:val="Reminder"/>
        <w:ind w:left="540"/>
        <w:rPr>
          <w:rFonts w:ascii="Arial" w:eastAsia="Times New Roman" w:hAnsi="Arial" w:cs="Arial"/>
          <w:i w:val="0"/>
          <w:color w:val="auto"/>
          <w:sz w:val="20"/>
          <w:szCs w:val="20"/>
        </w:rPr>
      </w:pPr>
      <w:r>
        <w:rPr>
          <w:rFonts w:ascii="Arial" w:eastAsia="Times New Roman" w:hAnsi="Arial" w:cs="Arial"/>
          <w:i w:val="0"/>
          <w:color w:val="auto"/>
          <w:sz w:val="20"/>
          <w:szCs w:val="20"/>
        </w:rPr>
        <w:t xml:space="preserve">Data from the 2009 </w:t>
      </w:r>
      <w:r w:rsidR="002456F2">
        <w:rPr>
          <w:rFonts w:ascii="Arial" w:eastAsia="Times New Roman" w:hAnsi="Arial" w:cs="Arial"/>
          <w:i w:val="0"/>
          <w:color w:val="auto"/>
          <w:sz w:val="20"/>
          <w:szCs w:val="20"/>
        </w:rPr>
        <w:t>California Residential Appliance Saturation Study (</w:t>
      </w:r>
      <w:r>
        <w:rPr>
          <w:rFonts w:ascii="Arial" w:eastAsia="Times New Roman" w:hAnsi="Arial" w:cs="Arial"/>
          <w:i w:val="0"/>
          <w:color w:val="auto"/>
          <w:sz w:val="20"/>
          <w:szCs w:val="20"/>
        </w:rPr>
        <w:t>RASS</w:t>
      </w:r>
      <w:r w:rsidR="002456F2">
        <w:rPr>
          <w:rFonts w:ascii="Arial" w:eastAsia="Times New Roman" w:hAnsi="Arial" w:cs="Arial"/>
          <w:i w:val="0"/>
          <w:color w:val="auto"/>
          <w:sz w:val="20"/>
          <w:szCs w:val="20"/>
        </w:rPr>
        <w:t>)</w:t>
      </w:r>
      <w:r>
        <w:rPr>
          <w:rFonts w:ascii="Arial" w:eastAsia="Times New Roman" w:hAnsi="Arial" w:cs="Arial"/>
          <w:i w:val="0"/>
          <w:color w:val="auto"/>
          <w:sz w:val="20"/>
          <w:szCs w:val="20"/>
        </w:rPr>
        <w:t xml:space="preserve"> is used to inform the population weights of dryer and domestic hot water heating fuel sources</w:t>
      </w:r>
      <w:r w:rsidR="008B4EFC">
        <w:rPr>
          <w:rFonts w:ascii="Arial" w:eastAsia="Times New Roman" w:hAnsi="Arial" w:cs="Arial"/>
          <w:i w:val="0"/>
          <w:color w:val="auto"/>
          <w:sz w:val="20"/>
          <w:szCs w:val="20"/>
        </w:rPr>
        <w:t xml:space="preserve"> to determine a </w:t>
      </w:r>
      <w:r w:rsidR="00490DC7">
        <w:rPr>
          <w:rFonts w:ascii="Arial" w:eastAsia="Times New Roman" w:hAnsi="Arial" w:cs="Arial"/>
          <w:i w:val="0"/>
          <w:color w:val="auto"/>
          <w:sz w:val="20"/>
          <w:szCs w:val="20"/>
        </w:rPr>
        <w:t xml:space="preserve">weighted </w:t>
      </w:r>
      <w:r w:rsidR="008B4EFC">
        <w:rPr>
          <w:rFonts w:ascii="Arial" w:eastAsia="Times New Roman" w:hAnsi="Arial" w:cs="Arial"/>
          <w:i w:val="0"/>
          <w:color w:val="auto"/>
          <w:sz w:val="20"/>
          <w:szCs w:val="20"/>
        </w:rPr>
        <w:t>statewide average</w:t>
      </w:r>
      <w:r>
        <w:rPr>
          <w:rFonts w:ascii="Arial" w:eastAsia="Times New Roman" w:hAnsi="Arial" w:cs="Arial"/>
          <w:i w:val="0"/>
          <w:color w:val="auto"/>
          <w:sz w:val="20"/>
          <w:szCs w:val="20"/>
        </w:rPr>
        <w:t>.</w:t>
      </w:r>
      <w:r w:rsidR="00746495">
        <w:rPr>
          <w:rStyle w:val="EndnoteReference"/>
          <w:rFonts w:ascii="Arial" w:eastAsia="Times New Roman" w:hAnsi="Arial" w:cs="Arial"/>
          <w:i w:val="0"/>
          <w:color w:val="auto"/>
          <w:sz w:val="20"/>
          <w:szCs w:val="20"/>
        </w:rPr>
        <w:endnoteReference w:id="15"/>
      </w:r>
      <w:r>
        <w:rPr>
          <w:rFonts w:ascii="Arial" w:eastAsia="Times New Roman" w:hAnsi="Arial" w:cs="Arial"/>
          <w:i w:val="0"/>
          <w:color w:val="auto"/>
          <w:sz w:val="20"/>
          <w:szCs w:val="20"/>
        </w:rPr>
        <w:t xml:space="preserve"> Although the RASS has data on annual clothes washer cycles, the DOE TSDs </w:t>
      </w:r>
      <w:r w:rsidR="00696885">
        <w:rPr>
          <w:rFonts w:ascii="Arial" w:eastAsia="Times New Roman" w:hAnsi="Arial" w:cs="Arial"/>
          <w:i w:val="0"/>
          <w:color w:val="auto"/>
          <w:sz w:val="20"/>
          <w:szCs w:val="20"/>
        </w:rPr>
        <w:t>are</w:t>
      </w:r>
      <w:r>
        <w:rPr>
          <w:rFonts w:ascii="Arial" w:eastAsia="Times New Roman" w:hAnsi="Arial" w:cs="Arial"/>
          <w:i w:val="0"/>
          <w:color w:val="auto"/>
          <w:sz w:val="20"/>
          <w:szCs w:val="20"/>
        </w:rPr>
        <w:t xml:space="preserve"> used instead because existing clothes washer work papers use these values. It is for this same reason that the annual clothes washer cycles from the 2010 </w:t>
      </w:r>
      <w:r>
        <w:rPr>
          <w:rFonts w:ascii="Arial" w:eastAsia="Times New Roman" w:hAnsi="Arial" w:cs="Arial"/>
          <w:color w:val="auto"/>
          <w:sz w:val="20"/>
          <w:szCs w:val="20"/>
        </w:rPr>
        <w:t>High Impact Measure Evaluation Report</w:t>
      </w:r>
      <w:r>
        <w:rPr>
          <w:rFonts w:ascii="Arial" w:eastAsia="Times New Roman" w:hAnsi="Arial" w:cs="Arial"/>
          <w:i w:val="0"/>
          <w:color w:val="auto"/>
          <w:sz w:val="20"/>
          <w:szCs w:val="20"/>
        </w:rPr>
        <w:t xml:space="preserve"> are not used. </w:t>
      </w:r>
    </w:p>
    <w:p w14:paraId="5F17B717" w14:textId="77777777" w:rsidR="00500836" w:rsidRDefault="00500836" w:rsidP="004B3428">
      <w:pPr>
        <w:pStyle w:val="Reminder"/>
        <w:ind w:left="540"/>
        <w:rPr>
          <w:rFonts w:ascii="Arial" w:eastAsia="Times New Roman" w:hAnsi="Arial" w:cs="Arial"/>
          <w:i w:val="0"/>
          <w:color w:val="auto"/>
          <w:sz w:val="20"/>
          <w:szCs w:val="20"/>
        </w:rPr>
      </w:pPr>
    </w:p>
    <w:p w14:paraId="37D44F9E" w14:textId="539E2841" w:rsidR="00F37A35" w:rsidRDefault="00500836" w:rsidP="004B3428">
      <w:pPr>
        <w:pStyle w:val="Reminder"/>
        <w:ind w:left="540"/>
        <w:rPr>
          <w:rFonts w:ascii="Arial" w:eastAsia="Times New Roman" w:hAnsi="Arial" w:cs="Arial"/>
          <w:i w:val="0"/>
          <w:color w:val="auto"/>
          <w:sz w:val="20"/>
          <w:szCs w:val="20"/>
        </w:rPr>
      </w:pPr>
      <w:r>
        <w:rPr>
          <w:rFonts w:ascii="Arial" w:eastAsia="Times New Roman" w:hAnsi="Arial" w:cs="Arial"/>
          <w:i w:val="0"/>
          <w:color w:val="auto"/>
          <w:sz w:val="20"/>
          <w:szCs w:val="20"/>
        </w:rPr>
        <w:t xml:space="preserve">Additionally, while the RASS does have metering data for clothes washers, it does not </w:t>
      </w:r>
      <w:r w:rsidRPr="007B2C48">
        <w:rPr>
          <w:rFonts w:ascii="Arial" w:eastAsia="Times New Roman" w:hAnsi="Arial" w:cs="Arial"/>
          <w:i w:val="0"/>
          <w:color w:val="auto"/>
          <w:sz w:val="20"/>
          <w:szCs w:val="20"/>
        </w:rPr>
        <w:t>specify the proportion of hot water heating and dryer</w:t>
      </w:r>
      <w:r>
        <w:rPr>
          <w:rFonts w:ascii="Arial" w:eastAsia="Times New Roman" w:hAnsi="Arial" w:cs="Arial"/>
          <w:i w:val="0"/>
          <w:color w:val="auto"/>
          <w:sz w:val="20"/>
          <w:szCs w:val="20"/>
        </w:rPr>
        <w:t xml:space="preserve"> energy consumption</w:t>
      </w:r>
      <w:r w:rsidRPr="007B2C48">
        <w:rPr>
          <w:rFonts w:ascii="Arial" w:eastAsia="Times New Roman" w:hAnsi="Arial" w:cs="Arial"/>
          <w:i w:val="0"/>
          <w:color w:val="auto"/>
          <w:sz w:val="20"/>
          <w:szCs w:val="20"/>
        </w:rPr>
        <w:t xml:space="preserve"> that results from clothes washing. This information is critical because the overwhelming majority of the energy consumption attributable to clothes washers is derived from hot water and dryer energy usage (approximately 92%-95%</w:t>
      </w:r>
      <w:r w:rsidR="008B4EFC">
        <w:rPr>
          <w:rFonts w:ascii="Arial" w:eastAsia="Times New Roman" w:hAnsi="Arial" w:cs="Arial"/>
          <w:i w:val="0"/>
          <w:color w:val="auto"/>
          <w:sz w:val="20"/>
          <w:szCs w:val="20"/>
        </w:rPr>
        <w:t xml:space="preserve"> combined</w:t>
      </w:r>
      <w:r w:rsidRPr="007B2C48">
        <w:rPr>
          <w:rFonts w:ascii="Arial" w:eastAsia="Times New Roman" w:hAnsi="Arial" w:cs="Arial"/>
          <w:i w:val="0"/>
          <w:color w:val="auto"/>
          <w:sz w:val="20"/>
          <w:szCs w:val="20"/>
        </w:rPr>
        <w:t>).</w:t>
      </w:r>
    </w:p>
    <w:p w14:paraId="53E7B487" w14:textId="77777777" w:rsidR="00D03E10" w:rsidRDefault="00D03E10" w:rsidP="007B2C48">
      <w:pPr>
        <w:pStyle w:val="Reminder"/>
        <w:ind w:left="576" w:hanging="36"/>
        <w:rPr>
          <w:rFonts w:ascii="Arial" w:eastAsia="Times New Roman" w:hAnsi="Arial" w:cs="Arial"/>
          <w:i w:val="0"/>
          <w:color w:val="auto"/>
          <w:sz w:val="20"/>
          <w:szCs w:val="20"/>
        </w:rPr>
      </w:pPr>
    </w:p>
    <w:p w14:paraId="23BFA6D3" w14:textId="77777777" w:rsidR="00327347" w:rsidRDefault="00C069A2" w:rsidP="00327347">
      <w:pPr>
        <w:pStyle w:val="Heading1-CalTF"/>
      </w:pPr>
      <w:bookmarkStart w:id="49" w:name="_Toc304800210"/>
      <w:bookmarkStart w:id="50" w:name="_Toc324340489"/>
      <w:bookmarkStart w:id="51" w:name="_Toc385592992"/>
      <w:r w:rsidRPr="00607339">
        <w:t>Calculation Methods</w:t>
      </w:r>
      <w:bookmarkStart w:id="52" w:name="_Ref379207748"/>
      <w:bookmarkEnd w:id="49"/>
      <w:bookmarkEnd w:id="50"/>
      <w:bookmarkEnd w:id="51"/>
    </w:p>
    <w:p w14:paraId="2E765309" w14:textId="17601EAC" w:rsidR="00327347" w:rsidRDefault="00327347" w:rsidP="00327347">
      <w:pPr>
        <w:pStyle w:val="Heading2-CalTF2"/>
      </w:pPr>
      <w:bookmarkStart w:id="53" w:name="_Toc385592993"/>
      <w:r>
        <w:t>Program Implementation Analysis</w:t>
      </w:r>
      <w:bookmarkEnd w:id="53"/>
    </w:p>
    <w:p w14:paraId="30462C9D" w14:textId="77777777" w:rsidR="00200DD0" w:rsidRDefault="00200DD0" w:rsidP="00200DD0">
      <w:pPr>
        <w:pStyle w:val="Caption"/>
        <w:spacing w:before="300" w:after="60"/>
        <w:rPr>
          <w:rFonts w:cs="Arial"/>
          <w:b w:val="0"/>
        </w:rPr>
      </w:pPr>
      <w:bookmarkStart w:id="54" w:name="_Toc385592676"/>
      <w:r w:rsidRPr="001D4579">
        <w:rPr>
          <w:rFonts w:cs="Arial"/>
        </w:rPr>
        <w:t xml:space="preserve">Table </w:t>
      </w:r>
      <w:r w:rsidRPr="001D4579">
        <w:rPr>
          <w:rFonts w:cs="Arial"/>
        </w:rPr>
        <w:fldChar w:fldCharType="begin"/>
      </w:r>
      <w:r w:rsidRPr="001D4579">
        <w:rPr>
          <w:rFonts w:cs="Arial"/>
        </w:rPr>
        <w:instrText xml:space="preserve"> SEQ Table \* ARABIC </w:instrText>
      </w:r>
      <w:r w:rsidRPr="001D4579">
        <w:rPr>
          <w:rFonts w:cs="Arial"/>
        </w:rPr>
        <w:fldChar w:fldCharType="separate"/>
      </w:r>
      <w:r w:rsidR="00EC4C6F">
        <w:rPr>
          <w:rFonts w:cs="Arial"/>
          <w:noProof/>
        </w:rPr>
        <w:t>7</w:t>
      </w:r>
      <w:r w:rsidRPr="001D4579">
        <w:rPr>
          <w:rFonts w:cs="Arial"/>
          <w:noProof/>
        </w:rPr>
        <w:fldChar w:fldCharType="end"/>
      </w:r>
      <w:r>
        <w:rPr>
          <w:rFonts w:cs="Arial"/>
          <w:noProof/>
        </w:rPr>
        <w:t>.</w:t>
      </w:r>
      <w:r w:rsidRPr="001D4579">
        <w:rPr>
          <w:rFonts w:cs="Arial"/>
        </w:rPr>
        <w:t xml:space="preserve"> </w:t>
      </w:r>
      <w:r w:rsidRPr="00607339">
        <w:rPr>
          <w:rFonts w:cs="Arial"/>
          <w:b w:val="0"/>
        </w:rPr>
        <w:t>Baseline by Measure Application Type</w:t>
      </w:r>
      <w:bookmarkEnd w:id="54"/>
    </w:p>
    <w:tbl>
      <w:tblPr>
        <w:tblStyle w:val="TableGrid"/>
        <w:tblW w:w="9085" w:type="dxa"/>
        <w:tblLook w:val="04A0" w:firstRow="1" w:lastRow="0" w:firstColumn="1" w:lastColumn="0" w:noHBand="0" w:noVBand="1"/>
      </w:tblPr>
      <w:tblGrid>
        <w:gridCol w:w="1885"/>
        <w:gridCol w:w="1620"/>
        <w:gridCol w:w="3330"/>
        <w:gridCol w:w="2250"/>
      </w:tblGrid>
      <w:tr w:rsidR="007D047B" w:rsidRPr="00817D29" w14:paraId="45C09C64" w14:textId="77777777" w:rsidTr="00DC4423">
        <w:tc>
          <w:tcPr>
            <w:tcW w:w="1885" w:type="dxa"/>
            <w:tcBorders>
              <w:top w:val="single" w:sz="4" w:space="0" w:color="auto"/>
              <w:left w:val="single" w:sz="4" w:space="0" w:color="auto"/>
            </w:tcBorders>
            <w:shd w:val="clear" w:color="auto" w:fill="D9D9D9" w:themeFill="background1" w:themeFillShade="D9"/>
            <w:vAlign w:val="center"/>
          </w:tcPr>
          <w:p w14:paraId="2F03158F" w14:textId="77777777" w:rsidR="007D047B" w:rsidRPr="00817D29" w:rsidRDefault="007D047B" w:rsidP="00471494">
            <w:pPr>
              <w:spacing w:before="60" w:after="60"/>
              <w:jc w:val="center"/>
              <w:rPr>
                <w:sz w:val="20"/>
                <w:szCs w:val="20"/>
              </w:rPr>
            </w:pPr>
            <w:r w:rsidRPr="00817D29">
              <w:rPr>
                <w:sz w:val="20"/>
                <w:szCs w:val="20"/>
              </w:rPr>
              <w:t>Measure Application Type</w:t>
            </w:r>
          </w:p>
        </w:tc>
        <w:tc>
          <w:tcPr>
            <w:tcW w:w="1620" w:type="dxa"/>
            <w:tcBorders>
              <w:top w:val="single" w:sz="4" w:space="0" w:color="auto"/>
              <w:bottom w:val="single" w:sz="4" w:space="0" w:color="auto"/>
            </w:tcBorders>
            <w:shd w:val="clear" w:color="auto" w:fill="D9D9D9" w:themeFill="background1" w:themeFillShade="D9"/>
            <w:vAlign w:val="center"/>
          </w:tcPr>
          <w:p w14:paraId="245ED29D" w14:textId="77777777" w:rsidR="007D047B" w:rsidRPr="00817D29" w:rsidRDefault="007D047B" w:rsidP="00471494">
            <w:pPr>
              <w:spacing w:before="60" w:after="60"/>
              <w:jc w:val="center"/>
              <w:rPr>
                <w:sz w:val="20"/>
                <w:szCs w:val="20"/>
              </w:rPr>
            </w:pPr>
            <w:r w:rsidRPr="00817D29">
              <w:rPr>
                <w:sz w:val="20"/>
                <w:szCs w:val="20"/>
              </w:rPr>
              <w:t>Baseline</w:t>
            </w:r>
          </w:p>
        </w:tc>
        <w:tc>
          <w:tcPr>
            <w:tcW w:w="3330" w:type="dxa"/>
            <w:tcBorders>
              <w:top w:val="single" w:sz="4" w:space="0" w:color="auto"/>
              <w:bottom w:val="single" w:sz="4" w:space="0" w:color="auto"/>
            </w:tcBorders>
            <w:shd w:val="clear" w:color="auto" w:fill="D9D9D9" w:themeFill="background1" w:themeFillShade="D9"/>
            <w:vAlign w:val="center"/>
          </w:tcPr>
          <w:p w14:paraId="64C28555" w14:textId="77777777" w:rsidR="007D047B" w:rsidRPr="00817D29" w:rsidRDefault="007D047B" w:rsidP="00471494">
            <w:pPr>
              <w:spacing w:before="60" w:after="60"/>
              <w:jc w:val="center"/>
              <w:rPr>
                <w:sz w:val="20"/>
                <w:szCs w:val="20"/>
              </w:rPr>
            </w:pPr>
            <w:r w:rsidRPr="00817D29">
              <w:rPr>
                <w:sz w:val="20"/>
                <w:szCs w:val="20"/>
              </w:rPr>
              <w:t xml:space="preserve">Baseline Technology </w:t>
            </w:r>
          </w:p>
        </w:tc>
        <w:tc>
          <w:tcPr>
            <w:tcW w:w="2250" w:type="dxa"/>
            <w:tcBorders>
              <w:top w:val="single" w:sz="4" w:space="0" w:color="auto"/>
              <w:bottom w:val="single" w:sz="4" w:space="0" w:color="auto"/>
              <w:right w:val="single" w:sz="4" w:space="0" w:color="auto"/>
            </w:tcBorders>
            <w:shd w:val="clear" w:color="auto" w:fill="D9D9D9" w:themeFill="background1" w:themeFillShade="D9"/>
            <w:vAlign w:val="center"/>
          </w:tcPr>
          <w:p w14:paraId="3826DB87" w14:textId="77777777" w:rsidR="007D047B" w:rsidRPr="00817D29" w:rsidRDefault="007D047B" w:rsidP="00471494">
            <w:pPr>
              <w:spacing w:before="60" w:after="60"/>
              <w:jc w:val="center"/>
              <w:rPr>
                <w:sz w:val="20"/>
                <w:szCs w:val="20"/>
              </w:rPr>
            </w:pPr>
            <w:r w:rsidRPr="00817D29">
              <w:rPr>
                <w:sz w:val="20"/>
                <w:szCs w:val="20"/>
              </w:rPr>
              <w:t>Duration</w:t>
            </w:r>
          </w:p>
        </w:tc>
      </w:tr>
      <w:tr w:rsidR="007D047B" w:rsidRPr="00817D29" w14:paraId="291999DF" w14:textId="77777777" w:rsidTr="00DC4423">
        <w:tc>
          <w:tcPr>
            <w:tcW w:w="1885" w:type="dxa"/>
            <w:vMerge w:val="restart"/>
            <w:tcBorders>
              <w:left w:val="single" w:sz="4" w:space="0" w:color="auto"/>
            </w:tcBorders>
            <w:vAlign w:val="center"/>
          </w:tcPr>
          <w:p w14:paraId="093C73B6" w14:textId="4EF74503" w:rsidR="007D047B" w:rsidRPr="00817D29" w:rsidRDefault="00EA5260" w:rsidP="00471494">
            <w:pPr>
              <w:spacing w:before="60" w:after="60"/>
              <w:jc w:val="center"/>
              <w:rPr>
                <w:sz w:val="20"/>
                <w:szCs w:val="20"/>
              </w:rPr>
            </w:pPr>
            <w:r>
              <w:rPr>
                <w:rStyle w:val="Strong"/>
                <w:rFonts w:cs="Arial"/>
                <w:b w:val="0"/>
                <w:sz w:val="20"/>
                <w:szCs w:val="20"/>
              </w:rPr>
              <w:t>ER</w:t>
            </w:r>
          </w:p>
        </w:tc>
        <w:tc>
          <w:tcPr>
            <w:tcW w:w="1620" w:type="dxa"/>
            <w:tcBorders>
              <w:bottom w:val="nil"/>
            </w:tcBorders>
            <w:vAlign w:val="center"/>
          </w:tcPr>
          <w:p w14:paraId="6F2FB640" w14:textId="77777777" w:rsidR="007D047B" w:rsidRPr="00817D29" w:rsidRDefault="007D047B" w:rsidP="00471494">
            <w:pPr>
              <w:spacing w:before="60" w:after="60"/>
              <w:jc w:val="center"/>
              <w:rPr>
                <w:sz w:val="20"/>
                <w:szCs w:val="20"/>
              </w:rPr>
            </w:pPr>
            <w:r w:rsidRPr="00817D29">
              <w:rPr>
                <w:sz w:val="20"/>
                <w:szCs w:val="20"/>
              </w:rPr>
              <w:t>First</w:t>
            </w:r>
          </w:p>
        </w:tc>
        <w:tc>
          <w:tcPr>
            <w:tcW w:w="3330" w:type="dxa"/>
            <w:tcBorders>
              <w:bottom w:val="nil"/>
            </w:tcBorders>
            <w:vAlign w:val="center"/>
          </w:tcPr>
          <w:p w14:paraId="146FAABE" w14:textId="36FE2510" w:rsidR="007D047B" w:rsidRPr="00817D29" w:rsidRDefault="00977F17" w:rsidP="007D047B">
            <w:pPr>
              <w:spacing w:before="60" w:after="60"/>
              <w:jc w:val="center"/>
              <w:rPr>
                <w:sz w:val="20"/>
                <w:szCs w:val="20"/>
              </w:rPr>
            </w:pPr>
            <w:r>
              <w:rPr>
                <w:sz w:val="20"/>
                <w:szCs w:val="20"/>
              </w:rPr>
              <w:t xml:space="preserve">Top-loading residential clothes washer w/ center agitator; at least </w:t>
            </w:r>
            <w:r>
              <w:rPr>
                <w:sz w:val="20"/>
                <w:szCs w:val="20"/>
              </w:rPr>
              <w:lastRenderedPageBreak/>
              <w:t>5 years old</w:t>
            </w:r>
          </w:p>
        </w:tc>
        <w:tc>
          <w:tcPr>
            <w:tcW w:w="2250" w:type="dxa"/>
            <w:tcBorders>
              <w:bottom w:val="nil"/>
              <w:right w:val="single" w:sz="4" w:space="0" w:color="auto"/>
            </w:tcBorders>
            <w:vAlign w:val="center"/>
          </w:tcPr>
          <w:p w14:paraId="66B78296" w14:textId="1A9B62BA" w:rsidR="007D047B" w:rsidRPr="00817D29" w:rsidRDefault="00977F17" w:rsidP="002942F8">
            <w:pPr>
              <w:spacing w:before="60" w:after="60"/>
              <w:jc w:val="center"/>
              <w:rPr>
                <w:sz w:val="20"/>
                <w:szCs w:val="20"/>
              </w:rPr>
            </w:pPr>
            <w:r>
              <w:rPr>
                <w:sz w:val="20"/>
                <w:szCs w:val="20"/>
              </w:rPr>
              <w:lastRenderedPageBreak/>
              <w:t>3.67</w:t>
            </w:r>
          </w:p>
        </w:tc>
      </w:tr>
      <w:tr w:rsidR="007D047B" w:rsidRPr="00817D29" w14:paraId="2B9B9656" w14:textId="77777777" w:rsidTr="00DC4423">
        <w:tc>
          <w:tcPr>
            <w:tcW w:w="1885" w:type="dxa"/>
            <w:vMerge/>
            <w:tcBorders>
              <w:left w:val="single" w:sz="4" w:space="0" w:color="auto"/>
              <w:bottom w:val="single" w:sz="4" w:space="0" w:color="auto"/>
            </w:tcBorders>
            <w:vAlign w:val="center"/>
          </w:tcPr>
          <w:p w14:paraId="5630D0A2" w14:textId="77777777" w:rsidR="007D047B" w:rsidRPr="00817D29" w:rsidRDefault="007D047B" w:rsidP="00471494">
            <w:pPr>
              <w:spacing w:before="60" w:after="60"/>
              <w:jc w:val="center"/>
              <w:rPr>
                <w:sz w:val="20"/>
                <w:szCs w:val="20"/>
              </w:rPr>
            </w:pPr>
          </w:p>
        </w:tc>
        <w:tc>
          <w:tcPr>
            <w:tcW w:w="1620" w:type="dxa"/>
            <w:tcBorders>
              <w:top w:val="nil"/>
              <w:bottom w:val="single" w:sz="4" w:space="0" w:color="auto"/>
            </w:tcBorders>
            <w:shd w:val="clear" w:color="auto" w:fill="F2F2F2" w:themeFill="background1" w:themeFillShade="F2"/>
            <w:vAlign w:val="center"/>
          </w:tcPr>
          <w:p w14:paraId="29C0C1C7" w14:textId="77777777" w:rsidR="007D047B" w:rsidRPr="00817D29" w:rsidRDefault="007D047B" w:rsidP="00471494">
            <w:pPr>
              <w:spacing w:before="60" w:after="60"/>
              <w:jc w:val="center"/>
              <w:rPr>
                <w:sz w:val="20"/>
                <w:szCs w:val="20"/>
              </w:rPr>
            </w:pPr>
            <w:r w:rsidRPr="00817D29">
              <w:rPr>
                <w:sz w:val="20"/>
                <w:szCs w:val="20"/>
              </w:rPr>
              <w:t>Second</w:t>
            </w:r>
          </w:p>
        </w:tc>
        <w:tc>
          <w:tcPr>
            <w:tcW w:w="3330" w:type="dxa"/>
            <w:tcBorders>
              <w:top w:val="nil"/>
              <w:bottom w:val="single" w:sz="4" w:space="0" w:color="auto"/>
            </w:tcBorders>
            <w:shd w:val="clear" w:color="auto" w:fill="F2F2F2" w:themeFill="background1" w:themeFillShade="F2"/>
            <w:vAlign w:val="center"/>
          </w:tcPr>
          <w:p w14:paraId="62D6AA7C" w14:textId="7024AD77" w:rsidR="007D047B" w:rsidRPr="00817D29" w:rsidRDefault="00DA378E" w:rsidP="00471494">
            <w:pPr>
              <w:spacing w:before="60" w:after="60"/>
              <w:jc w:val="center"/>
              <w:rPr>
                <w:sz w:val="20"/>
                <w:szCs w:val="20"/>
              </w:rPr>
            </w:pPr>
            <w:r>
              <w:rPr>
                <w:sz w:val="20"/>
                <w:szCs w:val="20"/>
              </w:rPr>
              <w:t>N/A</w:t>
            </w:r>
          </w:p>
        </w:tc>
        <w:tc>
          <w:tcPr>
            <w:tcW w:w="2250" w:type="dxa"/>
            <w:tcBorders>
              <w:top w:val="nil"/>
              <w:bottom w:val="single" w:sz="4" w:space="0" w:color="auto"/>
              <w:right w:val="single" w:sz="4" w:space="0" w:color="auto"/>
            </w:tcBorders>
            <w:shd w:val="clear" w:color="auto" w:fill="F2F2F2" w:themeFill="background1" w:themeFillShade="F2"/>
            <w:vAlign w:val="center"/>
          </w:tcPr>
          <w:p w14:paraId="0ED5654B" w14:textId="38FB721C" w:rsidR="007D047B" w:rsidRPr="00817D29" w:rsidRDefault="00DA378E" w:rsidP="009135CF">
            <w:pPr>
              <w:spacing w:before="60" w:after="60"/>
              <w:jc w:val="center"/>
              <w:rPr>
                <w:sz w:val="20"/>
                <w:szCs w:val="20"/>
              </w:rPr>
            </w:pPr>
            <w:r>
              <w:rPr>
                <w:sz w:val="20"/>
                <w:szCs w:val="20"/>
              </w:rPr>
              <w:t>N/A</w:t>
            </w:r>
          </w:p>
        </w:tc>
      </w:tr>
    </w:tbl>
    <w:p w14:paraId="7BC116E6" w14:textId="11785EBA" w:rsidR="00D94F3E" w:rsidRPr="00D94F3E" w:rsidRDefault="00D94F3E" w:rsidP="00D94F3E">
      <w:pPr>
        <w:pStyle w:val="Heading2-CalTF2"/>
        <w:numPr>
          <w:ilvl w:val="0"/>
          <w:numId w:val="0"/>
        </w:numPr>
        <w:rPr>
          <w:color w:val="auto"/>
          <w:sz w:val="20"/>
          <w:szCs w:val="20"/>
        </w:rPr>
      </w:pPr>
      <w:bookmarkStart w:id="55" w:name="_Toc304800211"/>
      <w:bookmarkStart w:id="56" w:name="_Toc324318365"/>
      <w:bookmarkStart w:id="57" w:name="_Toc324340494"/>
      <w:bookmarkStart w:id="58" w:name="_Toc385592994"/>
      <w:bookmarkEnd w:id="52"/>
      <w:r>
        <w:rPr>
          <w:color w:val="auto"/>
          <w:sz w:val="20"/>
          <w:szCs w:val="20"/>
        </w:rPr>
        <w:t xml:space="preserve">There </w:t>
      </w:r>
      <w:r w:rsidR="00F11536">
        <w:rPr>
          <w:color w:val="auto"/>
          <w:sz w:val="20"/>
          <w:szCs w:val="20"/>
        </w:rPr>
        <w:t>is</w:t>
      </w:r>
      <w:r>
        <w:rPr>
          <w:color w:val="auto"/>
          <w:sz w:val="20"/>
          <w:szCs w:val="20"/>
        </w:rPr>
        <w:t xml:space="preserve"> no energy savings associated with a second baseline because </w:t>
      </w:r>
      <w:r w:rsidR="008C49AE">
        <w:rPr>
          <w:color w:val="auto"/>
          <w:sz w:val="20"/>
          <w:szCs w:val="20"/>
        </w:rPr>
        <w:t xml:space="preserve">there would be no savings </w:t>
      </w:r>
      <w:r w:rsidR="002876BD">
        <w:rPr>
          <w:color w:val="auto"/>
          <w:sz w:val="20"/>
          <w:szCs w:val="20"/>
        </w:rPr>
        <w:t>attributable to the program</w:t>
      </w:r>
      <w:r w:rsidR="008C49AE">
        <w:rPr>
          <w:color w:val="auto"/>
          <w:sz w:val="20"/>
          <w:szCs w:val="20"/>
        </w:rPr>
        <w:t xml:space="preserve"> </w:t>
      </w:r>
      <w:r w:rsidR="002876BD">
        <w:rPr>
          <w:color w:val="auto"/>
          <w:sz w:val="20"/>
          <w:szCs w:val="20"/>
        </w:rPr>
        <w:t xml:space="preserve">once </w:t>
      </w:r>
      <w:r w:rsidR="008C49AE">
        <w:rPr>
          <w:color w:val="auto"/>
          <w:sz w:val="20"/>
          <w:szCs w:val="20"/>
        </w:rPr>
        <w:t>the used clothes washer bec</w:t>
      </w:r>
      <w:r w:rsidR="002876BD">
        <w:rPr>
          <w:color w:val="auto"/>
          <w:sz w:val="20"/>
          <w:szCs w:val="20"/>
        </w:rPr>
        <w:t>omes</w:t>
      </w:r>
      <w:r w:rsidR="008C49AE">
        <w:rPr>
          <w:color w:val="auto"/>
          <w:sz w:val="20"/>
          <w:szCs w:val="20"/>
        </w:rPr>
        <w:t xml:space="preserve"> inoperable</w:t>
      </w:r>
      <w:r w:rsidR="004312DA">
        <w:rPr>
          <w:color w:val="auto"/>
          <w:sz w:val="20"/>
          <w:szCs w:val="20"/>
        </w:rPr>
        <w:t xml:space="preserve"> in a recipient household</w:t>
      </w:r>
      <w:r w:rsidR="008C49AE">
        <w:rPr>
          <w:color w:val="auto"/>
          <w:sz w:val="20"/>
          <w:szCs w:val="20"/>
        </w:rPr>
        <w:t xml:space="preserve">.  </w:t>
      </w:r>
    </w:p>
    <w:p w14:paraId="233BB20A" w14:textId="3AA61E41" w:rsidR="00F11785" w:rsidRPr="001D4579" w:rsidRDefault="00C069A2" w:rsidP="00695C6D">
      <w:pPr>
        <w:pStyle w:val="Heading2-CalTF2"/>
      </w:pPr>
      <w:r w:rsidRPr="001D4579">
        <w:t>Energy Savings Estimation Methodologies</w:t>
      </w:r>
      <w:bookmarkStart w:id="59" w:name="_Toc304800212"/>
      <w:bookmarkStart w:id="60" w:name="_Toc324318366"/>
      <w:bookmarkStart w:id="61" w:name="_Toc324340495"/>
      <w:bookmarkEnd w:id="55"/>
      <w:bookmarkEnd w:id="56"/>
      <w:bookmarkEnd w:id="57"/>
      <w:bookmarkEnd w:id="58"/>
    </w:p>
    <w:p w14:paraId="0B54365B" w14:textId="16285B5B" w:rsidR="008464D2" w:rsidRDefault="00FA7417" w:rsidP="00FA7417">
      <w:pPr>
        <w:rPr>
          <w:sz w:val="20"/>
          <w:szCs w:val="20"/>
        </w:rPr>
      </w:pPr>
      <w:r w:rsidRPr="00FA7417">
        <w:rPr>
          <w:sz w:val="20"/>
          <w:szCs w:val="20"/>
        </w:rPr>
        <w:t xml:space="preserve">Gross savings for this measure </w:t>
      </w:r>
      <w:r w:rsidR="005C098C">
        <w:rPr>
          <w:sz w:val="20"/>
          <w:szCs w:val="20"/>
        </w:rPr>
        <w:t>is</w:t>
      </w:r>
      <w:r>
        <w:rPr>
          <w:sz w:val="20"/>
          <w:szCs w:val="20"/>
        </w:rPr>
        <w:t xml:space="preserve"> </w:t>
      </w:r>
      <w:r w:rsidR="005C098C">
        <w:rPr>
          <w:sz w:val="20"/>
          <w:szCs w:val="20"/>
        </w:rPr>
        <w:t>defined</w:t>
      </w:r>
      <w:r>
        <w:rPr>
          <w:sz w:val="20"/>
          <w:szCs w:val="20"/>
        </w:rPr>
        <w:t xml:space="preserve"> as the difference in energy consumption with </w:t>
      </w:r>
      <w:r w:rsidR="005C098C">
        <w:rPr>
          <w:sz w:val="20"/>
          <w:szCs w:val="20"/>
        </w:rPr>
        <w:t xml:space="preserve">the program </w:t>
      </w:r>
      <w:r>
        <w:rPr>
          <w:sz w:val="20"/>
          <w:szCs w:val="20"/>
        </w:rPr>
        <w:t>and without the program</w:t>
      </w:r>
      <w:r w:rsidR="002C2F7C">
        <w:rPr>
          <w:sz w:val="20"/>
          <w:szCs w:val="20"/>
        </w:rPr>
        <w:t xml:space="preserve"> as shown in Table 8</w:t>
      </w:r>
      <w:r>
        <w:rPr>
          <w:sz w:val="20"/>
          <w:szCs w:val="20"/>
        </w:rPr>
        <w:t xml:space="preserve">. Without the program, it is assumed that the used clothes washer remains in use at a recipient household </w:t>
      </w:r>
      <w:r w:rsidR="008464D2">
        <w:rPr>
          <w:sz w:val="20"/>
          <w:szCs w:val="20"/>
        </w:rPr>
        <w:t xml:space="preserve">through the secondary market. With the program, the average energy consumption of the recipient household </w:t>
      </w:r>
      <w:r w:rsidR="005C098C">
        <w:rPr>
          <w:sz w:val="20"/>
          <w:szCs w:val="20"/>
        </w:rPr>
        <w:t>is</w:t>
      </w:r>
      <w:r w:rsidR="008464D2">
        <w:rPr>
          <w:sz w:val="20"/>
          <w:szCs w:val="20"/>
        </w:rPr>
        <w:t xml:space="preserve"> weighted by the three scenarios that would result from the removal of used clothes washer</w:t>
      </w:r>
      <w:r w:rsidR="00974C9A">
        <w:rPr>
          <w:sz w:val="20"/>
          <w:szCs w:val="20"/>
        </w:rPr>
        <w:t>s by the program</w:t>
      </w:r>
      <w:r w:rsidR="008464D2">
        <w:rPr>
          <w:sz w:val="20"/>
          <w:szCs w:val="20"/>
        </w:rPr>
        <w:t>:</w:t>
      </w:r>
    </w:p>
    <w:p w14:paraId="29B30BAD" w14:textId="77777777" w:rsidR="005C098C" w:rsidRDefault="005C098C" w:rsidP="00FA7417">
      <w:pPr>
        <w:rPr>
          <w:sz w:val="20"/>
          <w:szCs w:val="20"/>
        </w:rPr>
      </w:pPr>
    </w:p>
    <w:p w14:paraId="54D3AC5C" w14:textId="42D9C983" w:rsidR="005C098C" w:rsidRDefault="005C098C" w:rsidP="0055696A">
      <w:pPr>
        <w:pStyle w:val="ListParagraph"/>
        <w:numPr>
          <w:ilvl w:val="0"/>
          <w:numId w:val="15"/>
        </w:numPr>
        <w:tabs>
          <w:tab w:val="left" w:pos="1260"/>
        </w:tabs>
        <w:ind w:firstLine="90"/>
        <w:rPr>
          <w:rFonts w:ascii="Arial" w:hAnsi="Arial" w:cs="Arial"/>
          <w:sz w:val="20"/>
          <w:szCs w:val="20"/>
        </w:rPr>
      </w:pPr>
      <w:r>
        <w:rPr>
          <w:rFonts w:ascii="Arial" w:hAnsi="Arial" w:cs="Arial"/>
          <w:sz w:val="20"/>
          <w:szCs w:val="20"/>
        </w:rPr>
        <w:t xml:space="preserve"> </w:t>
      </w:r>
      <w:r w:rsidRPr="005C098C">
        <w:rPr>
          <w:rFonts w:ascii="Arial" w:hAnsi="Arial" w:cs="Arial"/>
          <w:sz w:val="20"/>
          <w:szCs w:val="20"/>
        </w:rPr>
        <w:t xml:space="preserve">Recipient </w:t>
      </w:r>
      <w:r>
        <w:rPr>
          <w:rFonts w:ascii="Arial" w:hAnsi="Arial" w:cs="Arial"/>
          <w:sz w:val="20"/>
          <w:szCs w:val="20"/>
        </w:rPr>
        <w:t>household does not purchase a clothes washer (UEC = 0);</w:t>
      </w:r>
    </w:p>
    <w:p w14:paraId="6FB8094B" w14:textId="25457AD1" w:rsidR="005C098C" w:rsidRDefault="005C098C" w:rsidP="0055696A">
      <w:pPr>
        <w:pStyle w:val="ListParagraph"/>
        <w:numPr>
          <w:ilvl w:val="0"/>
          <w:numId w:val="15"/>
        </w:numPr>
        <w:tabs>
          <w:tab w:val="left" w:pos="1260"/>
        </w:tabs>
        <w:ind w:firstLine="90"/>
        <w:rPr>
          <w:rFonts w:ascii="Arial" w:hAnsi="Arial" w:cs="Arial"/>
          <w:sz w:val="20"/>
          <w:szCs w:val="20"/>
        </w:rPr>
      </w:pPr>
      <w:r>
        <w:rPr>
          <w:rFonts w:ascii="Arial" w:hAnsi="Arial" w:cs="Arial"/>
          <w:sz w:val="20"/>
          <w:szCs w:val="20"/>
        </w:rPr>
        <w:t xml:space="preserve"> Recipient household purchases a Title 20 clothes washer (UEC = Title 20</w:t>
      </w:r>
      <w:r w:rsidR="00974C9A">
        <w:rPr>
          <w:rFonts w:ascii="Arial" w:hAnsi="Arial" w:cs="Arial"/>
          <w:sz w:val="20"/>
          <w:szCs w:val="20"/>
        </w:rPr>
        <w:t xml:space="preserve"> UEC</w:t>
      </w:r>
      <w:r>
        <w:rPr>
          <w:rFonts w:ascii="Arial" w:hAnsi="Arial" w:cs="Arial"/>
          <w:sz w:val="20"/>
          <w:szCs w:val="20"/>
        </w:rPr>
        <w:t>); and</w:t>
      </w:r>
    </w:p>
    <w:p w14:paraId="544D2D51" w14:textId="082D8F81" w:rsidR="005C098C" w:rsidRDefault="005C098C" w:rsidP="0055696A">
      <w:pPr>
        <w:pStyle w:val="ListParagraph"/>
        <w:numPr>
          <w:ilvl w:val="0"/>
          <w:numId w:val="15"/>
        </w:numPr>
        <w:tabs>
          <w:tab w:val="left" w:pos="1260"/>
        </w:tabs>
        <w:ind w:firstLine="90"/>
        <w:rPr>
          <w:rFonts w:ascii="Arial" w:hAnsi="Arial" w:cs="Arial"/>
          <w:sz w:val="20"/>
          <w:szCs w:val="20"/>
        </w:rPr>
      </w:pPr>
      <w:r>
        <w:rPr>
          <w:rFonts w:ascii="Arial" w:hAnsi="Arial" w:cs="Arial"/>
          <w:sz w:val="20"/>
          <w:szCs w:val="20"/>
        </w:rPr>
        <w:t xml:space="preserve"> Recipient household purchases a used clothes washer (UEC = base UEC).</w:t>
      </w:r>
    </w:p>
    <w:p w14:paraId="56E6F9C4" w14:textId="77777777" w:rsidR="005C098C" w:rsidRDefault="005C098C" w:rsidP="005C098C">
      <w:pPr>
        <w:rPr>
          <w:rFonts w:cs="Arial"/>
          <w:sz w:val="20"/>
          <w:szCs w:val="20"/>
        </w:rPr>
      </w:pPr>
    </w:p>
    <w:p w14:paraId="4BE5C875" w14:textId="7620A7D9" w:rsidR="00DD1CA0" w:rsidRDefault="002C2F7C" w:rsidP="005C098C">
      <w:pPr>
        <w:rPr>
          <w:rFonts w:cs="Arial"/>
          <w:sz w:val="20"/>
          <w:szCs w:val="20"/>
        </w:rPr>
      </w:pPr>
      <w:r>
        <w:rPr>
          <w:rFonts w:cs="Arial"/>
          <w:sz w:val="20"/>
          <w:szCs w:val="20"/>
        </w:rPr>
        <w:t xml:space="preserve">In the absence of </w:t>
      </w:r>
      <w:r w:rsidR="008B6DD0">
        <w:rPr>
          <w:rFonts w:cs="Arial"/>
          <w:sz w:val="20"/>
          <w:szCs w:val="20"/>
        </w:rPr>
        <w:t xml:space="preserve">primary research data, the </w:t>
      </w:r>
      <w:r w:rsidR="00B71D47">
        <w:rPr>
          <w:rFonts w:cs="Arial"/>
          <w:sz w:val="20"/>
          <w:szCs w:val="20"/>
        </w:rPr>
        <w:t>NREL UMP</w:t>
      </w:r>
      <w:r w:rsidR="008B6DD0">
        <w:rPr>
          <w:rFonts w:cs="Arial"/>
          <w:sz w:val="20"/>
          <w:szCs w:val="20"/>
        </w:rPr>
        <w:t xml:space="preserve"> recommends that evaluators assume that half of recipient ho</w:t>
      </w:r>
      <w:r w:rsidR="00BD6EA0">
        <w:rPr>
          <w:rFonts w:cs="Arial"/>
          <w:sz w:val="20"/>
          <w:szCs w:val="20"/>
        </w:rPr>
        <w:t>useholds find an alternate unit, with half of those alternate units being a similar used appliance and half being a new standard efficiency unit.</w:t>
      </w:r>
      <w:r w:rsidR="00BD6EA0">
        <w:rPr>
          <w:rStyle w:val="EndnoteReference"/>
          <w:rFonts w:cs="Arial"/>
          <w:sz w:val="20"/>
          <w:szCs w:val="20"/>
        </w:rPr>
        <w:endnoteReference w:id="16"/>
      </w:r>
      <w:r w:rsidR="00C60DC5">
        <w:rPr>
          <w:rFonts w:cs="Arial"/>
          <w:sz w:val="20"/>
          <w:szCs w:val="20"/>
        </w:rPr>
        <w:t xml:space="preserve"> Because there is no primary research available, those weights are utilized in the analysis for this work paper. </w:t>
      </w:r>
    </w:p>
    <w:p w14:paraId="3832B650" w14:textId="77777777" w:rsidR="009D265E" w:rsidRDefault="009D265E" w:rsidP="005C098C">
      <w:pPr>
        <w:rPr>
          <w:rFonts w:cs="Arial"/>
          <w:sz w:val="20"/>
          <w:szCs w:val="20"/>
        </w:rPr>
      </w:pPr>
    </w:p>
    <w:p w14:paraId="7FD1C77B" w14:textId="77777777" w:rsidR="009D265E" w:rsidRDefault="009D265E" w:rsidP="009D265E">
      <w:pPr>
        <w:pStyle w:val="Caption"/>
        <w:keepNext/>
      </w:pPr>
    </w:p>
    <w:p w14:paraId="7EAC2221" w14:textId="77777777" w:rsidR="009D265E" w:rsidRDefault="009D265E" w:rsidP="009D265E">
      <w:pPr>
        <w:pStyle w:val="Caption"/>
        <w:keepNext/>
      </w:pPr>
      <w:r>
        <w:t xml:space="preserve">Table </w:t>
      </w:r>
      <w:fldSimple w:instr=" SEQ Table \* ARABIC ">
        <w:r w:rsidR="00EC4C6F">
          <w:rPr>
            <w:noProof/>
          </w:rPr>
          <w:t>8</w:t>
        </w:r>
      </w:fldSimple>
      <w:r>
        <w:t xml:space="preserve">. </w:t>
      </w:r>
      <w:r w:rsidRPr="005C098C">
        <w:rPr>
          <w:b w:val="0"/>
        </w:rPr>
        <w:t>Description of Simplified Gross Savings Calculation</w:t>
      </w:r>
      <w:r>
        <w:rPr>
          <w:rStyle w:val="EndnoteReference"/>
        </w:rPr>
        <w:endnoteReference w:id="17"/>
      </w:r>
    </w:p>
    <w:p w14:paraId="6F341BEF" w14:textId="77777777" w:rsidR="00DD1CA0" w:rsidRDefault="00DD1CA0" w:rsidP="005C098C">
      <w:pPr>
        <w:rPr>
          <w:rFonts w:cs="Arial"/>
          <w:sz w:val="20"/>
          <w:szCs w:val="20"/>
        </w:rPr>
      </w:pPr>
    </w:p>
    <w:tbl>
      <w:tblPr>
        <w:tblStyle w:val="TableGrid"/>
        <w:tblpPr w:leftFromText="180" w:rightFromText="180" w:vertAnchor="text" w:horzAnchor="margin" w:tblpY="-13"/>
        <w:tblW w:w="9468" w:type="dxa"/>
        <w:tblLook w:val="04A0" w:firstRow="1" w:lastRow="0" w:firstColumn="1" w:lastColumn="0" w:noHBand="0" w:noVBand="1"/>
      </w:tblPr>
      <w:tblGrid>
        <w:gridCol w:w="1925"/>
        <w:gridCol w:w="1873"/>
        <w:gridCol w:w="2004"/>
        <w:gridCol w:w="2004"/>
        <w:gridCol w:w="1662"/>
      </w:tblGrid>
      <w:tr w:rsidR="009D265E" w14:paraId="1F0C6FCC" w14:textId="77777777" w:rsidTr="009D265E">
        <w:tc>
          <w:tcPr>
            <w:tcW w:w="1925" w:type="dxa"/>
            <w:vAlign w:val="center"/>
          </w:tcPr>
          <w:p w14:paraId="006B0A20" w14:textId="77777777" w:rsidR="009D265E" w:rsidRPr="00FA7417" w:rsidRDefault="009D265E" w:rsidP="009D265E">
            <w:pPr>
              <w:jc w:val="center"/>
              <w:rPr>
                <w:b/>
                <w:sz w:val="20"/>
                <w:szCs w:val="20"/>
              </w:rPr>
            </w:pPr>
            <w:r>
              <w:rPr>
                <w:b/>
                <w:sz w:val="20"/>
                <w:szCs w:val="20"/>
              </w:rPr>
              <w:t>Unit Disposition</w:t>
            </w:r>
          </w:p>
        </w:tc>
        <w:tc>
          <w:tcPr>
            <w:tcW w:w="1873" w:type="dxa"/>
            <w:vAlign w:val="center"/>
          </w:tcPr>
          <w:p w14:paraId="25701E68" w14:textId="77777777" w:rsidR="009D265E" w:rsidRPr="00FA7417" w:rsidRDefault="009D265E" w:rsidP="009D265E">
            <w:pPr>
              <w:jc w:val="center"/>
              <w:rPr>
                <w:b/>
                <w:sz w:val="20"/>
                <w:szCs w:val="20"/>
              </w:rPr>
            </w:pPr>
            <w:r>
              <w:rPr>
                <w:b/>
                <w:sz w:val="20"/>
                <w:szCs w:val="20"/>
              </w:rPr>
              <w:t>Location</w:t>
            </w:r>
          </w:p>
        </w:tc>
        <w:tc>
          <w:tcPr>
            <w:tcW w:w="2004" w:type="dxa"/>
            <w:vAlign w:val="center"/>
          </w:tcPr>
          <w:p w14:paraId="594B38C6" w14:textId="77777777" w:rsidR="009D265E" w:rsidRPr="00FA7417" w:rsidRDefault="009D265E" w:rsidP="009D265E">
            <w:pPr>
              <w:jc w:val="center"/>
              <w:rPr>
                <w:b/>
                <w:sz w:val="20"/>
                <w:szCs w:val="20"/>
              </w:rPr>
            </w:pPr>
            <w:r>
              <w:rPr>
                <w:b/>
                <w:sz w:val="20"/>
                <w:szCs w:val="20"/>
              </w:rPr>
              <w:t>Consumption Without Program (A)</w:t>
            </w:r>
          </w:p>
        </w:tc>
        <w:tc>
          <w:tcPr>
            <w:tcW w:w="2004" w:type="dxa"/>
            <w:vAlign w:val="center"/>
          </w:tcPr>
          <w:p w14:paraId="35CDE3BA" w14:textId="77777777" w:rsidR="009D265E" w:rsidRPr="00FA7417" w:rsidRDefault="009D265E" w:rsidP="009D265E">
            <w:pPr>
              <w:jc w:val="center"/>
              <w:rPr>
                <w:b/>
                <w:sz w:val="20"/>
                <w:szCs w:val="20"/>
              </w:rPr>
            </w:pPr>
            <w:r>
              <w:rPr>
                <w:b/>
                <w:sz w:val="20"/>
                <w:szCs w:val="20"/>
              </w:rPr>
              <w:t>Consumption With Program (B)</w:t>
            </w:r>
          </w:p>
        </w:tc>
        <w:tc>
          <w:tcPr>
            <w:tcW w:w="1662" w:type="dxa"/>
            <w:vAlign w:val="center"/>
          </w:tcPr>
          <w:p w14:paraId="36A625FF" w14:textId="77777777" w:rsidR="009D265E" w:rsidRDefault="009D265E" w:rsidP="009D265E">
            <w:pPr>
              <w:jc w:val="center"/>
              <w:rPr>
                <w:b/>
                <w:sz w:val="20"/>
                <w:szCs w:val="20"/>
              </w:rPr>
            </w:pPr>
            <w:r>
              <w:rPr>
                <w:b/>
                <w:sz w:val="20"/>
                <w:szCs w:val="20"/>
              </w:rPr>
              <w:t>Gross Savings = (A – B)</w:t>
            </w:r>
          </w:p>
        </w:tc>
      </w:tr>
      <w:tr w:rsidR="009D265E" w14:paraId="627FA8B5" w14:textId="77777777" w:rsidTr="009D265E">
        <w:tc>
          <w:tcPr>
            <w:tcW w:w="1925" w:type="dxa"/>
            <w:vAlign w:val="center"/>
          </w:tcPr>
          <w:p w14:paraId="3B299584" w14:textId="77777777" w:rsidR="009D265E" w:rsidRDefault="009D265E" w:rsidP="009D265E">
            <w:pPr>
              <w:jc w:val="center"/>
              <w:rPr>
                <w:sz w:val="20"/>
                <w:szCs w:val="20"/>
              </w:rPr>
            </w:pPr>
            <w:r>
              <w:rPr>
                <w:sz w:val="20"/>
                <w:szCs w:val="20"/>
              </w:rPr>
              <w:t>Kept but Unused</w:t>
            </w:r>
          </w:p>
        </w:tc>
        <w:tc>
          <w:tcPr>
            <w:tcW w:w="1873" w:type="dxa"/>
            <w:vAlign w:val="center"/>
          </w:tcPr>
          <w:p w14:paraId="4559A977" w14:textId="77777777" w:rsidR="009D265E" w:rsidRDefault="009D265E" w:rsidP="009D265E">
            <w:pPr>
              <w:jc w:val="center"/>
              <w:rPr>
                <w:sz w:val="20"/>
                <w:szCs w:val="20"/>
              </w:rPr>
            </w:pPr>
            <w:r>
              <w:rPr>
                <w:sz w:val="20"/>
                <w:szCs w:val="20"/>
              </w:rPr>
              <w:t>Participant Household</w:t>
            </w:r>
          </w:p>
        </w:tc>
        <w:tc>
          <w:tcPr>
            <w:tcW w:w="2004" w:type="dxa"/>
            <w:vAlign w:val="center"/>
          </w:tcPr>
          <w:p w14:paraId="1BC72322" w14:textId="77777777" w:rsidR="009D265E" w:rsidRDefault="009D265E" w:rsidP="009D265E">
            <w:pPr>
              <w:jc w:val="center"/>
              <w:rPr>
                <w:sz w:val="20"/>
                <w:szCs w:val="20"/>
              </w:rPr>
            </w:pPr>
            <w:r>
              <w:rPr>
                <w:sz w:val="20"/>
                <w:szCs w:val="20"/>
              </w:rPr>
              <w:t>No consumption</w:t>
            </w:r>
          </w:p>
        </w:tc>
        <w:tc>
          <w:tcPr>
            <w:tcW w:w="2004" w:type="dxa"/>
            <w:vAlign w:val="center"/>
          </w:tcPr>
          <w:p w14:paraId="419B8E37" w14:textId="77777777" w:rsidR="009D265E" w:rsidRDefault="009D265E" w:rsidP="009D265E">
            <w:pPr>
              <w:jc w:val="center"/>
              <w:rPr>
                <w:sz w:val="20"/>
                <w:szCs w:val="20"/>
              </w:rPr>
            </w:pPr>
            <w:r>
              <w:rPr>
                <w:sz w:val="20"/>
                <w:szCs w:val="20"/>
              </w:rPr>
              <w:t>No consumption</w:t>
            </w:r>
          </w:p>
        </w:tc>
        <w:tc>
          <w:tcPr>
            <w:tcW w:w="1662" w:type="dxa"/>
            <w:vAlign w:val="center"/>
          </w:tcPr>
          <w:p w14:paraId="07ABBD09" w14:textId="77777777" w:rsidR="009D265E" w:rsidRDefault="009D265E" w:rsidP="009D265E">
            <w:pPr>
              <w:jc w:val="center"/>
              <w:rPr>
                <w:sz w:val="20"/>
                <w:szCs w:val="20"/>
              </w:rPr>
            </w:pPr>
            <w:r>
              <w:rPr>
                <w:sz w:val="20"/>
                <w:szCs w:val="20"/>
              </w:rPr>
              <w:t>No savings</w:t>
            </w:r>
          </w:p>
        </w:tc>
      </w:tr>
      <w:tr w:rsidR="009D265E" w14:paraId="06175D07" w14:textId="77777777" w:rsidTr="009D265E">
        <w:tc>
          <w:tcPr>
            <w:tcW w:w="1925" w:type="dxa"/>
            <w:vAlign w:val="center"/>
          </w:tcPr>
          <w:p w14:paraId="5678088F" w14:textId="77777777" w:rsidR="009D265E" w:rsidRDefault="009D265E" w:rsidP="009D265E">
            <w:pPr>
              <w:jc w:val="center"/>
              <w:rPr>
                <w:sz w:val="20"/>
                <w:szCs w:val="20"/>
              </w:rPr>
            </w:pPr>
            <w:r>
              <w:rPr>
                <w:sz w:val="20"/>
                <w:szCs w:val="20"/>
              </w:rPr>
              <w:t>Transferred from Participant Household</w:t>
            </w:r>
          </w:p>
        </w:tc>
        <w:tc>
          <w:tcPr>
            <w:tcW w:w="1873" w:type="dxa"/>
            <w:vAlign w:val="center"/>
          </w:tcPr>
          <w:p w14:paraId="55ED49DD" w14:textId="77777777" w:rsidR="009D265E" w:rsidRDefault="009D265E" w:rsidP="009D265E">
            <w:pPr>
              <w:jc w:val="center"/>
              <w:rPr>
                <w:sz w:val="20"/>
                <w:szCs w:val="20"/>
              </w:rPr>
            </w:pPr>
            <w:r>
              <w:rPr>
                <w:sz w:val="20"/>
                <w:szCs w:val="20"/>
              </w:rPr>
              <w:t>Recipient Household</w:t>
            </w:r>
          </w:p>
        </w:tc>
        <w:tc>
          <w:tcPr>
            <w:tcW w:w="2004" w:type="dxa"/>
            <w:vAlign w:val="center"/>
          </w:tcPr>
          <w:p w14:paraId="0B377D0E" w14:textId="77777777" w:rsidR="009D265E" w:rsidRDefault="009D265E" w:rsidP="009D265E">
            <w:pPr>
              <w:jc w:val="center"/>
              <w:rPr>
                <w:sz w:val="20"/>
                <w:szCs w:val="20"/>
              </w:rPr>
            </w:pPr>
            <w:r>
              <w:rPr>
                <w:sz w:val="20"/>
                <w:szCs w:val="20"/>
              </w:rPr>
              <w:t>Base UEC</w:t>
            </w:r>
          </w:p>
        </w:tc>
        <w:tc>
          <w:tcPr>
            <w:tcW w:w="2004" w:type="dxa"/>
            <w:vAlign w:val="center"/>
          </w:tcPr>
          <w:p w14:paraId="6AC5266D" w14:textId="77777777" w:rsidR="009D265E" w:rsidRDefault="009D265E" w:rsidP="009D265E">
            <w:pPr>
              <w:jc w:val="center"/>
              <w:rPr>
                <w:sz w:val="20"/>
                <w:szCs w:val="20"/>
              </w:rPr>
            </w:pPr>
            <w:r>
              <w:rPr>
                <w:sz w:val="20"/>
                <w:szCs w:val="20"/>
              </w:rPr>
              <w:t>Weighted UEC based on recipient household action given removal of program units</w:t>
            </w:r>
          </w:p>
        </w:tc>
        <w:tc>
          <w:tcPr>
            <w:tcW w:w="1662" w:type="dxa"/>
            <w:vAlign w:val="center"/>
          </w:tcPr>
          <w:p w14:paraId="2860011C" w14:textId="77777777" w:rsidR="009D265E" w:rsidRPr="00FA7417" w:rsidRDefault="009D265E" w:rsidP="009D265E">
            <w:pPr>
              <w:jc w:val="center"/>
              <w:rPr>
                <w:sz w:val="20"/>
                <w:szCs w:val="20"/>
                <w:vertAlign w:val="subscript"/>
              </w:rPr>
            </w:pPr>
            <w:r>
              <w:rPr>
                <w:sz w:val="20"/>
                <w:szCs w:val="20"/>
              </w:rPr>
              <w:t>UEC</w:t>
            </w:r>
            <w:r>
              <w:rPr>
                <w:sz w:val="20"/>
                <w:szCs w:val="20"/>
                <w:vertAlign w:val="subscript"/>
              </w:rPr>
              <w:t>A</w:t>
            </w:r>
            <w:r>
              <w:rPr>
                <w:sz w:val="20"/>
                <w:szCs w:val="20"/>
              </w:rPr>
              <w:t xml:space="preserve"> – UEC</w:t>
            </w:r>
            <w:r>
              <w:rPr>
                <w:sz w:val="20"/>
                <w:szCs w:val="20"/>
                <w:vertAlign w:val="subscript"/>
              </w:rPr>
              <w:t>B</w:t>
            </w:r>
          </w:p>
        </w:tc>
      </w:tr>
    </w:tbl>
    <w:p w14:paraId="60738037" w14:textId="77777777" w:rsidR="009D265E" w:rsidRDefault="009D265E" w:rsidP="005C098C">
      <w:pPr>
        <w:rPr>
          <w:rFonts w:cs="Arial"/>
          <w:sz w:val="20"/>
          <w:szCs w:val="20"/>
        </w:rPr>
      </w:pPr>
    </w:p>
    <w:p w14:paraId="092FCA99" w14:textId="7C1D233F" w:rsidR="00233805" w:rsidRDefault="004F0B0A" w:rsidP="005C098C">
      <w:pPr>
        <w:rPr>
          <w:rFonts w:cs="Arial"/>
          <w:sz w:val="20"/>
          <w:szCs w:val="20"/>
        </w:rPr>
      </w:pPr>
      <w:r>
        <w:rPr>
          <w:rFonts w:cs="Arial"/>
          <w:sz w:val="20"/>
          <w:szCs w:val="20"/>
        </w:rPr>
        <w:t xml:space="preserve">Net savings is equal to gross savings minus free ridership (i.e., units that would have been destroyed without the measure). </w:t>
      </w:r>
      <w:r w:rsidR="000A1211">
        <w:rPr>
          <w:rFonts w:cs="Arial"/>
          <w:sz w:val="20"/>
          <w:szCs w:val="20"/>
        </w:rPr>
        <w:t>The approach for</w:t>
      </w:r>
      <w:r>
        <w:rPr>
          <w:rFonts w:cs="Arial"/>
          <w:sz w:val="20"/>
          <w:szCs w:val="20"/>
        </w:rPr>
        <w:t xml:space="preserve"> determining gross and net energy savings presented here are c</w:t>
      </w:r>
      <w:r w:rsidR="00DD1CA0">
        <w:rPr>
          <w:rFonts w:cs="Arial"/>
          <w:sz w:val="20"/>
          <w:szCs w:val="20"/>
        </w:rPr>
        <w:t>onsistent with the CPUC’s legal decision outlined in Appendix A</w:t>
      </w:r>
      <w:r w:rsidR="00DD1CA0" w:rsidRPr="00DD1CA0">
        <w:t xml:space="preserve"> </w:t>
      </w:r>
      <w:r w:rsidR="00DD1CA0" w:rsidRPr="00DD1CA0">
        <w:rPr>
          <w:rFonts w:cs="Arial"/>
          <w:sz w:val="20"/>
          <w:szCs w:val="20"/>
        </w:rPr>
        <w:t>of Decision D. 11-07-030</w:t>
      </w:r>
      <w:r>
        <w:rPr>
          <w:rFonts w:cs="Arial"/>
          <w:sz w:val="20"/>
          <w:szCs w:val="20"/>
        </w:rPr>
        <w:t>.</w:t>
      </w:r>
      <w:r>
        <w:rPr>
          <w:rStyle w:val="EndnoteReference"/>
          <w:rFonts w:cs="Arial"/>
          <w:sz w:val="20"/>
          <w:szCs w:val="20"/>
        </w:rPr>
        <w:endnoteReference w:id="18"/>
      </w:r>
      <w:r w:rsidR="00422EF6">
        <w:rPr>
          <w:rFonts w:cs="Arial"/>
          <w:sz w:val="20"/>
          <w:szCs w:val="20"/>
        </w:rPr>
        <w:t xml:space="preserve"> Savings attributable to the measure result from units </w:t>
      </w:r>
      <w:r w:rsidR="000D19E1">
        <w:rPr>
          <w:rFonts w:cs="Arial"/>
          <w:sz w:val="20"/>
          <w:szCs w:val="20"/>
        </w:rPr>
        <w:t>that would</w:t>
      </w:r>
      <w:r w:rsidR="00422EF6">
        <w:rPr>
          <w:rFonts w:cs="Arial"/>
          <w:sz w:val="20"/>
          <w:szCs w:val="20"/>
        </w:rPr>
        <w:t xml:space="preserve"> remain on the grid absent the </w:t>
      </w:r>
      <w:r w:rsidR="000D19E1">
        <w:rPr>
          <w:rFonts w:cs="Arial"/>
          <w:sz w:val="20"/>
          <w:szCs w:val="20"/>
        </w:rPr>
        <w:t xml:space="preserve">recycling program and are discounted by the weighted average of the recipient household scenarios. </w:t>
      </w:r>
      <w:r w:rsidR="00233805">
        <w:rPr>
          <w:rFonts w:cs="Arial"/>
          <w:sz w:val="20"/>
          <w:szCs w:val="20"/>
        </w:rPr>
        <w:t xml:space="preserve"> Please refer to Figure 2 for the evaluation schematic of net energy savings.</w:t>
      </w:r>
    </w:p>
    <w:p w14:paraId="7709970C" w14:textId="77777777" w:rsidR="00233805" w:rsidRDefault="00233805" w:rsidP="005C098C">
      <w:pPr>
        <w:rPr>
          <w:rFonts w:cs="Arial"/>
          <w:sz w:val="20"/>
          <w:szCs w:val="20"/>
        </w:rPr>
      </w:pPr>
    </w:p>
    <w:p w14:paraId="224D7F53" w14:textId="77777777" w:rsidR="00FA65D5" w:rsidRDefault="00FA65D5" w:rsidP="00FA65D5">
      <w:pPr>
        <w:keepNext/>
        <w:jc w:val="center"/>
        <w:sectPr w:rsidR="00FA65D5" w:rsidSect="009F0DDC">
          <w:endnotePr>
            <w:numFmt w:val="decimal"/>
          </w:endnotePr>
          <w:type w:val="continuous"/>
          <w:pgSz w:w="12240" w:h="15840"/>
          <w:pgMar w:top="1440" w:right="1710" w:bottom="1440" w:left="1440" w:header="720" w:footer="720" w:gutter="0"/>
          <w:pgNumType w:chapStyle="1"/>
          <w:cols w:space="720"/>
          <w:docGrid w:linePitch="360"/>
        </w:sectPr>
      </w:pPr>
    </w:p>
    <w:p w14:paraId="15567D30" w14:textId="4A3FA282" w:rsidR="00FA65D5" w:rsidRDefault="00FA65D5" w:rsidP="00233805">
      <w:pPr>
        <w:pStyle w:val="Caption"/>
        <w:sectPr w:rsidR="00FA65D5" w:rsidSect="00FA65D5">
          <w:endnotePr>
            <w:numFmt w:val="decimal"/>
          </w:endnotePr>
          <w:type w:val="continuous"/>
          <w:pgSz w:w="15840" w:h="12240" w:orient="landscape"/>
          <w:pgMar w:top="1440" w:right="1440" w:bottom="1714" w:left="1440" w:header="720" w:footer="720" w:gutter="0"/>
          <w:pgNumType w:chapStyle="1"/>
          <w:cols w:space="720"/>
          <w:docGrid w:linePitch="360"/>
        </w:sectPr>
      </w:pPr>
      <w:r>
        <w:rPr>
          <w:rFonts w:cs="Arial"/>
          <w:noProof/>
        </w:rPr>
        <w:lastRenderedPageBreak/>
        <w:drawing>
          <wp:inline distT="0" distB="0" distL="0" distR="0" wp14:anchorId="29B4CE29" wp14:editId="06393A4B">
            <wp:extent cx="8535169"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43803" cy="5491950"/>
                    </a:xfrm>
                    <a:prstGeom prst="rect">
                      <a:avLst/>
                    </a:prstGeom>
                    <a:noFill/>
                  </pic:spPr>
                </pic:pic>
              </a:graphicData>
            </a:graphic>
          </wp:inline>
        </w:drawing>
      </w:r>
      <w:r>
        <w:t xml:space="preserve">Figure </w:t>
      </w:r>
      <w:fldSimple w:instr=" SEQ Figure \* ARABIC ">
        <w:r>
          <w:rPr>
            <w:noProof/>
          </w:rPr>
          <w:t>2</w:t>
        </w:r>
      </w:fldSimple>
      <w:r>
        <w:t>. Net Savings Evaluation Schematic</w:t>
      </w:r>
    </w:p>
    <w:p w14:paraId="463057BE" w14:textId="61AE0F72" w:rsidR="00C80D4C" w:rsidRDefault="00DA10DB" w:rsidP="00DA10DB">
      <w:pPr>
        <w:rPr>
          <w:sz w:val="20"/>
          <w:szCs w:val="20"/>
        </w:rPr>
      </w:pPr>
      <w:r>
        <w:rPr>
          <w:sz w:val="20"/>
          <w:szCs w:val="20"/>
        </w:rPr>
        <w:lastRenderedPageBreak/>
        <w:t xml:space="preserve">The clothes washer energy and demand savings for the base case are calculated from energy and water consumption values from the </w:t>
      </w:r>
      <w:r>
        <w:rPr>
          <w:rFonts w:cs="Arial"/>
          <w:i/>
          <w:sz w:val="20"/>
          <w:szCs w:val="20"/>
        </w:rPr>
        <w:t xml:space="preserve">2010 </w:t>
      </w:r>
      <w:r w:rsidRPr="00DA10DB">
        <w:rPr>
          <w:rFonts w:cs="Arial"/>
          <w:i/>
          <w:sz w:val="20"/>
          <w:szCs w:val="20"/>
        </w:rPr>
        <w:t>High Impact Measure Evaluation</w:t>
      </w:r>
      <w:r>
        <w:rPr>
          <w:rFonts w:cs="Arial"/>
          <w:sz w:val="20"/>
          <w:szCs w:val="20"/>
        </w:rPr>
        <w:t xml:space="preserve"> Report.</w:t>
      </w:r>
      <w:r>
        <w:rPr>
          <w:rStyle w:val="EndnoteReference"/>
          <w:rFonts w:cs="Arial"/>
          <w:sz w:val="20"/>
          <w:szCs w:val="20"/>
        </w:rPr>
        <w:endnoteReference w:id="19"/>
      </w:r>
      <w:r>
        <w:rPr>
          <w:rFonts w:cs="Arial"/>
          <w:sz w:val="20"/>
          <w:szCs w:val="20"/>
        </w:rPr>
        <w:t xml:space="preserve"> Specifically, the average energy consumption values </w:t>
      </w:r>
      <w:r w:rsidRPr="00DA10DB">
        <w:rPr>
          <w:rFonts w:cs="Arial"/>
          <w:sz w:val="20"/>
          <w:szCs w:val="20"/>
        </w:rPr>
        <w:t>f</w:t>
      </w:r>
      <w:r>
        <w:rPr>
          <w:rFonts w:cs="Arial"/>
          <w:sz w:val="20"/>
          <w:szCs w:val="20"/>
        </w:rPr>
        <w:t>or</w:t>
      </w:r>
      <w:r w:rsidRPr="00DA10DB">
        <w:rPr>
          <w:rFonts w:cs="Arial"/>
          <w:sz w:val="20"/>
          <w:szCs w:val="20"/>
        </w:rPr>
        <w:t xml:space="preserve"> </w:t>
      </w:r>
      <w:r w:rsidRPr="00DA10DB">
        <w:rPr>
          <w:sz w:val="20"/>
          <w:szCs w:val="20"/>
        </w:rPr>
        <w:t>non-ENERGY STAR clothes washers purchased between 2006 and 2008 in PG&amp;E and SDG&amp;E</w:t>
      </w:r>
      <w:r>
        <w:rPr>
          <w:sz w:val="20"/>
          <w:szCs w:val="20"/>
        </w:rPr>
        <w:t xml:space="preserve"> </w:t>
      </w:r>
      <w:r w:rsidR="007855AA">
        <w:rPr>
          <w:sz w:val="20"/>
          <w:szCs w:val="20"/>
        </w:rPr>
        <w:t xml:space="preserve">service territories </w:t>
      </w:r>
      <w:r>
        <w:rPr>
          <w:sz w:val="20"/>
          <w:szCs w:val="20"/>
        </w:rPr>
        <w:t>are used</w:t>
      </w:r>
      <w:r w:rsidR="00C50FB2">
        <w:rPr>
          <w:sz w:val="20"/>
          <w:szCs w:val="20"/>
        </w:rPr>
        <w:t xml:space="preserve"> as seen in Table </w:t>
      </w:r>
      <w:r w:rsidR="00A11FB8">
        <w:rPr>
          <w:sz w:val="20"/>
          <w:szCs w:val="20"/>
        </w:rPr>
        <w:t>9</w:t>
      </w:r>
      <w:r>
        <w:rPr>
          <w:sz w:val="20"/>
          <w:szCs w:val="20"/>
        </w:rPr>
        <w:t>.</w:t>
      </w:r>
      <w:r w:rsidR="007855AA">
        <w:rPr>
          <w:sz w:val="20"/>
          <w:szCs w:val="20"/>
        </w:rPr>
        <w:t xml:space="preserve"> The values for these clothes washer types </w:t>
      </w:r>
      <w:r w:rsidR="00974C9A">
        <w:rPr>
          <w:sz w:val="20"/>
          <w:szCs w:val="20"/>
        </w:rPr>
        <w:t>are</w:t>
      </w:r>
      <w:r w:rsidR="007855AA">
        <w:rPr>
          <w:sz w:val="20"/>
          <w:szCs w:val="20"/>
        </w:rPr>
        <w:t xml:space="preserve"> used instead of average consumption values for ENERGY STAR and higher efficiency levels (e.g., CEE Tier 1, 2, or 3) because they are most likely to </w:t>
      </w:r>
      <w:r w:rsidR="007F77A3">
        <w:rPr>
          <w:sz w:val="20"/>
          <w:szCs w:val="20"/>
        </w:rPr>
        <w:t>contain the technology type targeted by this measure (i.e., top-loading clothes washer with center agitator).</w:t>
      </w:r>
    </w:p>
    <w:p w14:paraId="50300D18" w14:textId="77777777" w:rsidR="00C80D4C" w:rsidRDefault="00C80D4C" w:rsidP="00DA10DB">
      <w:pPr>
        <w:rPr>
          <w:sz w:val="20"/>
          <w:szCs w:val="20"/>
        </w:rPr>
      </w:pPr>
    </w:p>
    <w:p w14:paraId="2EC34A00" w14:textId="2F14B38E" w:rsidR="0039397F" w:rsidRDefault="00C80D4C" w:rsidP="00DA10DB">
      <w:pPr>
        <w:rPr>
          <w:sz w:val="20"/>
          <w:szCs w:val="20"/>
        </w:rPr>
      </w:pPr>
      <w:r>
        <w:rPr>
          <w:sz w:val="20"/>
          <w:szCs w:val="20"/>
        </w:rPr>
        <w:t xml:space="preserve">There is no energy usage directly associated with the measure case because the recycled unit is no longer in operation. However, to </w:t>
      </w:r>
      <w:r w:rsidR="00A11FB8">
        <w:rPr>
          <w:sz w:val="20"/>
          <w:szCs w:val="20"/>
        </w:rPr>
        <w:t>calculate the secondary market impact</w:t>
      </w:r>
      <w:r>
        <w:rPr>
          <w:sz w:val="20"/>
          <w:szCs w:val="20"/>
        </w:rPr>
        <w:t xml:space="preserve"> of this measure (i.e., the impact on the </w:t>
      </w:r>
      <w:r w:rsidR="00990FF5">
        <w:rPr>
          <w:sz w:val="20"/>
          <w:szCs w:val="20"/>
        </w:rPr>
        <w:t>recipient household</w:t>
      </w:r>
      <w:r>
        <w:rPr>
          <w:sz w:val="20"/>
          <w:szCs w:val="20"/>
        </w:rPr>
        <w:t xml:space="preserve"> of the used clothes washer)</w:t>
      </w:r>
      <w:r w:rsidR="00990FF5">
        <w:rPr>
          <w:sz w:val="20"/>
          <w:szCs w:val="20"/>
        </w:rPr>
        <w:t xml:space="preserve"> in the scenario where a Title 20 clothes washer is purchased in lieu of a used clothes washer</w:t>
      </w:r>
      <w:r>
        <w:rPr>
          <w:sz w:val="20"/>
          <w:szCs w:val="20"/>
        </w:rPr>
        <w:t xml:space="preserve">, the </w:t>
      </w:r>
      <w:r w:rsidR="0039397F">
        <w:rPr>
          <w:sz w:val="20"/>
          <w:szCs w:val="20"/>
        </w:rPr>
        <w:t xml:space="preserve">energy use is calculated </w:t>
      </w:r>
      <w:r w:rsidR="00A11FB8">
        <w:rPr>
          <w:sz w:val="20"/>
          <w:szCs w:val="20"/>
        </w:rPr>
        <w:t>using</w:t>
      </w:r>
      <w:r w:rsidR="0039397F">
        <w:rPr>
          <w:sz w:val="20"/>
          <w:szCs w:val="20"/>
        </w:rPr>
        <w:t xml:space="preserve"> the top-loading energy use for machines with an MEF of 1.72 as seen in Table </w:t>
      </w:r>
      <w:r w:rsidR="00A11FB8">
        <w:rPr>
          <w:sz w:val="20"/>
          <w:szCs w:val="20"/>
        </w:rPr>
        <w:t>10</w:t>
      </w:r>
      <w:r w:rsidR="0039397F">
        <w:rPr>
          <w:sz w:val="20"/>
          <w:szCs w:val="20"/>
        </w:rPr>
        <w:t>. This MEF level is equivalent to the Title 20 standard for standard size, top-loading clothes washers going into effect on March 7, 2015.</w:t>
      </w:r>
    </w:p>
    <w:p w14:paraId="2448D253" w14:textId="77777777" w:rsidR="00C50FB2" w:rsidRDefault="00C50FB2" w:rsidP="00DA10DB">
      <w:pPr>
        <w:rPr>
          <w:sz w:val="20"/>
          <w:szCs w:val="20"/>
        </w:rPr>
      </w:pPr>
    </w:p>
    <w:p w14:paraId="50630439" w14:textId="77777777" w:rsidR="00E549B1" w:rsidRDefault="00E549B1" w:rsidP="00DA10DB">
      <w:pPr>
        <w:rPr>
          <w:sz w:val="20"/>
          <w:szCs w:val="20"/>
        </w:rPr>
      </w:pPr>
    </w:p>
    <w:p w14:paraId="747BE0C6" w14:textId="33023F98" w:rsidR="00E456B1" w:rsidRPr="00737D6A" w:rsidRDefault="00E456B1" w:rsidP="00E456B1">
      <w:pPr>
        <w:pStyle w:val="Caption"/>
        <w:keepNext/>
        <w:rPr>
          <w:b w:val="0"/>
        </w:rPr>
      </w:pPr>
      <w:r>
        <w:t xml:space="preserve">Table </w:t>
      </w:r>
      <w:fldSimple w:instr=" SEQ Table \* ARABIC ">
        <w:r w:rsidR="00EC4C6F">
          <w:rPr>
            <w:noProof/>
          </w:rPr>
          <w:t>9</w:t>
        </w:r>
      </w:fldSimple>
      <w:r>
        <w:t xml:space="preserve">. </w:t>
      </w:r>
      <w:r w:rsidRPr="00E456B1">
        <w:rPr>
          <w:b w:val="0"/>
        </w:rPr>
        <w:t>Average Per Cycle Energy Usage by Fuel</w:t>
      </w:r>
      <w:r w:rsidR="00E549B1">
        <w:rPr>
          <w:b w:val="0"/>
        </w:rPr>
        <w:t xml:space="preserve"> </w:t>
      </w:r>
      <w:r w:rsidR="00737D6A">
        <w:rPr>
          <w:b w:val="0"/>
        </w:rPr>
        <w:t xml:space="preserve">(Source: pg. 46, </w:t>
      </w:r>
      <w:r w:rsidR="00E549B1">
        <w:rPr>
          <w:b w:val="0"/>
          <w:i/>
        </w:rPr>
        <w:t>2010 High Impact Measure Evaluation Report</w:t>
      </w:r>
      <w:r w:rsidR="00737D6A">
        <w:rPr>
          <w:b w:val="0"/>
        </w:rPr>
        <w:t>)</w:t>
      </w:r>
    </w:p>
    <w:p w14:paraId="578D2178" w14:textId="77777777" w:rsidR="00E456B1" w:rsidRPr="00E456B1" w:rsidRDefault="00E456B1" w:rsidP="00E456B1"/>
    <w:tbl>
      <w:tblPr>
        <w:tblW w:w="9056" w:type="dxa"/>
        <w:jc w:val="center"/>
        <w:tblLook w:val="04A0" w:firstRow="1" w:lastRow="0" w:firstColumn="1" w:lastColumn="0" w:noHBand="0" w:noVBand="1"/>
      </w:tblPr>
      <w:tblGrid>
        <w:gridCol w:w="1934"/>
        <w:gridCol w:w="1350"/>
        <w:gridCol w:w="1260"/>
        <w:gridCol w:w="1350"/>
        <w:gridCol w:w="1260"/>
        <w:gridCol w:w="1902"/>
      </w:tblGrid>
      <w:tr w:rsidR="00E456B1" w:rsidRPr="00C50FB2" w14:paraId="44CCCEED" w14:textId="77777777" w:rsidTr="00E456B1">
        <w:trPr>
          <w:trHeight w:val="780"/>
          <w:jc w:val="center"/>
        </w:trPr>
        <w:tc>
          <w:tcPr>
            <w:tcW w:w="1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DB40690" w14:textId="77777777" w:rsidR="00C50FB2" w:rsidRPr="00C50FB2" w:rsidRDefault="00C50FB2" w:rsidP="00C50FB2">
            <w:pPr>
              <w:jc w:val="center"/>
              <w:rPr>
                <w:rFonts w:ascii="Calibri" w:hAnsi="Calibri"/>
                <w:b/>
                <w:color w:val="000000"/>
                <w:szCs w:val="22"/>
              </w:rPr>
            </w:pPr>
            <w:r w:rsidRPr="00C50FB2">
              <w:rPr>
                <w:rFonts w:ascii="Calibri" w:hAnsi="Calibri"/>
                <w:b/>
                <w:color w:val="000000"/>
                <w:szCs w:val="22"/>
              </w:rPr>
              <w:t>Efficiency</w:t>
            </w:r>
          </w:p>
        </w:tc>
        <w:tc>
          <w:tcPr>
            <w:tcW w:w="261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E6C95B5" w14:textId="77777777" w:rsidR="00C50FB2" w:rsidRPr="00C50FB2" w:rsidRDefault="00C50FB2" w:rsidP="00C50FB2">
            <w:pPr>
              <w:jc w:val="center"/>
              <w:rPr>
                <w:rFonts w:ascii="Calibri" w:hAnsi="Calibri"/>
                <w:b/>
                <w:color w:val="000000"/>
                <w:szCs w:val="22"/>
              </w:rPr>
            </w:pPr>
            <w:r w:rsidRPr="00C50FB2">
              <w:rPr>
                <w:rFonts w:ascii="Calibri" w:hAnsi="Calibri"/>
                <w:b/>
                <w:color w:val="000000"/>
                <w:szCs w:val="22"/>
              </w:rPr>
              <w:t>Water Heating Fuel Use/Cycle</w:t>
            </w:r>
          </w:p>
        </w:tc>
        <w:tc>
          <w:tcPr>
            <w:tcW w:w="261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6B820F6" w14:textId="77777777" w:rsidR="00C50FB2" w:rsidRPr="00C50FB2" w:rsidRDefault="00C50FB2" w:rsidP="00C50FB2">
            <w:pPr>
              <w:jc w:val="center"/>
              <w:rPr>
                <w:rFonts w:ascii="Calibri" w:hAnsi="Calibri"/>
                <w:b/>
                <w:color w:val="000000"/>
                <w:szCs w:val="22"/>
              </w:rPr>
            </w:pPr>
            <w:r w:rsidRPr="00C50FB2">
              <w:rPr>
                <w:rFonts w:ascii="Calibri" w:hAnsi="Calibri"/>
                <w:b/>
                <w:color w:val="000000"/>
                <w:szCs w:val="22"/>
              </w:rPr>
              <w:t>Dryer Usage/Cycle</w:t>
            </w:r>
          </w:p>
        </w:tc>
        <w:tc>
          <w:tcPr>
            <w:tcW w:w="19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D55FE5" w14:textId="77777777" w:rsidR="00C50FB2" w:rsidRPr="00C50FB2" w:rsidRDefault="00C50FB2" w:rsidP="00C50FB2">
            <w:pPr>
              <w:jc w:val="center"/>
              <w:rPr>
                <w:rFonts w:ascii="Calibri" w:hAnsi="Calibri"/>
                <w:b/>
                <w:color w:val="000000"/>
                <w:szCs w:val="22"/>
              </w:rPr>
            </w:pPr>
            <w:r w:rsidRPr="00C50FB2">
              <w:rPr>
                <w:rFonts w:ascii="Calibri" w:hAnsi="Calibri"/>
                <w:b/>
                <w:color w:val="000000"/>
                <w:szCs w:val="22"/>
              </w:rPr>
              <w:t>Clothes Washer Usage/Cycle</w:t>
            </w:r>
          </w:p>
        </w:tc>
      </w:tr>
      <w:tr w:rsidR="00E456B1" w:rsidRPr="00C50FB2" w14:paraId="04BB0CDC" w14:textId="77777777" w:rsidTr="00E456B1">
        <w:trPr>
          <w:trHeight w:val="315"/>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14:paraId="002B21F5" w14:textId="77777777" w:rsidR="00C50FB2" w:rsidRPr="00C50FB2" w:rsidRDefault="00C50FB2" w:rsidP="00C50FB2">
            <w:pPr>
              <w:rPr>
                <w:rFonts w:ascii="Calibri" w:hAnsi="Calibri"/>
                <w:color w:val="000000"/>
                <w:szCs w:val="22"/>
              </w:rPr>
            </w:pPr>
            <w:r w:rsidRPr="00C50FB2">
              <w:rPr>
                <w:rFonts w:ascii="Calibri" w:hAnsi="Calibri"/>
                <w:color w:val="000000"/>
                <w:szCs w:val="22"/>
              </w:rPr>
              <w:t> </w:t>
            </w:r>
          </w:p>
        </w:tc>
        <w:tc>
          <w:tcPr>
            <w:tcW w:w="1350" w:type="dxa"/>
            <w:tcBorders>
              <w:top w:val="nil"/>
              <w:left w:val="nil"/>
              <w:bottom w:val="single" w:sz="8" w:space="0" w:color="auto"/>
              <w:right w:val="single" w:sz="4" w:space="0" w:color="auto"/>
            </w:tcBorders>
            <w:shd w:val="clear" w:color="auto" w:fill="auto"/>
            <w:noWrap/>
            <w:vAlign w:val="bottom"/>
            <w:hideMark/>
          </w:tcPr>
          <w:p w14:paraId="11C26EE7" w14:textId="77777777" w:rsidR="00C50FB2" w:rsidRPr="00C50FB2" w:rsidRDefault="00C50FB2" w:rsidP="00C50FB2">
            <w:pPr>
              <w:jc w:val="center"/>
              <w:rPr>
                <w:rFonts w:ascii="Calibri" w:hAnsi="Calibri"/>
                <w:color w:val="000000"/>
                <w:szCs w:val="22"/>
              </w:rPr>
            </w:pPr>
            <w:r w:rsidRPr="00C50FB2">
              <w:rPr>
                <w:rFonts w:ascii="Calibri" w:hAnsi="Calibri"/>
                <w:color w:val="000000"/>
                <w:szCs w:val="22"/>
              </w:rPr>
              <w:t>Therm</w:t>
            </w:r>
          </w:p>
        </w:tc>
        <w:tc>
          <w:tcPr>
            <w:tcW w:w="1260" w:type="dxa"/>
            <w:tcBorders>
              <w:top w:val="nil"/>
              <w:left w:val="nil"/>
              <w:bottom w:val="single" w:sz="8" w:space="0" w:color="auto"/>
              <w:right w:val="single" w:sz="4" w:space="0" w:color="auto"/>
            </w:tcBorders>
            <w:shd w:val="clear" w:color="auto" w:fill="auto"/>
            <w:noWrap/>
            <w:vAlign w:val="bottom"/>
            <w:hideMark/>
          </w:tcPr>
          <w:p w14:paraId="6B253E8D" w14:textId="77777777" w:rsidR="00C50FB2" w:rsidRPr="00C50FB2" w:rsidRDefault="00C50FB2" w:rsidP="00C50FB2">
            <w:pPr>
              <w:jc w:val="center"/>
              <w:rPr>
                <w:rFonts w:ascii="Calibri" w:hAnsi="Calibri"/>
                <w:color w:val="000000"/>
                <w:szCs w:val="22"/>
              </w:rPr>
            </w:pPr>
            <w:r w:rsidRPr="00C50FB2">
              <w:rPr>
                <w:rFonts w:ascii="Calibri" w:hAnsi="Calibri"/>
                <w:color w:val="000000"/>
                <w:szCs w:val="22"/>
              </w:rPr>
              <w:t>kWh</w:t>
            </w:r>
          </w:p>
        </w:tc>
        <w:tc>
          <w:tcPr>
            <w:tcW w:w="1350" w:type="dxa"/>
            <w:tcBorders>
              <w:top w:val="nil"/>
              <w:left w:val="nil"/>
              <w:bottom w:val="single" w:sz="8" w:space="0" w:color="auto"/>
              <w:right w:val="single" w:sz="4" w:space="0" w:color="auto"/>
            </w:tcBorders>
            <w:shd w:val="clear" w:color="auto" w:fill="auto"/>
            <w:noWrap/>
            <w:vAlign w:val="bottom"/>
            <w:hideMark/>
          </w:tcPr>
          <w:p w14:paraId="0EDD9CFF" w14:textId="77777777" w:rsidR="00C50FB2" w:rsidRPr="00C50FB2" w:rsidRDefault="00C50FB2" w:rsidP="00C50FB2">
            <w:pPr>
              <w:jc w:val="center"/>
              <w:rPr>
                <w:rFonts w:ascii="Calibri" w:hAnsi="Calibri"/>
                <w:color w:val="000000"/>
                <w:szCs w:val="22"/>
              </w:rPr>
            </w:pPr>
            <w:r w:rsidRPr="00C50FB2">
              <w:rPr>
                <w:rFonts w:ascii="Calibri" w:hAnsi="Calibri"/>
                <w:color w:val="000000"/>
                <w:szCs w:val="22"/>
              </w:rPr>
              <w:t>Therm</w:t>
            </w:r>
          </w:p>
        </w:tc>
        <w:tc>
          <w:tcPr>
            <w:tcW w:w="1260" w:type="dxa"/>
            <w:tcBorders>
              <w:top w:val="nil"/>
              <w:left w:val="nil"/>
              <w:bottom w:val="single" w:sz="8" w:space="0" w:color="auto"/>
              <w:right w:val="single" w:sz="4" w:space="0" w:color="auto"/>
            </w:tcBorders>
            <w:shd w:val="clear" w:color="auto" w:fill="auto"/>
            <w:noWrap/>
            <w:vAlign w:val="bottom"/>
            <w:hideMark/>
          </w:tcPr>
          <w:p w14:paraId="66DC8C5F" w14:textId="77777777" w:rsidR="00C50FB2" w:rsidRPr="00C50FB2" w:rsidRDefault="00C50FB2" w:rsidP="00C50FB2">
            <w:pPr>
              <w:jc w:val="center"/>
              <w:rPr>
                <w:rFonts w:ascii="Calibri" w:hAnsi="Calibri"/>
                <w:color w:val="000000"/>
                <w:szCs w:val="22"/>
              </w:rPr>
            </w:pPr>
            <w:r w:rsidRPr="00C50FB2">
              <w:rPr>
                <w:rFonts w:ascii="Calibri" w:hAnsi="Calibri"/>
                <w:color w:val="000000"/>
                <w:szCs w:val="22"/>
              </w:rPr>
              <w:t>kWh</w:t>
            </w:r>
          </w:p>
        </w:tc>
        <w:tc>
          <w:tcPr>
            <w:tcW w:w="1902" w:type="dxa"/>
            <w:tcBorders>
              <w:top w:val="single" w:sz="4" w:space="0" w:color="auto"/>
              <w:left w:val="nil"/>
              <w:bottom w:val="single" w:sz="8" w:space="0" w:color="auto"/>
              <w:right w:val="single" w:sz="4" w:space="0" w:color="auto"/>
            </w:tcBorders>
            <w:shd w:val="clear" w:color="auto" w:fill="auto"/>
            <w:noWrap/>
            <w:vAlign w:val="bottom"/>
            <w:hideMark/>
          </w:tcPr>
          <w:p w14:paraId="3601F905" w14:textId="77777777" w:rsidR="00C50FB2" w:rsidRPr="00C50FB2" w:rsidRDefault="00C50FB2" w:rsidP="00C50FB2">
            <w:pPr>
              <w:jc w:val="center"/>
              <w:rPr>
                <w:rFonts w:ascii="Calibri" w:hAnsi="Calibri"/>
                <w:color w:val="000000"/>
                <w:szCs w:val="22"/>
              </w:rPr>
            </w:pPr>
            <w:r w:rsidRPr="00C50FB2">
              <w:rPr>
                <w:rFonts w:ascii="Calibri" w:hAnsi="Calibri"/>
                <w:color w:val="000000"/>
                <w:szCs w:val="22"/>
              </w:rPr>
              <w:t>kWh</w:t>
            </w:r>
          </w:p>
        </w:tc>
      </w:tr>
      <w:tr w:rsidR="00E456B1" w:rsidRPr="00C50FB2" w14:paraId="2956031C" w14:textId="77777777" w:rsidTr="00E456B1">
        <w:trPr>
          <w:trHeight w:val="300"/>
          <w:jc w:val="center"/>
        </w:trPr>
        <w:tc>
          <w:tcPr>
            <w:tcW w:w="1934" w:type="dxa"/>
            <w:tcBorders>
              <w:top w:val="nil"/>
              <w:left w:val="single" w:sz="4" w:space="0" w:color="auto"/>
              <w:bottom w:val="single" w:sz="4" w:space="0" w:color="auto"/>
              <w:right w:val="single" w:sz="4" w:space="0" w:color="auto"/>
            </w:tcBorders>
            <w:shd w:val="clear" w:color="auto" w:fill="auto"/>
            <w:noWrap/>
            <w:vAlign w:val="bottom"/>
            <w:hideMark/>
          </w:tcPr>
          <w:p w14:paraId="16E917CF" w14:textId="77777777" w:rsidR="00C50FB2" w:rsidRPr="00C50FB2" w:rsidRDefault="00C50FB2" w:rsidP="00C50FB2">
            <w:pPr>
              <w:jc w:val="center"/>
              <w:rPr>
                <w:rFonts w:ascii="Calibri" w:hAnsi="Calibri"/>
                <w:color w:val="000000"/>
                <w:szCs w:val="22"/>
              </w:rPr>
            </w:pPr>
            <w:r w:rsidRPr="00C50FB2">
              <w:rPr>
                <w:rFonts w:ascii="Calibri" w:hAnsi="Calibri"/>
                <w:color w:val="000000"/>
                <w:szCs w:val="22"/>
              </w:rPr>
              <w:t>Non-ENERGY STAR</w:t>
            </w:r>
          </w:p>
        </w:tc>
        <w:tc>
          <w:tcPr>
            <w:tcW w:w="1350" w:type="dxa"/>
            <w:tcBorders>
              <w:top w:val="nil"/>
              <w:left w:val="nil"/>
              <w:bottom w:val="single" w:sz="4" w:space="0" w:color="auto"/>
              <w:right w:val="single" w:sz="4" w:space="0" w:color="auto"/>
            </w:tcBorders>
            <w:shd w:val="clear" w:color="auto" w:fill="auto"/>
            <w:noWrap/>
            <w:vAlign w:val="center"/>
            <w:hideMark/>
          </w:tcPr>
          <w:p w14:paraId="07432968" w14:textId="77777777" w:rsidR="00C50FB2" w:rsidRPr="00C50FB2" w:rsidRDefault="00C50FB2" w:rsidP="00E456B1">
            <w:pPr>
              <w:jc w:val="center"/>
              <w:rPr>
                <w:rFonts w:ascii="Calibri" w:hAnsi="Calibri"/>
                <w:color w:val="000000"/>
                <w:szCs w:val="22"/>
              </w:rPr>
            </w:pPr>
            <w:r w:rsidRPr="00C50FB2">
              <w:rPr>
                <w:rFonts w:ascii="Calibri" w:hAnsi="Calibri"/>
                <w:color w:val="000000"/>
                <w:szCs w:val="22"/>
              </w:rPr>
              <w:t>0.03</w:t>
            </w:r>
          </w:p>
        </w:tc>
        <w:tc>
          <w:tcPr>
            <w:tcW w:w="1260" w:type="dxa"/>
            <w:tcBorders>
              <w:top w:val="nil"/>
              <w:left w:val="nil"/>
              <w:bottom w:val="single" w:sz="4" w:space="0" w:color="auto"/>
              <w:right w:val="single" w:sz="4" w:space="0" w:color="auto"/>
            </w:tcBorders>
            <w:shd w:val="clear" w:color="auto" w:fill="auto"/>
            <w:noWrap/>
            <w:vAlign w:val="center"/>
            <w:hideMark/>
          </w:tcPr>
          <w:p w14:paraId="36984004" w14:textId="77777777" w:rsidR="00C50FB2" w:rsidRPr="00C50FB2" w:rsidRDefault="00C50FB2" w:rsidP="00E456B1">
            <w:pPr>
              <w:jc w:val="center"/>
              <w:rPr>
                <w:rFonts w:ascii="Calibri" w:hAnsi="Calibri"/>
                <w:color w:val="000000"/>
                <w:szCs w:val="22"/>
              </w:rPr>
            </w:pPr>
            <w:r w:rsidRPr="00C50FB2">
              <w:rPr>
                <w:rFonts w:ascii="Calibri" w:hAnsi="Calibri"/>
                <w:color w:val="000000"/>
                <w:szCs w:val="22"/>
              </w:rPr>
              <w:t>0.58</w:t>
            </w:r>
          </w:p>
        </w:tc>
        <w:tc>
          <w:tcPr>
            <w:tcW w:w="1350" w:type="dxa"/>
            <w:tcBorders>
              <w:top w:val="nil"/>
              <w:left w:val="nil"/>
              <w:bottom w:val="single" w:sz="4" w:space="0" w:color="auto"/>
              <w:right w:val="single" w:sz="4" w:space="0" w:color="auto"/>
            </w:tcBorders>
            <w:shd w:val="clear" w:color="auto" w:fill="auto"/>
            <w:noWrap/>
            <w:vAlign w:val="center"/>
            <w:hideMark/>
          </w:tcPr>
          <w:p w14:paraId="09DCAD00" w14:textId="77777777" w:rsidR="00C50FB2" w:rsidRPr="00C50FB2" w:rsidRDefault="00C50FB2" w:rsidP="00E456B1">
            <w:pPr>
              <w:jc w:val="center"/>
              <w:rPr>
                <w:rFonts w:ascii="Calibri" w:hAnsi="Calibri"/>
                <w:color w:val="000000"/>
                <w:szCs w:val="22"/>
              </w:rPr>
            </w:pPr>
            <w:r w:rsidRPr="00C50FB2">
              <w:rPr>
                <w:rFonts w:ascii="Calibri" w:hAnsi="Calibri"/>
                <w:color w:val="000000"/>
                <w:szCs w:val="22"/>
              </w:rPr>
              <w:t>0.14</w:t>
            </w:r>
          </w:p>
        </w:tc>
        <w:tc>
          <w:tcPr>
            <w:tcW w:w="1260" w:type="dxa"/>
            <w:tcBorders>
              <w:top w:val="nil"/>
              <w:left w:val="nil"/>
              <w:bottom w:val="single" w:sz="4" w:space="0" w:color="auto"/>
              <w:right w:val="single" w:sz="4" w:space="0" w:color="auto"/>
            </w:tcBorders>
            <w:shd w:val="clear" w:color="auto" w:fill="auto"/>
            <w:noWrap/>
            <w:vAlign w:val="center"/>
            <w:hideMark/>
          </w:tcPr>
          <w:p w14:paraId="71E5A0C7" w14:textId="77777777" w:rsidR="00C50FB2" w:rsidRPr="00C50FB2" w:rsidRDefault="00C50FB2" w:rsidP="00E456B1">
            <w:pPr>
              <w:jc w:val="center"/>
              <w:rPr>
                <w:rFonts w:ascii="Calibri" w:hAnsi="Calibri"/>
                <w:color w:val="000000"/>
                <w:szCs w:val="22"/>
              </w:rPr>
            </w:pPr>
            <w:r w:rsidRPr="00C50FB2">
              <w:rPr>
                <w:rFonts w:ascii="Calibri" w:hAnsi="Calibri"/>
                <w:color w:val="000000"/>
                <w:szCs w:val="22"/>
              </w:rPr>
              <w:t>3.66</w:t>
            </w:r>
          </w:p>
        </w:tc>
        <w:tc>
          <w:tcPr>
            <w:tcW w:w="1902" w:type="dxa"/>
            <w:tcBorders>
              <w:top w:val="nil"/>
              <w:left w:val="nil"/>
              <w:bottom w:val="single" w:sz="4" w:space="0" w:color="auto"/>
              <w:right w:val="single" w:sz="4" w:space="0" w:color="auto"/>
            </w:tcBorders>
            <w:shd w:val="clear" w:color="auto" w:fill="auto"/>
            <w:noWrap/>
            <w:vAlign w:val="center"/>
            <w:hideMark/>
          </w:tcPr>
          <w:p w14:paraId="1155F2F3" w14:textId="77777777" w:rsidR="00C50FB2" w:rsidRPr="00C50FB2" w:rsidRDefault="00C50FB2" w:rsidP="00E456B1">
            <w:pPr>
              <w:jc w:val="center"/>
              <w:rPr>
                <w:rFonts w:ascii="Calibri" w:hAnsi="Calibri"/>
                <w:color w:val="000000"/>
                <w:szCs w:val="22"/>
              </w:rPr>
            </w:pPr>
            <w:r w:rsidRPr="00C50FB2">
              <w:rPr>
                <w:rFonts w:ascii="Calibri" w:hAnsi="Calibri"/>
                <w:color w:val="000000"/>
                <w:szCs w:val="22"/>
              </w:rPr>
              <w:t>0.21</w:t>
            </w:r>
          </w:p>
        </w:tc>
      </w:tr>
    </w:tbl>
    <w:p w14:paraId="18B979C5" w14:textId="77777777" w:rsidR="00C50FB2" w:rsidRDefault="00C50FB2" w:rsidP="00DA10DB">
      <w:pPr>
        <w:rPr>
          <w:sz w:val="20"/>
          <w:szCs w:val="20"/>
        </w:rPr>
      </w:pPr>
    </w:p>
    <w:p w14:paraId="6D398FFF" w14:textId="77777777" w:rsidR="0039397F" w:rsidRDefault="0039397F" w:rsidP="00DA10DB">
      <w:pPr>
        <w:rPr>
          <w:sz w:val="20"/>
          <w:szCs w:val="20"/>
        </w:rPr>
      </w:pPr>
    </w:p>
    <w:p w14:paraId="42ABD3FE" w14:textId="229D7BE3" w:rsidR="0039397F" w:rsidRDefault="0039397F" w:rsidP="0039397F">
      <w:pPr>
        <w:pStyle w:val="Caption"/>
        <w:keepNext/>
      </w:pPr>
      <w:r>
        <w:t xml:space="preserve">Table </w:t>
      </w:r>
      <w:fldSimple w:instr=" SEQ Table \* ARABIC ">
        <w:r w:rsidR="00EC4C6F">
          <w:rPr>
            <w:noProof/>
          </w:rPr>
          <w:t>10</w:t>
        </w:r>
      </w:fldSimple>
      <w:r>
        <w:t>.</w:t>
      </w:r>
      <w:r w:rsidRPr="0039397F">
        <w:rPr>
          <w:rFonts w:cs="Arial"/>
          <w:color w:val="000000"/>
        </w:rPr>
        <w:t xml:space="preserve"> </w:t>
      </w:r>
      <w:r w:rsidRPr="0039397F">
        <w:rPr>
          <w:rFonts w:cs="Arial"/>
          <w:b w:val="0"/>
          <w:color w:val="000000"/>
        </w:rPr>
        <w:t>Top Loading Standard Capacity Energy Use by Cycle</w:t>
      </w:r>
      <w:r w:rsidR="00737D6A">
        <w:rPr>
          <w:rFonts w:cs="Arial"/>
          <w:b w:val="0"/>
          <w:color w:val="000000"/>
        </w:rPr>
        <w:t xml:space="preserve"> (Source: Table 7.2.1, </w:t>
      </w:r>
      <w:r w:rsidR="00737D6A" w:rsidRPr="00737D6A">
        <w:rPr>
          <w:rFonts w:cs="Arial"/>
          <w:b w:val="0"/>
        </w:rPr>
        <w:t>2012 Technical Support Document for Residential Clothes Washers</w:t>
      </w:r>
      <w:r w:rsidR="00737D6A">
        <w:rPr>
          <w:rFonts w:cs="Arial"/>
          <w:b w:val="0"/>
          <w:color w:val="000000"/>
        </w:rPr>
        <w:t>)</w:t>
      </w:r>
    </w:p>
    <w:tbl>
      <w:tblPr>
        <w:tblW w:w="5612" w:type="dxa"/>
        <w:jc w:val="center"/>
        <w:tblLook w:val="04A0" w:firstRow="1" w:lastRow="0" w:firstColumn="1" w:lastColumn="0" w:noHBand="0" w:noVBand="1"/>
      </w:tblPr>
      <w:tblGrid>
        <w:gridCol w:w="719"/>
        <w:gridCol w:w="1146"/>
        <w:gridCol w:w="1266"/>
        <w:gridCol w:w="844"/>
        <w:gridCol w:w="1637"/>
      </w:tblGrid>
      <w:tr w:rsidR="00C50FB2" w:rsidRPr="0039397F" w14:paraId="5241D07F" w14:textId="77777777" w:rsidTr="00C50FB2">
        <w:trPr>
          <w:trHeight w:val="315"/>
          <w:jc w:val="center"/>
        </w:trPr>
        <w:tc>
          <w:tcPr>
            <w:tcW w:w="5612" w:type="dxa"/>
            <w:gridSpan w:val="5"/>
            <w:tcBorders>
              <w:top w:val="nil"/>
              <w:left w:val="nil"/>
              <w:bottom w:val="nil"/>
              <w:right w:val="nil"/>
            </w:tcBorders>
            <w:shd w:val="clear" w:color="auto" w:fill="auto"/>
            <w:noWrap/>
            <w:vAlign w:val="bottom"/>
            <w:hideMark/>
          </w:tcPr>
          <w:p w14:paraId="0DE9FC65" w14:textId="5BA15A44" w:rsidR="00C50FB2" w:rsidRPr="0039397F" w:rsidRDefault="00C50FB2" w:rsidP="0039397F">
            <w:pPr>
              <w:rPr>
                <w:rFonts w:cs="Arial"/>
                <w:b/>
                <w:bCs/>
                <w:color w:val="000000"/>
                <w:sz w:val="20"/>
                <w:szCs w:val="20"/>
              </w:rPr>
            </w:pPr>
          </w:p>
        </w:tc>
      </w:tr>
      <w:tr w:rsidR="00C50FB2" w:rsidRPr="0039397F" w14:paraId="33783F52" w14:textId="77777777" w:rsidTr="00C50FB2">
        <w:trPr>
          <w:trHeight w:val="780"/>
          <w:jc w:val="center"/>
        </w:trPr>
        <w:tc>
          <w:tcPr>
            <w:tcW w:w="719"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1E877F8" w14:textId="77777777" w:rsidR="00C50FB2" w:rsidRPr="0039397F" w:rsidRDefault="00C50FB2" w:rsidP="0039397F">
            <w:pPr>
              <w:jc w:val="center"/>
              <w:rPr>
                <w:rFonts w:cs="Arial"/>
                <w:b/>
                <w:bCs/>
                <w:color w:val="000000"/>
                <w:sz w:val="20"/>
                <w:szCs w:val="20"/>
              </w:rPr>
            </w:pPr>
            <w:r w:rsidRPr="0039397F">
              <w:rPr>
                <w:rFonts w:cs="Arial"/>
                <w:b/>
                <w:bCs/>
                <w:color w:val="000000"/>
                <w:sz w:val="20"/>
                <w:szCs w:val="20"/>
              </w:rPr>
              <w:t>MEF</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4F4B26" w14:textId="77777777" w:rsidR="00C50FB2" w:rsidRPr="0039397F" w:rsidRDefault="00C50FB2" w:rsidP="0039397F">
            <w:pPr>
              <w:jc w:val="center"/>
              <w:rPr>
                <w:rFonts w:cs="Arial"/>
                <w:b/>
                <w:bCs/>
                <w:color w:val="000000"/>
                <w:sz w:val="20"/>
                <w:szCs w:val="20"/>
              </w:rPr>
            </w:pPr>
            <w:r w:rsidRPr="0039397F">
              <w:rPr>
                <w:rFonts w:cs="Arial"/>
                <w:b/>
                <w:bCs/>
                <w:color w:val="000000"/>
                <w:sz w:val="20"/>
                <w:szCs w:val="20"/>
              </w:rPr>
              <w:t>Volume</w:t>
            </w:r>
          </w:p>
        </w:tc>
        <w:tc>
          <w:tcPr>
            <w:tcW w:w="3747"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1302B36B" w14:textId="77777777" w:rsidR="00C50FB2" w:rsidRPr="0039397F" w:rsidRDefault="00C50FB2" w:rsidP="00C50FB2">
            <w:pPr>
              <w:jc w:val="center"/>
              <w:rPr>
                <w:rFonts w:cs="Arial"/>
                <w:b/>
                <w:bCs/>
                <w:color w:val="000000"/>
                <w:sz w:val="20"/>
                <w:szCs w:val="20"/>
              </w:rPr>
            </w:pPr>
            <w:r w:rsidRPr="0039397F">
              <w:rPr>
                <w:rFonts w:cs="Arial"/>
                <w:b/>
                <w:bCs/>
                <w:color w:val="000000"/>
                <w:sz w:val="20"/>
                <w:szCs w:val="20"/>
              </w:rPr>
              <w:t>Energy Use (kWh/cycle)</w:t>
            </w:r>
          </w:p>
        </w:tc>
      </w:tr>
      <w:tr w:rsidR="00C50FB2" w:rsidRPr="0039397F" w14:paraId="0EC10DC2" w14:textId="77777777" w:rsidTr="00C50FB2">
        <w:trPr>
          <w:trHeight w:val="300"/>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2721F9F8" w14:textId="77777777" w:rsidR="00C50FB2" w:rsidRPr="0039397F" w:rsidRDefault="00C50FB2" w:rsidP="0039397F">
            <w:pPr>
              <w:rPr>
                <w:rFonts w:cs="Arial"/>
                <w:b/>
                <w:bCs/>
                <w:color w:val="000000"/>
                <w:sz w:val="20"/>
                <w:szCs w:val="2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5D7F5604" w14:textId="77777777" w:rsidR="00C50FB2" w:rsidRPr="0039397F" w:rsidRDefault="00C50FB2" w:rsidP="0039397F">
            <w:pPr>
              <w:rPr>
                <w:rFonts w:cs="Arial"/>
                <w:b/>
                <w:bCs/>
                <w:color w:val="000000"/>
                <w:sz w:val="20"/>
                <w:szCs w:val="20"/>
              </w:rPr>
            </w:pPr>
          </w:p>
        </w:tc>
        <w:tc>
          <w:tcPr>
            <w:tcW w:w="1266" w:type="dxa"/>
            <w:tcBorders>
              <w:top w:val="nil"/>
              <w:left w:val="nil"/>
              <w:bottom w:val="single" w:sz="4" w:space="0" w:color="auto"/>
              <w:right w:val="single" w:sz="4" w:space="0" w:color="auto"/>
            </w:tcBorders>
            <w:shd w:val="clear" w:color="000000" w:fill="BFBFBF"/>
            <w:noWrap/>
            <w:vAlign w:val="bottom"/>
            <w:hideMark/>
          </w:tcPr>
          <w:p w14:paraId="7913B6C2" w14:textId="77777777" w:rsidR="00C50FB2" w:rsidRPr="0039397F" w:rsidRDefault="00C50FB2" w:rsidP="0039397F">
            <w:pPr>
              <w:jc w:val="center"/>
              <w:rPr>
                <w:rFonts w:cs="Arial"/>
                <w:b/>
                <w:bCs/>
                <w:color w:val="000000"/>
                <w:sz w:val="20"/>
                <w:szCs w:val="20"/>
              </w:rPr>
            </w:pPr>
            <w:r w:rsidRPr="0039397F">
              <w:rPr>
                <w:rFonts w:cs="Arial"/>
                <w:b/>
                <w:bCs/>
                <w:color w:val="000000"/>
                <w:sz w:val="20"/>
                <w:szCs w:val="20"/>
              </w:rPr>
              <w:t>Machine</w:t>
            </w:r>
          </w:p>
        </w:tc>
        <w:tc>
          <w:tcPr>
            <w:tcW w:w="844" w:type="dxa"/>
            <w:tcBorders>
              <w:top w:val="nil"/>
              <w:left w:val="nil"/>
              <w:bottom w:val="single" w:sz="4" w:space="0" w:color="auto"/>
              <w:right w:val="single" w:sz="4" w:space="0" w:color="auto"/>
            </w:tcBorders>
            <w:shd w:val="clear" w:color="000000" w:fill="BFBFBF"/>
            <w:noWrap/>
            <w:vAlign w:val="bottom"/>
            <w:hideMark/>
          </w:tcPr>
          <w:p w14:paraId="0457327B" w14:textId="77777777" w:rsidR="00C50FB2" w:rsidRPr="0039397F" w:rsidRDefault="00C50FB2" w:rsidP="0039397F">
            <w:pPr>
              <w:jc w:val="center"/>
              <w:rPr>
                <w:rFonts w:cs="Arial"/>
                <w:b/>
                <w:bCs/>
                <w:color w:val="000000"/>
                <w:sz w:val="20"/>
                <w:szCs w:val="20"/>
              </w:rPr>
            </w:pPr>
            <w:r w:rsidRPr="0039397F">
              <w:rPr>
                <w:rFonts w:cs="Arial"/>
                <w:b/>
                <w:bCs/>
                <w:color w:val="000000"/>
                <w:sz w:val="20"/>
                <w:szCs w:val="20"/>
              </w:rPr>
              <w:t>Dryer</w:t>
            </w:r>
          </w:p>
        </w:tc>
        <w:tc>
          <w:tcPr>
            <w:tcW w:w="1637" w:type="dxa"/>
            <w:tcBorders>
              <w:top w:val="nil"/>
              <w:left w:val="nil"/>
              <w:bottom w:val="single" w:sz="4" w:space="0" w:color="auto"/>
              <w:right w:val="single" w:sz="4" w:space="0" w:color="auto"/>
            </w:tcBorders>
            <w:shd w:val="clear" w:color="000000" w:fill="BFBFBF"/>
            <w:noWrap/>
            <w:vAlign w:val="bottom"/>
            <w:hideMark/>
          </w:tcPr>
          <w:p w14:paraId="203851DB" w14:textId="77777777" w:rsidR="00C50FB2" w:rsidRPr="0039397F" w:rsidRDefault="00C50FB2" w:rsidP="0039397F">
            <w:pPr>
              <w:jc w:val="center"/>
              <w:rPr>
                <w:rFonts w:cs="Arial"/>
                <w:b/>
                <w:bCs/>
                <w:color w:val="000000"/>
                <w:sz w:val="20"/>
                <w:szCs w:val="20"/>
              </w:rPr>
            </w:pPr>
            <w:r w:rsidRPr="0039397F">
              <w:rPr>
                <w:rFonts w:cs="Arial"/>
                <w:b/>
                <w:bCs/>
                <w:color w:val="000000"/>
                <w:sz w:val="20"/>
                <w:szCs w:val="20"/>
              </w:rPr>
              <w:t>Water Heat</w:t>
            </w:r>
          </w:p>
        </w:tc>
      </w:tr>
      <w:tr w:rsidR="00C50FB2" w:rsidRPr="0039397F" w14:paraId="0830313C" w14:textId="77777777" w:rsidTr="00C50FB2">
        <w:trPr>
          <w:trHeight w:val="615"/>
          <w:jc w:val="center"/>
        </w:trPr>
        <w:tc>
          <w:tcPr>
            <w:tcW w:w="719" w:type="dxa"/>
            <w:tcBorders>
              <w:top w:val="nil"/>
              <w:left w:val="single" w:sz="4" w:space="0" w:color="auto"/>
              <w:bottom w:val="single" w:sz="4" w:space="0" w:color="auto"/>
              <w:right w:val="single" w:sz="4" w:space="0" w:color="auto"/>
            </w:tcBorders>
            <w:shd w:val="clear" w:color="000000" w:fill="FFFFFF"/>
            <w:noWrap/>
            <w:vAlign w:val="bottom"/>
            <w:hideMark/>
          </w:tcPr>
          <w:p w14:paraId="1F398FD0"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1.26</w:t>
            </w:r>
          </w:p>
        </w:tc>
        <w:tc>
          <w:tcPr>
            <w:tcW w:w="1146" w:type="dxa"/>
            <w:tcBorders>
              <w:top w:val="nil"/>
              <w:left w:val="nil"/>
              <w:bottom w:val="single" w:sz="4" w:space="0" w:color="auto"/>
              <w:right w:val="single" w:sz="4" w:space="0" w:color="auto"/>
            </w:tcBorders>
            <w:shd w:val="clear" w:color="000000" w:fill="FFFFFF"/>
            <w:noWrap/>
            <w:vAlign w:val="bottom"/>
            <w:hideMark/>
          </w:tcPr>
          <w:p w14:paraId="7E4EEB36"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3.09</w:t>
            </w:r>
          </w:p>
        </w:tc>
        <w:tc>
          <w:tcPr>
            <w:tcW w:w="1266" w:type="dxa"/>
            <w:tcBorders>
              <w:top w:val="nil"/>
              <w:left w:val="nil"/>
              <w:bottom w:val="single" w:sz="4" w:space="0" w:color="auto"/>
              <w:right w:val="single" w:sz="4" w:space="0" w:color="auto"/>
            </w:tcBorders>
            <w:shd w:val="clear" w:color="000000" w:fill="FFFFFF"/>
            <w:noWrap/>
            <w:vAlign w:val="bottom"/>
            <w:hideMark/>
          </w:tcPr>
          <w:p w14:paraId="34A26FDA"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0.279</w:t>
            </w:r>
          </w:p>
        </w:tc>
        <w:tc>
          <w:tcPr>
            <w:tcW w:w="844" w:type="dxa"/>
            <w:tcBorders>
              <w:top w:val="nil"/>
              <w:left w:val="nil"/>
              <w:bottom w:val="single" w:sz="4" w:space="0" w:color="auto"/>
              <w:right w:val="single" w:sz="4" w:space="0" w:color="auto"/>
            </w:tcBorders>
            <w:shd w:val="clear" w:color="000000" w:fill="FFFFFF"/>
            <w:noWrap/>
            <w:vAlign w:val="bottom"/>
            <w:hideMark/>
          </w:tcPr>
          <w:p w14:paraId="56A9D423"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2.16</w:t>
            </w:r>
          </w:p>
        </w:tc>
        <w:tc>
          <w:tcPr>
            <w:tcW w:w="1637" w:type="dxa"/>
            <w:tcBorders>
              <w:top w:val="nil"/>
              <w:left w:val="nil"/>
              <w:bottom w:val="single" w:sz="4" w:space="0" w:color="auto"/>
              <w:right w:val="single" w:sz="4" w:space="0" w:color="auto"/>
            </w:tcBorders>
            <w:shd w:val="clear" w:color="000000" w:fill="FFFFFF"/>
            <w:noWrap/>
            <w:vAlign w:val="bottom"/>
            <w:hideMark/>
          </w:tcPr>
          <w:p w14:paraId="4C3C29AA"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1.24</w:t>
            </w:r>
          </w:p>
        </w:tc>
      </w:tr>
      <w:tr w:rsidR="00C50FB2" w:rsidRPr="0039397F" w14:paraId="5E475D5B" w14:textId="77777777" w:rsidTr="00C50FB2">
        <w:trPr>
          <w:trHeight w:val="315"/>
          <w:jc w:val="center"/>
        </w:trPr>
        <w:tc>
          <w:tcPr>
            <w:tcW w:w="719" w:type="dxa"/>
            <w:tcBorders>
              <w:top w:val="nil"/>
              <w:left w:val="single" w:sz="4" w:space="0" w:color="auto"/>
              <w:bottom w:val="single" w:sz="4" w:space="0" w:color="auto"/>
              <w:right w:val="single" w:sz="4" w:space="0" w:color="auto"/>
            </w:tcBorders>
            <w:shd w:val="clear" w:color="000000" w:fill="FFFFFF"/>
            <w:noWrap/>
            <w:vAlign w:val="bottom"/>
            <w:hideMark/>
          </w:tcPr>
          <w:p w14:paraId="3BDD8DDC"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1.40</w:t>
            </w:r>
          </w:p>
        </w:tc>
        <w:tc>
          <w:tcPr>
            <w:tcW w:w="1146" w:type="dxa"/>
            <w:tcBorders>
              <w:top w:val="nil"/>
              <w:left w:val="nil"/>
              <w:bottom w:val="single" w:sz="4" w:space="0" w:color="auto"/>
              <w:right w:val="single" w:sz="4" w:space="0" w:color="auto"/>
            </w:tcBorders>
            <w:shd w:val="clear" w:color="000000" w:fill="FFFFFF"/>
            <w:noWrap/>
            <w:vAlign w:val="bottom"/>
            <w:hideMark/>
          </w:tcPr>
          <w:p w14:paraId="3D97FA34"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3.38</w:t>
            </w:r>
          </w:p>
        </w:tc>
        <w:tc>
          <w:tcPr>
            <w:tcW w:w="1266" w:type="dxa"/>
            <w:tcBorders>
              <w:top w:val="nil"/>
              <w:left w:val="nil"/>
              <w:bottom w:val="single" w:sz="4" w:space="0" w:color="auto"/>
              <w:right w:val="single" w:sz="4" w:space="0" w:color="auto"/>
            </w:tcBorders>
            <w:shd w:val="clear" w:color="000000" w:fill="FFFFFF"/>
            <w:noWrap/>
            <w:vAlign w:val="bottom"/>
            <w:hideMark/>
          </w:tcPr>
          <w:p w14:paraId="0A666919"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0.281</w:t>
            </w:r>
          </w:p>
        </w:tc>
        <w:tc>
          <w:tcPr>
            <w:tcW w:w="844" w:type="dxa"/>
            <w:tcBorders>
              <w:top w:val="nil"/>
              <w:left w:val="nil"/>
              <w:bottom w:val="single" w:sz="4" w:space="0" w:color="auto"/>
              <w:right w:val="single" w:sz="4" w:space="0" w:color="auto"/>
            </w:tcBorders>
            <w:shd w:val="clear" w:color="000000" w:fill="FFFFFF"/>
            <w:noWrap/>
            <w:vAlign w:val="bottom"/>
            <w:hideMark/>
          </w:tcPr>
          <w:p w14:paraId="15DA8D25"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2.43</w:t>
            </w:r>
          </w:p>
        </w:tc>
        <w:tc>
          <w:tcPr>
            <w:tcW w:w="1637" w:type="dxa"/>
            <w:tcBorders>
              <w:top w:val="nil"/>
              <w:left w:val="nil"/>
              <w:bottom w:val="single" w:sz="4" w:space="0" w:color="auto"/>
              <w:right w:val="single" w:sz="4" w:space="0" w:color="auto"/>
            </w:tcBorders>
            <w:shd w:val="clear" w:color="000000" w:fill="FFFFFF"/>
            <w:noWrap/>
            <w:vAlign w:val="bottom"/>
            <w:hideMark/>
          </w:tcPr>
          <w:p w14:paraId="7C658C98"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0.74</w:t>
            </w:r>
          </w:p>
        </w:tc>
      </w:tr>
      <w:tr w:rsidR="00C50FB2" w:rsidRPr="0039397F" w14:paraId="5E3B5F0D" w14:textId="77777777" w:rsidTr="00C50FB2">
        <w:trPr>
          <w:trHeight w:val="315"/>
          <w:jc w:val="center"/>
        </w:trPr>
        <w:tc>
          <w:tcPr>
            <w:tcW w:w="71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D562E4" w14:textId="6C9FC66A" w:rsidR="00C50FB2" w:rsidRPr="0039397F" w:rsidRDefault="00C50FB2" w:rsidP="00A11FB8">
            <w:pPr>
              <w:jc w:val="center"/>
              <w:rPr>
                <w:rFonts w:ascii="Calibri" w:hAnsi="Calibri"/>
                <w:b/>
                <w:bCs/>
                <w:color w:val="000000"/>
                <w:szCs w:val="22"/>
              </w:rPr>
            </w:pPr>
            <w:r w:rsidRPr="0039397F">
              <w:rPr>
                <w:rFonts w:ascii="Calibri" w:hAnsi="Calibri"/>
                <w:b/>
                <w:bCs/>
                <w:color w:val="000000"/>
                <w:szCs w:val="22"/>
              </w:rPr>
              <w:t>1.72</w:t>
            </w:r>
          </w:p>
        </w:tc>
        <w:tc>
          <w:tcPr>
            <w:tcW w:w="1146" w:type="dxa"/>
            <w:tcBorders>
              <w:top w:val="single" w:sz="4" w:space="0" w:color="auto"/>
              <w:left w:val="nil"/>
              <w:bottom w:val="single" w:sz="4" w:space="0" w:color="auto"/>
              <w:right w:val="single" w:sz="4" w:space="0" w:color="auto"/>
            </w:tcBorders>
            <w:shd w:val="clear" w:color="000000" w:fill="auto"/>
            <w:noWrap/>
            <w:vAlign w:val="bottom"/>
            <w:hideMark/>
          </w:tcPr>
          <w:p w14:paraId="7F3FC82D" w14:textId="77777777" w:rsidR="00C50FB2" w:rsidRPr="0039397F" w:rsidRDefault="00C50FB2" w:rsidP="0039397F">
            <w:pPr>
              <w:jc w:val="center"/>
              <w:rPr>
                <w:rFonts w:ascii="Calibri" w:hAnsi="Calibri"/>
                <w:b/>
                <w:bCs/>
                <w:color w:val="000000"/>
                <w:szCs w:val="22"/>
              </w:rPr>
            </w:pPr>
            <w:r w:rsidRPr="0039397F">
              <w:rPr>
                <w:rFonts w:ascii="Calibri" w:hAnsi="Calibri"/>
                <w:b/>
                <w:bCs/>
                <w:color w:val="000000"/>
                <w:szCs w:val="22"/>
              </w:rPr>
              <w:t>3.38</w:t>
            </w:r>
          </w:p>
        </w:tc>
        <w:tc>
          <w:tcPr>
            <w:tcW w:w="1266" w:type="dxa"/>
            <w:tcBorders>
              <w:top w:val="single" w:sz="4" w:space="0" w:color="auto"/>
              <w:left w:val="nil"/>
              <w:bottom w:val="single" w:sz="4" w:space="0" w:color="auto"/>
              <w:right w:val="single" w:sz="4" w:space="0" w:color="auto"/>
            </w:tcBorders>
            <w:shd w:val="clear" w:color="000000" w:fill="auto"/>
            <w:noWrap/>
            <w:vAlign w:val="bottom"/>
            <w:hideMark/>
          </w:tcPr>
          <w:p w14:paraId="4CEF5039" w14:textId="77777777" w:rsidR="00C50FB2" w:rsidRPr="0039397F" w:rsidRDefault="00C50FB2" w:rsidP="0039397F">
            <w:pPr>
              <w:jc w:val="center"/>
              <w:rPr>
                <w:rFonts w:ascii="Calibri" w:hAnsi="Calibri"/>
                <w:b/>
                <w:bCs/>
                <w:color w:val="000000"/>
                <w:szCs w:val="22"/>
              </w:rPr>
            </w:pPr>
            <w:r w:rsidRPr="0039397F">
              <w:rPr>
                <w:rFonts w:ascii="Calibri" w:hAnsi="Calibri"/>
                <w:b/>
                <w:bCs/>
                <w:color w:val="000000"/>
                <w:szCs w:val="22"/>
              </w:rPr>
              <w:t>0.228</w:t>
            </w:r>
          </w:p>
        </w:tc>
        <w:tc>
          <w:tcPr>
            <w:tcW w:w="844" w:type="dxa"/>
            <w:tcBorders>
              <w:top w:val="single" w:sz="4" w:space="0" w:color="auto"/>
              <w:left w:val="nil"/>
              <w:bottom w:val="single" w:sz="4" w:space="0" w:color="auto"/>
              <w:right w:val="single" w:sz="4" w:space="0" w:color="auto"/>
            </w:tcBorders>
            <w:shd w:val="clear" w:color="000000" w:fill="auto"/>
            <w:noWrap/>
            <w:vAlign w:val="bottom"/>
            <w:hideMark/>
          </w:tcPr>
          <w:p w14:paraId="13E56783" w14:textId="77777777" w:rsidR="00C50FB2" w:rsidRPr="0039397F" w:rsidRDefault="00C50FB2" w:rsidP="0039397F">
            <w:pPr>
              <w:jc w:val="center"/>
              <w:rPr>
                <w:rFonts w:ascii="Calibri" w:hAnsi="Calibri"/>
                <w:b/>
                <w:bCs/>
                <w:color w:val="000000"/>
                <w:szCs w:val="22"/>
              </w:rPr>
            </w:pPr>
            <w:r w:rsidRPr="0039397F">
              <w:rPr>
                <w:rFonts w:ascii="Calibri" w:hAnsi="Calibri"/>
                <w:b/>
                <w:bCs/>
                <w:color w:val="000000"/>
                <w:szCs w:val="22"/>
              </w:rPr>
              <w:t>1.69</w:t>
            </w:r>
          </w:p>
        </w:tc>
        <w:tc>
          <w:tcPr>
            <w:tcW w:w="1637" w:type="dxa"/>
            <w:tcBorders>
              <w:top w:val="single" w:sz="4" w:space="0" w:color="auto"/>
              <w:left w:val="nil"/>
              <w:bottom w:val="single" w:sz="4" w:space="0" w:color="auto"/>
              <w:right w:val="single" w:sz="4" w:space="0" w:color="auto"/>
            </w:tcBorders>
            <w:shd w:val="clear" w:color="000000" w:fill="auto"/>
            <w:noWrap/>
            <w:vAlign w:val="bottom"/>
            <w:hideMark/>
          </w:tcPr>
          <w:p w14:paraId="62C0C708" w14:textId="77777777" w:rsidR="00C50FB2" w:rsidRPr="0039397F" w:rsidRDefault="00C50FB2" w:rsidP="0039397F">
            <w:pPr>
              <w:jc w:val="center"/>
              <w:rPr>
                <w:rFonts w:ascii="Calibri" w:hAnsi="Calibri"/>
                <w:b/>
                <w:bCs/>
                <w:color w:val="000000"/>
                <w:szCs w:val="22"/>
              </w:rPr>
            </w:pPr>
            <w:r w:rsidRPr="0039397F">
              <w:rPr>
                <w:rFonts w:ascii="Calibri" w:hAnsi="Calibri"/>
                <w:b/>
                <w:bCs/>
                <w:color w:val="000000"/>
                <w:szCs w:val="22"/>
              </w:rPr>
              <w:t>0.69</w:t>
            </w:r>
          </w:p>
        </w:tc>
      </w:tr>
      <w:tr w:rsidR="00C50FB2" w:rsidRPr="0039397F" w14:paraId="77580937" w14:textId="77777777" w:rsidTr="00C50FB2">
        <w:trPr>
          <w:trHeight w:val="315"/>
          <w:jc w:val="center"/>
        </w:trPr>
        <w:tc>
          <w:tcPr>
            <w:tcW w:w="719" w:type="dxa"/>
            <w:tcBorders>
              <w:top w:val="nil"/>
              <w:left w:val="single" w:sz="4" w:space="0" w:color="auto"/>
              <w:bottom w:val="single" w:sz="4" w:space="0" w:color="auto"/>
              <w:right w:val="single" w:sz="4" w:space="0" w:color="auto"/>
            </w:tcBorders>
            <w:shd w:val="clear" w:color="000000" w:fill="FFFFFF"/>
            <w:noWrap/>
            <w:vAlign w:val="bottom"/>
            <w:hideMark/>
          </w:tcPr>
          <w:p w14:paraId="26BA66CB"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1.80</w:t>
            </w:r>
          </w:p>
        </w:tc>
        <w:tc>
          <w:tcPr>
            <w:tcW w:w="1146" w:type="dxa"/>
            <w:tcBorders>
              <w:top w:val="nil"/>
              <w:left w:val="nil"/>
              <w:bottom w:val="single" w:sz="4" w:space="0" w:color="auto"/>
              <w:right w:val="single" w:sz="4" w:space="0" w:color="auto"/>
            </w:tcBorders>
            <w:shd w:val="clear" w:color="000000" w:fill="FFFFFF"/>
            <w:noWrap/>
            <w:vAlign w:val="bottom"/>
            <w:hideMark/>
          </w:tcPr>
          <w:p w14:paraId="580630E4"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3.76</w:t>
            </w:r>
          </w:p>
        </w:tc>
        <w:tc>
          <w:tcPr>
            <w:tcW w:w="1266" w:type="dxa"/>
            <w:tcBorders>
              <w:top w:val="nil"/>
              <w:left w:val="nil"/>
              <w:bottom w:val="single" w:sz="4" w:space="0" w:color="auto"/>
              <w:right w:val="single" w:sz="4" w:space="0" w:color="auto"/>
            </w:tcBorders>
            <w:shd w:val="clear" w:color="000000" w:fill="FFFFFF"/>
            <w:noWrap/>
            <w:vAlign w:val="bottom"/>
            <w:hideMark/>
          </w:tcPr>
          <w:p w14:paraId="008E8F0C"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0.082</w:t>
            </w:r>
          </w:p>
        </w:tc>
        <w:tc>
          <w:tcPr>
            <w:tcW w:w="844" w:type="dxa"/>
            <w:tcBorders>
              <w:top w:val="nil"/>
              <w:left w:val="nil"/>
              <w:bottom w:val="single" w:sz="4" w:space="0" w:color="auto"/>
              <w:right w:val="single" w:sz="4" w:space="0" w:color="auto"/>
            </w:tcBorders>
            <w:shd w:val="clear" w:color="000000" w:fill="FFFFFF"/>
            <w:noWrap/>
            <w:vAlign w:val="bottom"/>
            <w:hideMark/>
          </w:tcPr>
          <w:p w14:paraId="78126844"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1.41</w:t>
            </w:r>
          </w:p>
        </w:tc>
        <w:tc>
          <w:tcPr>
            <w:tcW w:w="1637" w:type="dxa"/>
            <w:tcBorders>
              <w:top w:val="nil"/>
              <w:left w:val="nil"/>
              <w:bottom w:val="single" w:sz="4" w:space="0" w:color="auto"/>
              <w:right w:val="single" w:sz="4" w:space="0" w:color="auto"/>
            </w:tcBorders>
            <w:shd w:val="clear" w:color="000000" w:fill="FFFFFF"/>
            <w:noWrap/>
            <w:vAlign w:val="bottom"/>
            <w:hideMark/>
          </w:tcPr>
          <w:p w14:paraId="7536FFA6"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1.26</w:t>
            </w:r>
          </w:p>
        </w:tc>
      </w:tr>
      <w:tr w:rsidR="00C50FB2" w:rsidRPr="0039397F" w14:paraId="4D18D625" w14:textId="77777777" w:rsidTr="00C50FB2">
        <w:trPr>
          <w:trHeight w:val="780"/>
          <w:jc w:val="center"/>
        </w:trPr>
        <w:tc>
          <w:tcPr>
            <w:tcW w:w="719" w:type="dxa"/>
            <w:tcBorders>
              <w:top w:val="nil"/>
              <w:left w:val="single" w:sz="4" w:space="0" w:color="auto"/>
              <w:bottom w:val="single" w:sz="4" w:space="0" w:color="auto"/>
              <w:right w:val="single" w:sz="4" w:space="0" w:color="auto"/>
            </w:tcBorders>
            <w:shd w:val="clear" w:color="000000" w:fill="FFFFFF"/>
            <w:noWrap/>
            <w:vAlign w:val="bottom"/>
            <w:hideMark/>
          </w:tcPr>
          <w:p w14:paraId="0766874F"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1.80</w:t>
            </w:r>
          </w:p>
        </w:tc>
        <w:tc>
          <w:tcPr>
            <w:tcW w:w="1146" w:type="dxa"/>
            <w:tcBorders>
              <w:top w:val="nil"/>
              <w:left w:val="nil"/>
              <w:bottom w:val="single" w:sz="4" w:space="0" w:color="auto"/>
              <w:right w:val="single" w:sz="4" w:space="0" w:color="auto"/>
            </w:tcBorders>
            <w:shd w:val="clear" w:color="000000" w:fill="FFFFFF"/>
            <w:noWrap/>
            <w:vAlign w:val="bottom"/>
            <w:hideMark/>
          </w:tcPr>
          <w:p w14:paraId="03618CC9"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3.76</w:t>
            </w:r>
          </w:p>
        </w:tc>
        <w:tc>
          <w:tcPr>
            <w:tcW w:w="1266" w:type="dxa"/>
            <w:tcBorders>
              <w:top w:val="nil"/>
              <w:left w:val="nil"/>
              <w:bottom w:val="single" w:sz="4" w:space="0" w:color="auto"/>
              <w:right w:val="single" w:sz="4" w:space="0" w:color="auto"/>
            </w:tcBorders>
            <w:shd w:val="clear" w:color="000000" w:fill="FFFFFF"/>
            <w:noWrap/>
            <w:vAlign w:val="bottom"/>
            <w:hideMark/>
          </w:tcPr>
          <w:p w14:paraId="5062BF81"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0.082</w:t>
            </w:r>
          </w:p>
        </w:tc>
        <w:tc>
          <w:tcPr>
            <w:tcW w:w="844" w:type="dxa"/>
            <w:tcBorders>
              <w:top w:val="nil"/>
              <w:left w:val="nil"/>
              <w:bottom w:val="single" w:sz="4" w:space="0" w:color="auto"/>
              <w:right w:val="single" w:sz="4" w:space="0" w:color="auto"/>
            </w:tcBorders>
            <w:shd w:val="clear" w:color="000000" w:fill="FFFFFF"/>
            <w:noWrap/>
            <w:vAlign w:val="bottom"/>
            <w:hideMark/>
          </w:tcPr>
          <w:p w14:paraId="77599273"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1.41</w:t>
            </w:r>
          </w:p>
        </w:tc>
        <w:tc>
          <w:tcPr>
            <w:tcW w:w="1637" w:type="dxa"/>
            <w:tcBorders>
              <w:top w:val="nil"/>
              <w:left w:val="nil"/>
              <w:bottom w:val="single" w:sz="4" w:space="0" w:color="auto"/>
              <w:right w:val="single" w:sz="4" w:space="0" w:color="auto"/>
            </w:tcBorders>
            <w:shd w:val="clear" w:color="000000" w:fill="FFFFFF"/>
            <w:noWrap/>
            <w:vAlign w:val="bottom"/>
            <w:hideMark/>
          </w:tcPr>
          <w:p w14:paraId="425436C5"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1.26</w:t>
            </w:r>
          </w:p>
        </w:tc>
      </w:tr>
      <w:tr w:rsidR="00C50FB2" w:rsidRPr="0039397F" w14:paraId="0C8F63BB" w14:textId="77777777" w:rsidTr="00C50FB2">
        <w:trPr>
          <w:trHeight w:val="300"/>
          <w:jc w:val="center"/>
        </w:trPr>
        <w:tc>
          <w:tcPr>
            <w:tcW w:w="719" w:type="dxa"/>
            <w:tcBorders>
              <w:top w:val="nil"/>
              <w:left w:val="single" w:sz="4" w:space="0" w:color="auto"/>
              <w:bottom w:val="single" w:sz="4" w:space="0" w:color="auto"/>
              <w:right w:val="single" w:sz="4" w:space="0" w:color="auto"/>
            </w:tcBorders>
            <w:shd w:val="clear" w:color="000000" w:fill="FFFFFF"/>
            <w:noWrap/>
            <w:vAlign w:val="bottom"/>
            <w:hideMark/>
          </w:tcPr>
          <w:p w14:paraId="4CDC1857"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1.80</w:t>
            </w:r>
          </w:p>
        </w:tc>
        <w:tc>
          <w:tcPr>
            <w:tcW w:w="1146" w:type="dxa"/>
            <w:tcBorders>
              <w:top w:val="nil"/>
              <w:left w:val="nil"/>
              <w:bottom w:val="single" w:sz="4" w:space="0" w:color="auto"/>
              <w:right w:val="single" w:sz="4" w:space="0" w:color="auto"/>
            </w:tcBorders>
            <w:shd w:val="clear" w:color="000000" w:fill="FFFFFF"/>
            <w:noWrap/>
            <w:vAlign w:val="bottom"/>
            <w:hideMark/>
          </w:tcPr>
          <w:p w14:paraId="329EA5B6"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3.76</w:t>
            </w:r>
          </w:p>
        </w:tc>
        <w:tc>
          <w:tcPr>
            <w:tcW w:w="1266" w:type="dxa"/>
            <w:tcBorders>
              <w:top w:val="nil"/>
              <w:left w:val="nil"/>
              <w:bottom w:val="single" w:sz="4" w:space="0" w:color="auto"/>
              <w:right w:val="single" w:sz="4" w:space="0" w:color="auto"/>
            </w:tcBorders>
            <w:shd w:val="clear" w:color="000000" w:fill="FFFFFF"/>
            <w:noWrap/>
            <w:vAlign w:val="bottom"/>
            <w:hideMark/>
          </w:tcPr>
          <w:p w14:paraId="0B48045F"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0.082</w:t>
            </w:r>
          </w:p>
        </w:tc>
        <w:tc>
          <w:tcPr>
            <w:tcW w:w="844" w:type="dxa"/>
            <w:tcBorders>
              <w:top w:val="nil"/>
              <w:left w:val="nil"/>
              <w:bottom w:val="single" w:sz="4" w:space="0" w:color="auto"/>
              <w:right w:val="single" w:sz="4" w:space="0" w:color="auto"/>
            </w:tcBorders>
            <w:shd w:val="clear" w:color="000000" w:fill="FFFFFF"/>
            <w:noWrap/>
            <w:vAlign w:val="bottom"/>
            <w:hideMark/>
          </w:tcPr>
          <w:p w14:paraId="64DC6E67"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1.41</w:t>
            </w:r>
          </w:p>
        </w:tc>
        <w:tc>
          <w:tcPr>
            <w:tcW w:w="1637" w:type="dxa"/>
            <w:tcBorders>
              <w:top w:val="nil"/>
              <w:left w:val="nil"/>
              <w:bottom w:val="single" w:sz="4" w:space="0" w:color="auto"/>
              <w:right w:val="single" w:sz="4" w:space="0" w:color="auto"/>
            </w:tcBorders>
            <w:shd w:val="clear" w:color="000000" w:fill="FFFFFF"/>
            <w:noWrap/>
            <w:vAlign w:val="bottom"/>
            <w:hideMark/>
          </w:tcPr>
          <w:p w14:paraId="7784409A"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1.25</w:t>
            </w:r>
          </w:p>
        </w:tc>
      </w:tr>
      <w:tr w:rsidR="00C50FB2" w:rsidRPr="0039397F" w14:paraId="76AB9FD3" w14:textId="77777777" w:rsidTr="00C50FB2">
        <w:trPr>
          <w:trHeight w:val="615"/>
          <w:jc w:val="center"/>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73F1AB89"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2.00</w:t>
            </w:r>
          </w:p>
        </w:tc>
        <w:tc>
          <w:tcPr>
            <w:tcW w:w="1146" w:type="dxa"/>
            <w:tcBorders>
              <w:top w:val="nil"/>
              <w:left w:val="nil"/>
              <w:bottom w:val="single" w:sz="4" w:space="0" w:color="auto"/>
              <w:right w:val="single" w:sz="4" w:space="0" w:color="auto"/>
            </w:tcBorders>
            <w:shd w:val="clear" w:color="auto" w:fill="auto"/>
            <w:noWrap/>
            <w:vAlign w:val="bottom"/>
            <w:hideMark/>
          </w:tcPr>
          <w:p w14:paraId="194EA63A"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3.86</w:t>
            </w:r>
          </w:p>
        </w:tc>
        <w:tc>
          <w:tcPr>
            <w:tcW w:w="1266" w:type="dxa"/>
            <w:tcBorders>
              <w:top w:val="nil"/>
              <w:left w:val="nil"/>
              <w:bottom w:val="single" w:sz="4" w:space="0" w:color="auto"/>
              <w:right w:val="single" w:sz="4" w:space="0" w:color="auto"/>
            </w:tcBorders>
            <w:shd w:val="clear" w:color="auto" w:fill="auto"/>
            <w:noWrap/>
            <w:vAlign w:val="bottom"/>
            <w:hideMark/>
          </w:tcPr>
          <w:p w14:paraId="794BB17E"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0.082</w:t>
            </w:r>
          </w:p>
        </w:tc>
        <w:tc>
          <w:tcPr>
            <w:tcW w:w="844" w:type="dxa"/>
            <w:tcBorders>
              <w:top w:val="nil"/>
              <w:left w:val="nil"/>
              <w:bottom w:val="single" w:sz="4" w:space="0" w:color="auto"/>
              <w:right w:val="single" w:sz="4" w:space="0" w:color="auto"/>
            </w:tcBorders>
            <w:shd w:val="clear" w:color="auto" w:fill="auto"/>
            <w:noWrap/>
            <w:vAlign w:val="bottom"/>
            <w:hideMark/>
          </w:tcPr>
          <w:p w14:paraId="67E53857"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1.38</w:t>
            </w:r>
          </w:p>
        </w:tc>
        <w:tc>
          <w:tcPr>
            <w:tcW w:w="1637" w:type="dxa"/>
            <w:tcBorders>
              <w:top w:val="nil"/>
              <w:left w:val="nil"/>
              <w:bottom w:val="single" w:sz="4" w:space="0" w:color="auto"/>
              <w:right w:val="single" w:sz="4" w:space="0" w:color="auto"/>
            </w:tcBorders>
            <w:shd w:val="clear" w:color="auto" w:fill="auto"/>
            <w:noWrap/>
            <w:vAlign w:val="bottom"/>
            <w:hideMark/>
          </w:tcPr>
          <w:p w14:paraId="5FAF4E53"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0.99</w:t>
            </w:r>
          </w:p>
        </w:tc>
      </w:tr>
      <w:tr w:rsidR="00C50FB2" w:rsidRPr="0039397F" w14:paraId="43BD5325" w14:textId="77777777" w:rsidTr="00C50FB2">
        <w:trPr>
          <w:trHeight w:val="315"/>
          <w:jc w:val="center"/>
        </w:trPr>
        <w:tc>
          <w:tcPr>
            <w:tcW w:w="719" w:type="dxa"/>
            <w:tcBorders>
              <w:top w:val="nil"/>
              <w:left w:val="single" w:sz="4" w:space="0" w:color="auto"/>
              <w:bottom w:val="single" w:sz="4" w:space="0" w:color="auto"/>
              <w:right w:val="single" w:sz="4" w:space="0" w:color="auto"/>
            </w:tcBorders>
            <w:shd w:val="clear" w:color="000000" w:fill="FFFFFF"/>
            <w:noWrap/>
            <w:vAlign w:val="bottom"/>
            <w:hideMark/>
          </w:tcPr>
          <w:p w14:paraId="311F67ED"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2.26</w:t>
            </w:r>
          </w:p>
        </w:tc>
        <w:tc>
          <w:tcPr>
            <w:tcW w:w="1146" w:type="dxa"/>
            <w:tcBorders>
              <w:top w:val="nil"/>
              <w:left w:val="nil"/>
              <w:bottom w:val="single" w:sz="4" w:space="0" w:color="auto"/>
              <w:right w:val="single" w:sz="4" w:space="0" w:color="auto"/>
            </w:tcBorders>
            <w:shd w:val="clear" w:color="000000" w:fill="FFFFFF"/>
            <w:noWrap/>
            <w:vAlign w:val="bottom"/>
            <w:hideMark/>
          </w:tcPr>
          <w:p w14:paraId="1CE2B5C2"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3.96</w:t>
            </w:r>
          </w:p>
        </w:tc>
        <w:tc>
          <w:tcPr>
            <w:tcW w:w="1266" w:type="dxa"/>
            <w:tcBorders>
              <w:top w:val="nil"/>
              <w:left w:val="nil"/>
              <w:bottom w:val="single" w:sz="4" w:space="0" w:color="auto"/>
              <w:right w:val="single" w:sz="4" w:space="0" w:color="auto"/>
            </w:tcBorders>
            <w:shd w:val="clear" w:color="000000" w:fill="FFFFFF"/>
            <w:noWrap/>
            <w:vAlign w:val="bottom"/>
            <w:hideMark/>
          </w:tcPr>
          <w:p w14:paraId="406391F8"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0.077</w:t>
            </w:r>
          </w:p>
        </w:tc>
        <w:tc>
          <w:tcPr>
            <w:tcW w:w="844" w:type="dxa"/>
            <w:tcBorders>
              <w:top w:val="nil"/>
              <w:left w:val="nil"/>
              <w:bottom w:val="single" w:sz="4" w:space="0" w:color="auto"/>
              <w:right w:val="single" w:sz="4" w:space="0" w:color="auto"/>
            </w:tcBorders>
            <w:shd w:val="clear" w:color="000000" w:fill="FFFFFF"/>
            <w:noWrap/>
            <w:vAlign w:val="bottom"/>
            <w:hideMark/>
          </w:tcPr>
          <w:p w14:paraId="46E39D4D"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1.41</w:t>
            </w:r>
          </w:p>
        </w:tc>
        <w:tc>
          <w:tcPr>
            <w:tcW w:w="1637" w:type="dxa"/>
            <w:tcBorders>
              <w:top w:val="nil"/>
              <w:left w:val="nil"/>
              <w:bottom w:val="single" w:sz="4" w:space="0" w:color="auto"/>
              <w:right w:val="single" w:sz="4" w:space="0" w:color="auto"/>
            </w:tcBorders>
            <w:shd w:val="clear" w:color="000000" w:fill="FFFFFF"/>
            <w:noWrap/>
            <w:vAlign w:val="bottom"/>
            <w:hideMark/>
          </w:tcPr>
          <w:p w14:paraId="25167462"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0.67</w:t>
            </w:r>
          </w:p>
        </w:tc>
      </w:tr>
      <w:tr w:rsidR="00C50FB2" w:rsidRPr="0039397F" w14:paraId="5B0C6E77" w14:textId="77777777" w:rsidTr="00C50FB2">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14:paraId="512B8024"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2.47</w:t>
            </w:r>
          </w:p>
        </w:tc>
        <w:tc>
          <w:tcPr>
            <w:tcW w:w="1146" w:type="dxa"/>
            <w:tcBorders>
              <w:top w:val="nil"/>
              <w:left w:val="nil"/>
              <w:bottom w:val="single" w:sz="4" w:space="0" w:color="auto"/>
              <w:right w:val="single" w:sz="4" w:space="0" w:color="auto"/>
            </w:tcBorders>
            <w:shd w:val="clear" w:color="auto" w:fill="auto"/>
            <w:noWrap/>
            <w:vAlign w:val="bottom"/>
            <w:hideMark/>
          </w:tcPr>
          <w:p w14:paraId="0CDFCCC8"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4.34</w:t>
            </w:r>
          </w:p>
        </w:tc>
        <w:tc>
          <w:tcPr>
            <w:tcW w:w="1266" w:type="dxa"/>
            <w:tcBorders>
              <w:top w:val="nil"/>
              <w:left w:val="nil"/>
              <w:bottom w:val="single" w:sz="4" w:space="0" w:color="auto"/>
              <w:right w:val="single" w:sz="4" w:space="0" w:color="auto"/>
            </w:tcBorders>
            <w:shd w:val="clear" w:color="auto" w:fill="auto"/>
            <w:noWrap/>
            <w:vAlign w:val="bottom"/>
            <w:hideMark/>
          </w:tcPr>
          <w:p w14:paraId="00BFD71F"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0.082</w:t>
            </w:r>
          </w:p>
        </w:tc>
        <w:tc>
          <w:tcPr>
            <w:tcW w:w="844" w:type="dxa"/>
            <w:tcBorders>
              <w:top w:val="nil"/>
              <w:left w:val="nil"/>
              <w:bottom w:val="single" w:sz="4" w:space="0" w:color="auto"/>
              <w:right w:val="single" w:sz="4" w:space="0" w:color="auto"/>
            </w:tcBorders>
            <w:shd w:val="clear" w:color="auto" w:fill="auto"/>
            <w:noWrap/>
            <w:vAlign w:val="bottom"/>
            <w:hideMark/>
          </w:tcPr>
          <w:p w14:paraId="5AAC7828"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1.39</w:t>
            </w:r>
          </w:p>
        </w:tc>
        <w:tc>
          <w:tcPr>
            <w:tcW w:w="1637" w:type="dxa"/>
            <w:tcBorders>
              <w:top w:val="nil"/>
              <w:left w:val="nil"/>
              <w:bottom w:val="single" w:sz="4" w:space="0" w:color="auto"/>
              <w:right w:val="single" w:sz="4" w:space="0" w:color="auto"/>
            </w:tcBorders>
            <w:shd w:val="clear" w:color="auto" w:fill="auto"/>
            <w:noWrap/>
            <w:vAlign w:val="bottom"/>
            <w:hideMark/>
          </w:tcPr>
          <w:p w14:paraId="258A83B4" w14:textId="77777777" w:rsidR="00C50FB2" w:rsidRPr="0039397F" w:rsidRDefault="00C50FB2" w:rsidP="0039397F">
            <w:pPr>
              <w:jc w:val="center"/>
              <w:rPr>
                <w:rFonts w:ascii="Calibri" w:hAnsi="Calibri"/>
                <w:color w:val="000000"/>
                <w:szCs w:val="22"/>
              </w:rPr>
            </w:pPr>
            <w:r w:rsidRPr="0039397F">
              <w:rPr>
                <w:rFonts w:ascii="Calibri" w:hAnsi="Calibri"/>
                <w:color w:val="000000"/>
                <w:szCs w:val="22"/>
              </w:rPr>
              <w:t>0.66</w:t>
            </w:r>
          </w:p>
        </w:tc>
      </w:tr>
    </w:tbl>
    <w:p w14:paraId="786B68BA" w14:textId="4B9DADB1" w:rsidR="00A11FB8" w:rsidRDefault="0039397F" w:rsidP="00DA10DB">
      <w:pPr>
        <w:rPr>
          <w:sz w:val="20"/>
          <w:szCs w:val="20"/>
        </w:rPr>
      </w:pPr>
      <w:r>
        <w:rPr>
          <w:sz w:val="20"/>
          <w:szCs w:val="20"/>
        </w:rPr>
        <w:t xml:space="preserve"> </w:t>
      </w:r>
      <w:r w:rsidR="007F77A3">
        <w:rPr>
          <w:sz w:val="20"/>
          <w:szCs w:val="20"/>
        </w:rPr>
        <w:t xml:space="preserve">  </w:t>
      </w:r>
      <w:r w:rsidR="00DA10DB">
        <w:rPr>
          <w:sz w:val="20"/>
          <w:szCs w:val="20"/>
        </w:rPr>
        <w:t xml:space="preserve">  </w:t>
      </w:r>
    </w:p>
    <w:p w14:paraId="488BC7A5" w14:textId="0EA6897C" w:rsidR="00A11FB8" w:rsidRDefault="00A11FB8" w:rsidP="00DA10DB">
      <w:pPr>
        <w:rPr>
          <w:sz w:val="20"/>
          <w:szCs w:val="20"/>
        </w:rPr>
      </w:pPr>
      <w:r>
        <w:rPr>
          <w:sz w:val="20"/>
          <w:szCs w:val="20"/>
        </w:rPr>
        <w:lastRenderedPageBreak/>
        <w:t xml:space="preserve">Because the energy usage in Table 10 is expressed exclusively in kWh, the dryer and water heat energy values </w:t>
      </w:r>
      <w:r w:rsidR="00873848">
        <w:rPr>
          <w:sz w:val="20"/>
          <w:szCs w:val="20"/>
        </w:rPr>
        <w:t>are</w:t>
      </w:r>
      <w:r>
        <w:rPr>
          <w:sz w:val="20"/>
          <w:szCs w:val="20"/>
        </w:rPr>
        <w:t xml:space="preserve"> converted </w:t>
      </w:r>
      <w:r w:rsidR="00873848">
        <w:rPr>
          <w:sz w:val="20"/>
          <w:szCs w:val="20"/>
        </w:rPr>
        <w:t>in</w:t>
      </w:r>
      <w:r>
        <w:rPr>
          <w:sz w:val="20"/>
          <w:szCs w:val="20"/>
        </w:rPr>
        <w:t>to therms for the domestic hot water and dryer combinations that use gas a fuel source</w:t>
      </w:r>
      <w:r w:rsidR="00737D6A">
        <w:rPr>
          <w:sz w:val="20"/>
          <w:szCs w:val="20"/>
        </w:rPr>
        <w:t>, which is consistent with the methodology described in existing high efficiency clothes washer work papers</w:t>
      </w:r>
      <w:r>
        <w:rPr>
          <w:sz w:val="20"/>
          <w:szCs w:val="20"/>
        </w:rPr>
        <w:t xml:space="preserve">. </w:t>
      </w:r>
    </w:p>
    <w:p w14:paraId="2B397CBF" w14:textId="77777777" w:rsidR="00A11FB8" w:rsidRDefault="00A11FB8" w:rsidP="00DA10DB">
      <w:pPr>
        <w:rPr>
          <w:sz w:val="20"/>
          <w:szCs w:val="20"/>
        </w:rPr>
      </w:pPr>
    </w:p>
    <w:p w14:paraId="5BBA98C7" w14:textId="34E8F3C9" w:rsidR="00A11FB8" w:rsidRDefault="00A11FB8" w:rsidP="00DA10DB">
      <w:pPr>
        <w:rPr>
          <w:sz w:val="20"/>
          <w:szCs w:val="20"/>
        </w:rPr>
      </w:pPr>
      <w:r>
        <w:rPr>
          <w:sz w:val="20"/>
          <w:szCs w:val="20"/>
        </w:rPr>
        <w:t xml:space="preserve">For both the energy consumption associated with the base case and </w:t>
      </w:r>
      <w:r w:rsidR="00974C9A">
        <w:rPr>
          <w:sz w:val="20"/>
          <w:szCs w:val="20"/>
        </w:rPr>
        <w:t>the Title 20 recipient household scenario</w:t>
      </w:r>
      <w:r>
        <w:rPr>
          <w:sz w:val="20"/>
          <w:szCs w:val="20"/>
        </w:rPr>
        <w:t xml:space="preserve">, energy savings estimates </w:t>
      </w:r>
      <w:r w:rsidR="00974C9A">
        <w:rPr>
          <w:sz w:val="20"/>
          <w:szCs w:val="20"/>
        </w:rPr>
        <w:t>are</w:t>
      </w:r>
      <w:r>
        <w:rPr>
          <w:sz w:val="20"/>
          <w:szCs w:val="20"/>
        </w:rPr>
        <w:t xml:space="preserve"> developed for the following domestic hot water and dryer combinations: electric DHW/electric dryer; electric DHW/gas dryer; gas DHW/electric dryer; and gas DHW/gas dryer. See Table 11 for the DHW/dryer fuel share for PG&amp;E, SCG, and SCE customers combined as calculated from the 2009 RASS </w:t>
      </w:r>
      <w:r w:rsidR="00E37169">
        <w:rPr>
          <w:sz w:val="20"/>
          <w:szCs w:val="20"/>
        </w:rPr>
        <w:t xml:space="preserve">saturation </w:t>
      </w:r>
      <w:r>
        <w:rPr>
          <w:sz w:val="20"/>
          <w:szCs w:val="20"/>
        </w:rPr>
        <w:t>data.</w:t>
      </w:r>
    </w:p>
    <w:p w14:paraId="0082EAA1" w14:textId="77777777" w:rsidR="00A11FB8" w:rsidRDefault="00A11FB8" w:rsidP="00DA10DB">
      <w:pPr>
        <w:rPr>
          <w:sz w:val="20"/>
          <w:szCs w:val="20"/>
        </w:rPr>
      </w:pPr>
    </w:p>
    <w:p w14:paraId="3DD55373" w14:textId="77777777" w:rsidR="00043F2F" w:rsidRDefault="00043F2F" w:rsidP="00A11FB8">
      <w:pPr>
        <w:pStyle w:val="Caption"/>
        <w:keepNext/>
      </w:pPr>
    </w:p>
    <w:p w14:paraId="45B49EB5" w14:textId="5377F001" w:rsidR="00A11FB8" w:rsidRDefault="00A11FB8" w:rsidP="00A11FB8">
      <w:pPr>
        <w:pStyle w:val="Caption"/>
        <w:keepNext/>
      </w:pPr>
      <w:r>
        <w:t xml:space="preserve">Table </w:t>
      </w:r>
      <w:fldSimple w:instr=" SEQ Table \* ARABIC ">
        <w:r w:rsidR="00EC4C6F">
          <w:rPr>
            <w:noProof/>
          </w:rPr>
          <w:t>11</w:t>
        </w:r>
      </w:fldSimple>
      <w:r>
        <w:t xml:space="preserve">. </w:t>
      </w:r>
      <w:r w:rsidRPr="00A11FB8">
        <w:rPr>
          <w:b w:val="0"/>
        </w:rPr>
        <w:t>PG&amp;E, SCG, and SCE DHW/Dryer Fuel Share.</w:t>
      </w:r>
    </w:p>
    <w:p w14:paraId="7379D92F" w14:textId="77777777" w:rsidR="00A11FB8" w:rsidRPr="00A11FB8" w:rsidRDefault="00A11FB8" w:rsidP="00A11FB8"/>
    <w:tbl>
      <w:tblPr>
        <w:tblW w:w="4208" w:type="dxa"/>
        <w:jc w:val="center"/>
        <w:tblLook w:val="04A0" w:firstRow="1" w:lastRow="0" w:firstColumn="1" w:lastColumn="0" w:noHBand="0" w:noVBand="1"/>
      </w:tblPr>
      <w:tblGrid>
        <w:gridCol w:w="2329"/>
        <w:gridCol w:w="900"/>
        <w:gridCol w:w="979"/>
      </w:tblGrid>
      <w:tr w:rsidR="00A11FB8" w:rsidRPr="00A11FB8" w14:paraId="3769C91D" w14:textId="77777777" w:rsidTr="00A11FB8">
        <w:trPr>
          <w:trHeight w:val="710"/>
          <w:jc w:val="center"/>
        </w:trPr>
        <w:tc>
          <w:tcPr>
            <w:tcW w:w="2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C41AC2" w14:textId="77777777" w:rsidR="00A11FB8" w:rsidRPr="00A11FB8" w:rsidRDefault="00A11FB8" w:rsidP="00A11FB8">
            <w:pPr>
              <w:jc w:val="center"/>
              <w:rPr>
                <w:rFonts w:cs="Arial"/>
                <w:b/>
                <w:bCs/>
                <w:sz w:val="20"/>
                <w:szCs w:val="20"/>
              </w:rPr>
            </w:pPr>
            <w:r w:rsidRPr="00A11FB8">
              <w:rPr>
                <w:rFonts w:cs="Arial"/>
                <w:b/>
                <w:bCs/>
                <w:sz w:val="20"/>
                <w:szCs w:val="20"/>
              </w:rPr>
              <w:t>W/H and Dryer Population Weights</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8437E17" w14:textId="77777777" w:rsidR="00A11FB8" w:rsidRPr="00A11FB8" w:rsidRDefault="00A11FB8" w:rsidP="00A11FB8">
            <w:pPr>
              <w:jc w:val="center"/>
              <w:rPr>
                <w:rFonts w:cs="Arial"/>
                <w:b/>
                <w:bCs/>
                <w:sz w:val="20"/>
                <w:szCs w:val="20"/>
              </w:rPr>
            </w:pPr>
            <w:r w:rsidRPr="00A11FB8">
              <w:rPr>
                <w:rFonts w:cs="Arial"/>
                <w:b/>
                <w:bCs/>
                <w:sz w:val="20"/>
                <w:szCs w:val="20"/>
              </w:rPr>
              <w:t>Gas WH</w:t>
            </w:r>
          </w:p>
        </w:tc>
        <w:tc>
          <w:tcPr>
            <w:tcW w:w="9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48E443" w14:textId="77777777" w:rsidR="00A11FB8" w:rsidRPr="00A11FB8" w:rsidRDefault="00A11FB8" w:rsidP="00A11FB8">
            <w:pPr>
              <w:jc w:val="center"/>
              <w:rPr>
                <w:rFonts w:cs="Arial"/>
                <w:b/>
                <w:bCs/>
                <w:sz w:val="20"/>
                <w:szCs w:val="20"/>
              </w:rPr>
            </w:pPr>
            <w:r w:rsidRPr="00A11FB8">
              <w:rPr>
                <w:rFonts w:cs="Arial"/>
                <w:b/>
                <w:bCs/>
                <w:sz w:val="20"/>
                <w:szCs w:val="20"/>
              </w:rPr>
              <w:t>Electric WH</w:t>
            </w:r>
          </w:p>
        </w:tc>
      </w:tr>
      <w:tr w:rsidR="00A11FB8" w:rsidRPr="00A11FB8" w14:paraId="30C89FD9" w14:textId="77777777" w:rsidTr="00A11FB8">
        <w:trPr>
          <w:trHeight w:val="510"/>
          <w:jc w:val="center"/>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7055313A" w14:textId="77777777" w:rsidR="00A11FB8" w:rsidRPr="00A11FB8" w:rsidRDefault="00A11FB8" w:rsidP="00A11FB8">
            <w:pPr>
              <w:jc w:val="center"/>
              <w:rPr>
                <w:rFonts w:cs="Arial"/>
                <w:bCs/>
                <w:sz w:val="20"/>
                <w:szCs w:val="20"/>
              </w:rPr>
            </w:pPr>
            <w:r w:rsidRPr="00A11FB8">
              <w:rPr>
                <w:rFonts w:cs="Arial"/>
                <w:bCs/>
                <w:sz w:val="20"/>
                <w:szCs w:val="20"/>
              </w:rPr>
              <w:t>Gas Dryer</w:t>
            </w:r>
          </w:p>
        </w:tc>
        <w:tc>
          <w:tcPr>
            <w:tcW w:w="900" w:type="dxa"/>
            <w:tcBorders>
              <w:top w:val="nil"/>
              <w:left w:val="nil"/>
              <w:bottom w:val="single" w:sz="4" w:space="0" w:color="auto"/>
              <w:right w:val="single" w:sz="4" w:space="0" w:color="auto"/>
            </w:tcBorders>
            <w:shd w:val="clear" w:color="auto" w:fill="auto"/>
            <w:vAlign w:val="center"/>
            <w:hideMark/>
          </w:tcPr>
          <w:p w14:paraId="0F4E7A28" w14:textId="77777777" w:rsidR="00A11FB8" w:rsidRPr="00A11FB8" w:rsidRDefault="00A11FB8" w:rsidP="00A11FB8">
            <w:pPr>
              <w:jc w:val="center"/>
              <w:rPr>
                <w:rFonts w:cs="Arial"/>
                <w:sz w:val="20"/>
                <w:szCs w:val="20"/>
              </w:rPr>
            </w:pPr>
            <w:r w:rsidRPr="00A11FB8">
              <w:rPr>
                <w:rFonts w:cs="Arial"/>
                <w:sz w:val="20"/>
                <w:szCs w:val="20"/>
              </w:rPr>
              <w:t>60%</w:t>
            </w:r>
          </w:p>
        </w:tc>
        <w:tc>
          <w:tcPr>
            <w:tcW w:w="979" w:type="dxa"/>
            <w:tcBorders>
              <w:top w:val="nil"/>
              <w:left w:val="nil"/>
              <w:bottom w:val="single" w:sz="4" w:space="0" w:color="auto"/>
              <w:right w:val="single" w:sz="4" w:space="0" w:color="auto"/>
            </w:tcBorders>
            <w:shd w:val="clear" w:color="auto" w:fill="auto"/>
            <w:vAlign w:val="center"/>
            <w:hideMark/>
          </w:tcPr>
          <w:p w14:paraId="50B0FC37" w14:textId="77777777" w:rsidR="00A11FB8" w:rsidRPr="00A11FB8" w:rsidRDefault="00A11FB8" w:rsidP="00A11FB8">
            <w:pPr>
              <w:jc w:val="center"/>
              <w:rPr>
                <w:rFonts w:cs="Arial"/>
                <w:sz w:val="20"/>
                <w:szCs w:val="20"/>
              </w:rPr>
            </w:pPr>
            <w:r w:rsidRPr="00A11FB8">
              <w:rPr>
                <w:rFonts w:cs="Arial"/>
                <w:sz w:val="20"/>
                <w:szCs w:val="20"/>
              </w:rPr>
              <w:t>0%</w:t>
            </w:r>
          </w:p>
        </w:tc>
      </w:tr>
      <w:tr w:rsidR="00A11FB8" w:rsidRPr="00A11FB8" w14:paraId="61FEF496" w14:textId="77777777" w:rsidTr="00A11FB8">
        <w:trPr>
          <w:trHeight w:val="510"/>
          <w:jc w:val="center"/>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1BA927D1" w14:textId="77777777" w:rsidR="00A11FB8" w:rsidRPr="00A11FB8" w:rsidRDefault="00A11FB8" w:rsidP="00A11FB8">
            <w:pPr>
              <w:jc w:val="center"/>
              <w:rPr>
                <w:rFonts w:cs="Arial"/>
                <w:bCs/>
                <w:sz w:val="20"/>
                <w:szCs w:val="20"/>
              </w:rPr>
            </w:pPr>
            <w:r w:rsidRPr="00A11FB8">
              <w:rPr>
                <w:rFonts w:cs="Arial"/>
                <w:bCs/>
                <w:sz w:val="20"/>
                <w:szCs w:val="20"/>
              </w:rPr>
              <w:t>Electric Dryer</w:t>
            </w:r>
          </w:p>
        </w:tc>
        <w:tc>
          <w:tcPr>
            <w:tcW w:w="900" w:type="dxa"/>
            <w:tcBorders>
              <w:top w:val="nil"/>
              <w:left w:val="nil"/>
              <w:bottom w:val="single" w:sz="4" w:space="0" w:color="auto"/>
              <w:right w:val="single" w:sz="4" w:space="0" w:color="auto"/>
            </w:tcBorders>
            <w:shd w:val="clear" w:color="auto" w:fill="auto"/>
            <w:vAlign w:val="center"/>
            <w:hideMark/>
          </w:tcPr>
          <w:p w14:paraId="43694A8D" w14:textId="77777777" w:rsidR="00A11FB8" w:rsidRPr="00A11FB8" w:rsidRDefault="00A11FB8" w:rsidP="00A11FB8">
            <w:pPr>
              <w:jc w:val="center"/>
              <w:rPr>
                <w:rFonts w:cs="Arial"/>
                <w:sz w:val="20"/>
                <w:szCs w:val="20"/>
              </w:rPr>
            </w:pPr>
            <w:r w:rsidRPr="00A11FB8">
              <w:rPr>
                <w:rFonts w:cs="Arial"/>
                <w:sz w:val="20"/>
                <w:szCs w:val="20"/>
              </w:rPr>
              <w:t>38%</w:t>
            </w:r>
          </w:p>
        </w:tc>
        <w:tc>
          <w:tcPr>
            <w:tcW w:w="979" w:type="dxa"/>
            <w:tcBorders>
              <w:top w:val="nil"/>
              <w:left w:val="nil"/>
              <w:bottom w:val="single" w:sz="4" w:space="0" w:color="auto"/>
              <w:right w:val="single" w:sz="4" w:space="0" w:color="auto"/>
            </w:tcBorders>
            <w:shd w:val="clear" w:color="auto" w:fill="auto"/>
            <w:vAlign w:val="center"/>
            <w:hideMark/>
          </w:tcPr>
          <w:p w14:paraId="395DE3F5" w14:textId="77777777" w:rsidR="00A11FB8" w:rsidRPr="00A11FB8" w:rsidRDefault="00A11FB8" w:rsidP="00A11FB8">
            <w:pPr>
              <w:jc w:val="center"/>
              <w:rPr>
                <w:rFonts w:cs="Arial"/>
                <w:sz w:val="20"/>
                <w:szCs w:val="20"/>
              </w:rPr>
            </w:pPr>
            <w:r w:rsidRPr="00A11FB8">
              <w:rPr>
                <w:rFonts w:cs="Arial"/>
                <w:sz w:val="20"/>
                <w:szCs w:val="20"/>
              </w:rPr>
              <w:t>1%</w:t>
            </w:r>
          </w:p>
        </w:tc>
      </w:tr>
    </w:tbl>
    <w:p w14:paraId="7B1D3E88" w14:textId="2083EF60" w:rsidR="00A11FB8" w:rsidRPr="00DA10DB" w:rsidRDefault="00A11FB8" w:rsidP="00DA10DB">
      <w:pPr>
        <w:rPr>
          <w:sz w:val="20"/>
          <w:szCs w:val="20"/>
        </w:rPr>
      </w:pPr>
      <w:r>
        <w:rPr>
          <w:sz w:val="20"/>
          <w:szCs w:val="20"/>
        </w:rPr>
        <w:t xml:space="preserve">  </w:t>
      </w:r>
    </w:p>
    <w:p w14:paraId="2C290C9B" w14:textId="77777777" w:rsidR="00043F2F" w:rsidRDefault="00043F2F" w:rsidP="00DA10DB">
      <w:pPr>
        <w:rPr>
          <w:sz w:val="20"/>
          <w:szCs w:val="20"/>
        </w:rPr>
      </w:pPr>
    </w:p>
    <w:p w14:paraId="665DEF97" w14:textId="2446A910" w:rsidR="00DA10DB" w:rsidRPr="00371442" w:rsidRDefault="00974C9A" w:rsidP="00DA10DB">
      <w:pPr>
        <w:rPr>
          <w:sz w:val="20"/>
          <w:szCs w:val="20"/>
        </w:rPr>
      </w:pPr>
      <w:r>
        <w:rPr>
          <w:sz w:val="20"/>
          <w:szCs w:val="20"/>
        </w:rPr>
        <w:t xml:space="preserve">Because interactive effects specific to clothes washers are unavailable, the </w:t>
      </w:r>
      <w:r w:rsidR="00BF7CA4">
        <w:rPr>
          <w:sz w:val="20"/>
          <w:szCs w:val="20"/>
        </w:rPr>
        <w:t>HVAC</w:t>
      </w:r>
      <w:r>
        <w:rPr>
          <w:sz w:val="20"/>
          <w:szCs w:val="20"/>
        </w:rPr>
        <w:t xml:space="preserve"> interactive effects factors for CFLs </w:t>
      </w:r>
      <w:r w:rsidR="00BF7CA4">
        <w:rPr>
          <w:sz w:val="20"/>
          <w:szCs w:val="20"/>
        </w:rPr>
        <w:t>are</w:t>
      </w:r>
      <w:r>
        <w:rPr>
          <w:sz w:val="20"/>
          <w:szCs w:val="20"/>
        </w:rPr>
        <w:t xml:space="preserve"> applied to this c</w:t>
      </w:r>
      <w:r w:rsidR="00BF7CA4">
        <w:rPr>
          <w:sz w:val="20"/>
          <w:szCs w:val="20"/>
        </w:rPr>
        <w:t>lothes washer recycling measure following the approach described in PGECOAPP127</w:t>
      </w:r>
      <w:r w:rsidR="002B4349">
        <w:rPr>
          <w:sz w:val="20"/>
          <w:szCs w:val="20"/>
        </w:rPr>
        <w:t xml:space="preserve"> </w:t>
      </w:r>
      <w:r w:rsidR="00BF7CA4">
        <w:rPr>
          <w:sz w:val="20"/>
          <w:szCs w:val="20"/>
        </w:rPr>
        <w:t>R</w:t>
      </w:r>
      <w:r w:rsidR="002B4349">
        <w:rPr>
          <w:sz w:val="20"/>
          <w:szCs w:val="20"/>
        </w:rPr>
        <w:t xml:space="preserve">ev </w:t>
      </w:r>
      <w:r w:rsidR="00BF7CA4">
        <w:rPr>
          <w:sz w:val="20"/>
          <w:szCs w:val="20"/>
        </w:rPr>
        <w:t>0, which averages the interactive effect</w:t>
      </w:r>
      <w:r w:rsidR="002B4349">
        <w:rPr>
          <w:sz w:val="20"/>
          <w:szCs w:val="20"/>
        </w:rPr>
        <w:t>s</w:t>
      </w:r>
      <w:r w:rsidR="00BF7CA4">
        <w:rPr>
          <w:sz w:val="20"/>
          <w:szCs w:val="20"/>
        </w:rPr>
        <w:t xml:space="preserve"> factors for PG&amp;E and SCE to create one statewide value</w:t>
      </w:r>
      <w:r w:rsidR="00EC4C6F">
        <w:rPr>
          <w:sz w:val="20"/>
          <w:szCs w:val="20"/>
        </w:rPr>
        <w:t xml:space="preserve"> (as shown in Table 12)</w:t>
      </w:r>
      <w:r w:rsidR="00BF7CA4">
        <w:rPr>
          <w:sz w:val="20"/>
          <w:szCs w:val="20"/>
        </w:rPr>
        <w:t>. The “all Res” building type is used for in unit clothes washers (both single and multi-family), and the “small office” building type is used for multi-family common area laundry</w:t>
      </w:r>
      <w:r w:rsidR="00EC4C6F">
        <w:rPr>
          <w:sz w:val="20"/>
          <w:szCs w:val="20"/>
        </w:rPr>
        <w:t xml:space="preserve"> units</w:t>
      </w:r>
      <w:r w:rsidR="00BF7CA4">
        <w:rPr>
          <w:sz w:val="20"/>
          <w:szCs w:val="20"/>
        </w:rPr>
        <w:t xml:space="preserve">. </w:t>
      </w:r>
    </w:p>
    <w:p w14:paraId="302DEB87" w14:textId="77777777" w:rsidR="00CA3ECB" w:rsidRDefault="00CA3ECB" w:rsidP="00DA10DB"/>
    <w:p w14:paraId="0D9DBE74" w14:textId="2C917440" w:rsidR="00EC4C6F" w:rsidRPr="006551BF" w:rsidRDefault="00EC4C6F" w:rsidP="00EC4C6F">
      <w:pPr>
        <w:pStyle w:val="Caption"/>
        <w:keepNext/>
        <w:rPr>
          <w:b w:val="0"/>
        </w:rPr>
      </w:pPr>
      <w:r>
        <w:t xml:space="preserve">Table </w:t>
      </w:r>
      <w:fldSimple w:instr=" SEQ Table \* ARABIC ">
        <w:r>
          <w:rPr>
            <w:noProof/>
          </w:rPr>
          <w:t>12</w:t>
        </w:r>
      </w:fldSimple>
      <w:r>
        <w:t xml:space="preserve">. </w:t>
      </w:r>
      <w:r w:rsidRPr="006551BF">
        <w:rPr>
          <w:b w:val="0"/>
        </w:rPr>
        <w:t>PG&amp;E and SCE Averaged CFL HVAC Interactive Effects Factors</w:t>
      </w:r>
    </w:p>
    <w:p w14:paraId="51C987ED" w14:textId="77777777" w:rsidR="00EC4C6F" w:rsidRPr="00EC4C6F" w:rsidRDefault="00EC4C6F" w:rsidP="00EC4C6F"/>
    <w:tbl>
      <w:tblPr>
        <w:tblW w:w="5320" w:type="dxa"/>
        <w:jc w:val="center"/>
        <w:tblLook w:val="04A0" w:firstRow="1" w:lastRow="0" w:firstColumn="1" w:lastColumn="0" w:noHBand="0" w:noVBand="1"/>
      </w:tblPr>
      <w:tblGrid>
        <w:gridCol w:w="1660"/>
        <w:gridCol w:w="937"/>
        <w:gridCol w:w="1270"/>
        <w:gridCol w:w="1453"/>
      </w:tblGrid>
      <w:tr w:rsidR="00EC4C6F" w:rsidRPr="00C94248" w14:paraId="43B2B6AC" w14:textId="77777777" w:rsidTr="00EC4C6F">
        <w:trPr>
          <w:trHeight w:val="255"/>
          <w:jc w:val="center"/>
        </w:trPr>
        <w:tc>
          <w:tcPr>
            <w:tcW w:w="1660" w:type="dxa"/>
            <w:vMerge w:val="restart"/>
            <w:tcBorders>
              <w:top w:val="single" w:sz="8" w:space="0" w:color="auto"/>
              <w:left w:val="single" w:sz="8" w:space="0" w:color="auto"/>
              <w:bottom w:val="single" w:sz="4" w:space="0" w:color="000000"/>
              <w:right w:val="single" w:sz="8" w:space="0" w:color="auto"/>
            </w:tcBorders>
            <w:shd w:val="clear" w:color="000000" w:fill="BFBFBF"/>
            <w:noWrap/>
            <w:vAlign w:val="center"/>
            <w:hideMark/>
          </w:tcPr>
          <w:p w14:paraId="7EC266A7" w14:textId="77777777" w:rsidR="00EC4C6F" w:rsidRPr="00C94248" w:rsidRDefault="00EC4C6F" w:rsidP="000718EB">
            <w:pPr>
              <w:jc w:val="center"/>
              <w:rPr>
                <w:rFonts w:cs="Arial"/>
                <w:b/>
                <w:bCs/>
                <w:color w:val="000000"/>
                <w:sz w:val="20"/>
                <w:szCs w:val="20"/>
              </w:rPr>
            </w:pPr>
            <w:r w:rsidRPr="00C94248">
              <w:rPr>
                <w:rFonts w:cs="Arial"/>
                <w:b/>
                <w:bCs/>
                <w:color w:val="000000"/>
                <w:sz w:val="20"/>
                <w:szCs w:val="20"/>
              </w:rPr>
              <w:t>Building Type</w:t>
            </w:r>
          </w:p>
        </w:tc>
        <w:tc>
          <w:tcPr>
            <w:tcW w:w="3660" w:type="dxa"/>
            <w:gridSpan w:val="3"/>
            <w:tcBorders>
              <w:top w:val="single" w:sz="8" w:space="0" w:color="auto"/>
              <w:left w:val="nil"/>
              <w:bottom w:val="single" w:sz="4" w:space="0" w:color="auto"/>
              <w:right w:val="single" w:sz="8" w:space="0" w:color="000000"/>
            </w:tcBorders>
            <w:shd w:val="clear" w:color="000000" w:fill="BFBFBF"/>
            <w:noWrap/>
            <w:vAlign w:val="center"/>
            <w:hideMark/>
          </w:tcPr>
          <w:p w14:paraId="02E91AB8" w14:textId="77777777" w:rsidR="00EC4C6F" w:rsidRPr="00C94248" w:rsidRDefault="00EC4C6F" w:rsidP="000718EB">
            <w:pPr>
              <w:jc w:val="center"/>
              <w:rPr>
                <w:rFonts w:cs="Arial"/>
                <w:b/>
                <w:bCs/>
                <w:color w:val="000000"/>
                <w:sz w:val="20"/>
                <w:szCs w:val="20"/>
              </w:rPr>
            </w:pPr>
            <w:r w:rsidRPr="00C94248">
              <w:rPr>
                <w:rFonts w:cs="Arial"/>
                <w:b/>
                <w:bCs/>
                <w:color w:val="000000"/>
                <w:sz w:val="20"/>
                <w:szCs w:val="20"/>
              </w:rPr>
              <w:t>Statewide Average HVAC Factors</w:t>
            </w:r>
          </w:p>
        </w:tc>
      </w:tr>
      <w:tr w:rsidR="00EC4C6F" w:rsidRPr="00C94248" w14:paraId="1EA33F3B" w14:textId="77777777" w:rsidTr="00EC4C6F">
        <w:trPr>
          <w:trHeight w:val="255"/>
          <w:jc w:val="center"/>
        </w:trPr>
        <w:tc>
          <w:tcPr>
            <w:tcW w:w="1660" w:type="dxa"/>
            <w:vMerge/>
            <w:tcBorders>
              <w:top w:val="single" w:sz="8" w:space="0" w:color="auto"/>
              <w:left w:val="single" w:sz="8" w:space="0" w:color="auto"/>
              <w:bottom w:val="single" w:sz="4" w:space="0" w:color="000000"/>
              <w:right w:val="single" w:sz="8" w:space="0" w:color="auto"/>
            </w:tcBorders>
            <w:vAlign w:val="center"/>
            <w:hideMark/>
          </w:tcPr>
          <w:p w14:paraId="3A16B64F" w14:textId="77777777" w:rsidR="00EC4C6F" w:rsidRPr="00C94248" w:rsidRDefault="00EC4C6F" w:rsidP="000718EB">
            <w:pPr>
              <w:rPr>
                <w:rFonts w:cs="Arial"/>
                <w:b/>
                <w:bCs/>
                <w:color w:val="000000"/>
                <w:sz w:val="20"/>
                <w:szCs w:val="20"/>
              </w:rPr>
            </w:pPr>
          </w:p>
        </w:tc>
        <w:tc>
          <w:tcPr>
            <w:tcW w:w="937" w:type="dxa"/>
            <w:tcBorders>
              <w:top w:val="nil"/>
              <w:left w:val="nil"/>
              <w:bottom w:val="single" w:sz="4" w:space="0" w:color="auto"/>
              <w:right w:val="single" w:sz="4" w:space="0" w:color="auto"/>
            </w:tcBorders>
            <w:shd w:val="clear" w:color="000000" w:fill="BFBFBF"/>
            <w:noWrap/>
            <w:vAlign w:val="center"/>
            <w:hideMark/>
          </w:tcPr>
          <w:p w14:paraId="145CCCAB" w14:textId="77777777" w:rsidR="00EC4C6F" w:rsidRPr="00C94248" w:rsidRDefault="00EC4C6F" w:rsidP="000718EB">
            <w:pPr>
              <w:jc w:val="center"/>
              <w:rPr>
                <w:rFonts w:cs="Arial"/>
                <w:b/>
                <w:bCs/>
                <w:color w:val="000000"/>
                <w:sz w:val="20"/>
                <w:szCs w:val="20"/>
              </w:rPr>
            </w:pPr>
            <w:r w:rsidRPr="00C94248">
              <w:rPr>
                <w:rFonts w:cs="Arial"/>
                <w:b/>
                <w:bCs/>
                <w:color w:val="000000"/>
                <w:sz w:val="20"/>
                <w:szCs w:val="20"/>
              </w:rPr>
              <w:t>kW/kW</w:t>
            </w:r>
          </w:p>
        </w:tc>
        <w:tc>
          <w:tcPr>
            <w:tcW w:w="1270" w:type="dxa"/>
            <w:tcBorders>
              <w:top w:val="nil"/>
              <w:left w:val="nil"/>
              <w:bottom w:val="single" w:sz="4" w:space="0" w:color="auto"/>
              <w:right w:val="single" w:sz="4" w:space="0" w:color="auto"/>
            </w:tcBorders>
            <w:shd w:val="clear" w:color="000000" w:fill="BFBFBF"/>
            <w:noWrap/>
            <w:vAlign w:val="center"/>
            <w:hideMark/>
          </w:tcPr>
          <w:p w14:paraId="4724790A" w14:textId="77777777" w:rsidR="00EC4C6F" w:rsidRPr="00C94248" w:rsidRDefault="00EC4C6F" w:rsidP="000718EB">
            <w:pPr>
              <w:jc w:val="center"/>
              <w:rPr>
                <w:rFonts w:cs="Arial"/>
                <w:b/>
                <w:bCs/>
                <w:color w:val="000000"/>
                <w:sz w:val="20"/>
                <w:szCs w:val="20"/>
              </w:rPr>
            </w:pPr>
            <w:r w:rsidRPr="00C94248">
              <w:rPr>
                <w:rFonts w:cs="Arial"/>
                <w:b/>
                <w:bCs/>
                <w:color w:val="000000"/>
                <w:sz w:val="20"/>
                <w:szCs w:val="20"/>
              </w:rPr>
              <w:t>kWh/kWh</w:t>
            </w:r>
          </w:p>
        </w:tc>
        <w:tc>
          <w:tcPr>
            <w:tcW w:w="1453" w:type="dxa"/>
            <w:tcBorders>
              <w:top w:val="nil"/>
              <w:left w:val="nil"/>
              <w:bottom w:val="single" w:sz="4" w:space="0" w:color="auto"/>
              <w:right w:val="single" w:sz="8" w:space="0" w:color="auto"/>
            </w:tcBorders>
            <w:shd w:val="clear" w:color="000000" w:fill="BFBFBF"/>
            <w:noWrap/>
            <w:vAlign w:val="center"/>
            <w:hideMark/>
          </w:tcPr>
          <w:p w14:paraId="5D4441F5" w14:textId="77777777" w:rsidR="00EC4C6F" w:rsidRPr="00C94248" w:rsidRDefault="00EC4C6F" w:rsidP="000718EB">
            <w:pPr>
              <w:jc w:val="center"/>
              <w:rPr>
                <w:rFonts w:cs="Arial"/>
                <w:b/>
                <w:bCs/>
                <w:color w:val="000000"/>
                <w:sz w:val="20"/>
                <w:szCs w:val="20"/>
              </w:rPr>
            </w:pPr>
            <w:r w:rsidRPr="00C94248">
              <w:rPr>
                <w:rFonts w:cs="Arial"/>
                <w:b/>
                <w:bCs/>
                <w:color w:val="000000"/>
                <w:sz w:val="20"/>
                <w:szCs w:val="20"/>
              </w:rPr>
              <w:t>therm/kWh</w:t>
            </w:r>
          </w:p>
        </w:tc>
      </w:tr>
      <w:tr w:rsidR="00EC4C6F" w:rsidRPr="00C94248" w14:paraId="1BDB1229" w14:textId="77777777" w:rsidTr="00EC4C6F">
        <w:trPr>
          <w:trHeight w:val="345"/>
          <w:jc w:val="center"/>
        </w:trPr>
        <w:tc>
          <w:tcPr>
            <w:tcW w:w="1660" w:type="dxa"/>
            <w:tcBorders>
              <w:top w:val="nil"/>
              <w:left w:val="single" w:sz="8" w:space="0" w:color="auto"/>
              <w:bottom w:val="single" w:sz="4" w:space="0" w:color="auto"/>
              <w:right w:val="single" w:sz="8" w:space="0" w:color="auto"/>
            </w:tcBorders>
            <w:shd w:val="clear" w:color="auto" w:fill="auto"/>
            <w:noWrap/>
            <w:vAlign w:val="center"/>
            <w:hideMark/>
          </w:tcPr>
          <w:p w14:paraId="77BD6B22" w14:textId="77777777" w:rsidR="00EC4C6F" w:rsidRPr="00C94248" w:rsidRDefault="00EC4C6F" w:rsidP="000718EB">
            <w:pPr>
              <w:jc w:val="right"/>
              <w:rPr>
                <w:rFonts w:cs="Arial"/>
                <w:color w:val="000000"/>
                <w:sz w:val="20"/>
                <w:szCs w:val="20"/>
              </w:rPr>
            </w:pPr>
            <w:r w:rsidRPr="00C94248">
              <w:rPr>
                <w:rFonts w:cs="Arial"/>
                <w:color w:val="000000"/>
                <w:sz w:val="20"/>
                <w:szCs w:val="20"/>
              </w:rPr>
              <w:t>Res</w:t>
            </w:r>
          </w:p>
        </w:tc>
        <w:tc>
          <w:tcPr>
            <w:tcW w:w="937" w:type="dxa"/>
            <w:tcBorders>
              <w:top w:val="nil"/>
              <w:left w:val="nil"/>
              <w:bottom w:val="single" w:sz="4" w:space="0" w:color="auto"/>
              <w:right w:val="single" w:sz="4" w:space="0" w:color="auto"/>
            </w:tcBorders>
            <w:shd w:val="clear" w:color="auto" w:fill="auto"/>
            <w:noWrap/>
            <w:vAlign w:val="center"/>
            <w:hideMark/>
          </w:tcPr>
          <w:p w14:paraId="38C3FA1A" w14:textId="497B0B24" w:rsidR="00EC4C6F" w:rsidRPr="00C94248" w:rsidRDefault="00EC4C6F" w:rsidP="00DC2271">
            <w:pPr>
              <w:jc w:val="center"/>
              <w:rPr>
                <w:rFonts w:cs="Arial"/>
                <w:color w:val="000000"/>
                <w:sz w:val="20"/>
                <w:szCs w:val="20"/>
              </w:rPr>
            </w:pPr>
            <w:r w:rsidRPr="00C94248">
              <w:rPr>
                <w:rFonts w:cs="Arial"/>
                <w:color w:val="000000"/>
                <w:sz w:val="20"/>
                <w:szCs w:val="20"/>
              </w:rPr>
              <w:t>1.3</w:t>
            </w:r>
            <w:r w:rsidR="00DC2271">
              <w:rPr>
                <w:rFonts w:cs="Arial"/>
                <w:color w:val="000000"/>
                <w:sz w:val="20"/>
                <w:szCs w:val="20"/>
              </w:rPr>
              <w:t>70</w:t>
            </w:r>
          </w:p>
        </w:tc>
        <w:tc>
          <w:tcPr>
            <w:tcW w:w="1270" w:type="dxa"/>
            <w:tcBorders>
              <w:top w:val="nil"/>
              <w:left w:val="nil"/>
              <w:bottom w:val="single" w:sz="4" w:space="0" w:color="auto"/>
              <w:right w:val="single" w:sz="4" w:space="0" w:color="auto"/>
            </w:tcBorders>
            <w:shd w:val="clear" w:color="auto" w:fill="auto"/>
            <w:noWrap/>
            <w:vAlign w:val="center"/>
            <w:hideMark/>
          </w:tcPr>
          <w:p w14:paraId="515E8FEF" w14:textId="77777777" w:rsidR="00EC4C6F" w:rsidRPr="00C94248" w:rsidRDefault="00EC4C6F" w:rsidP="000718EB">
            <w:pPr>
              <w:jc w:val="center"/>
              <w:rPr>
                <w:rFonts w:cs="Arial"/>
                <w:color w:val="000000"/>
                <w:sz w:val="20"/>
                <w:szCs w:val="20"/>
              </w:rPr>
            </w:pPr>
            <w:r w:rsidRPr="00C94248">
              <w:rPr>
                <w:rFonts w:cs="Arial"/>
                <w:color w:val="000000"/>
                <w:sz w:val="20"/>
                <w:szCs w:val="20"/>
              </w:rPr>
              <w:t>1.045</w:t>
            </w:r>
          </w:p>
        </w:tc>
        <w:tc>
          <w:tcPr>
            <w:tcW w:w="1453" w:type="dxa"/>
            <w:tcBorders>
              <w:top w:val="nil"/>
              <w:left w:val="nil"/>
              <w:bottom w:val="single" w:sz="4" w:space="0" w:color="auto"/>
              <w:right w:val="single" w:sz="8" w:space="0" w:color="auto"/>
            </w:tcBorders>
            <w:shd w:val="clear" w:color="auto" w:fill="auto"/>
            <w:noWrap/>
            <w:vAlign w:val="center"/>
            <w:hideMark/>
          </w:tcPr>
          <w:p w14:paraId="33C4B185" w14:textId="647FC960" w:rsidR="00EC4C6F" w:rsidRPr="00C94248" w:rsidRDefault="00EC4C6F" w:rsidP="00DC2271">
            <w:pPr>
              <w:jc w:val="center"/>
              <w:rPr>
                <w:rFonts w:cs="Arial"/>
                <w:color w:val="000000"/>
                <w:sz w:val="20"/>
                <w:szCs w:val="20"/>
              </w:rPr>
            </w:pPr>
            <w:r w:rsidRPr="00C94248">
              <w:rPr>
                <w:rFonts w:cs="Arial"/>
                <w:color w:val="000000"/>
                <w:sz w:val="20"/>
                <w:szCs w:val="20"/>
              </w:rPr>
              <w:t>-0.02</w:t>
            </w:r>
            <w:r w:rsidR="00DC2271">
              <w:rPr>
                <w:rFonts w:cs="Arial"/>
                <w:color w:val="000000"/>
                <w:sz w:val="20"/>
                <w:szCs w:val="20"/>
              </w:rPr>
              <w:t>16</w:t>
            </w:r>
          </w:p>
        </w:tc>
      </w:tr>
      <w:tr w:rsidR="00EC4C6F" w:rsidRPr="00C94248" w14:paraId="43ED76C7" w14:textId="77777777" w:rsidTr="00EC4C6F">
        <w:trPr>
          <w:trHeight w:val="84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3E547660" w14:textId="2970DF97" w:rsidR="00EC4C6F" w:rsidRPr="00C94248" w:rsidRDefault="00EC4C6F" w:rsidP="002B4349">
            <w:pPr>
              <w:jc w:val="right"/>
              <w:rPr>
                <w:rFonts w:cs="Arial"/>
                <w:color w:val="000000"/>
                <w:sz w:val="20"/>
                <w:szCs w:val="20"/>
              </w:rPr>
            </w:pPr>
            <w:r w:rsidRPr="00C94248">
              <w:rPr>
                <w:rFonts w:cs="Arial"/>
                <w:color w:val="000000"/>
                <w:sz w:val="20"/>
                <w:szCs w:val="20"/>
              </w:rPr>
              <w:t>Small Office (MF</w:t>
            </w:r>
            <w:r w:rsidR="002B4349">
              <w:rPr>
                <w:rFonts w:cs="Arial"/>
                <w:color w:val="000000"/>
                <w:sz w:val="20"/>
                <w:szCs w:val="20"/>
              </w:rPr>
              <w:t>m common area</w:t>
            </w:r>
            <w:r w:rsidRPr="00C94248">
              <w:rPr>
                <w:rFonts w:cs="Arial"/>
                <w:color w:val="000000"/>
                <w:sz w:val="20"/>
                <w:szCs w:val="20"/>
              </w:rPr>
              <w:t>)</w:t>
            </w:r>
          </w:p>
        </w:tc>
        <w:tc>
          <w:tcPr>
            <w:tcW w:w="937" w:type="dxa"/>
            <w:tcBorders>
              <w:top w:val="nil"/>
              <w:left w:val="nil"/>
              <w:bottom w:val="single" w:sz="8" w:space="0" w:color="auto"/>
              <w:right w:val="single" w:sz="4" w:space="0" w:color="auto"/>
            </w:tcBorders>
            <w:shd w:val="clear" w:color="auto" w:fill="auto"/>
            <w:noWrap/>
            <w:vAlign w:val="center"/>
            <w:hideMark/>
          </w:tcPr>
          <w:p w14:paraId="494E25A7" w14:textId="7B550AAB" w:rsidR="00EC4C6F" w:rsidRPr="00C94248" w:rsidRDefault="00EC4C6F" w:rsidP="000718EB">
            <w:pPr>
              <w:jc w:val="center"/>
              <w:rPr>
                <w:rFonts w:cs="Arial"/>
                <w:color w:val="000000"/>
                <w:sz w:val="20"/>
                <w:szCs w:val="20"/>
              </w:rPr>
            </w:pPr>
            <w:r w:rsidRPr="00C94248">
              <w:rPr>
                <w:rFonts w:cs="Arial"/>
                <w:color w:val="000000"/>
                <w:sz w:val="20"/>
                <w:szCs w:val="20"/>
              </w:rPr>
              <w:t>1.26</w:t>
            </w:r>
            <w:r w:rsidR="00DC2271">
              <w:rPr>
                <w:rFonts w:cs="Arial"/>
                <w:color w:val="000000"/>
                <w:sz w:val="20"/>
                <w:szCs w:val="20"/>
              </w:rPr>
              <w:t>5</w:t>
            </w:r>
          </w:p>
        </w:tc>
        <w:tc>
          <w:tcPr>
            <w:tcW w:w="1270" w:type="dxa"/>
            <w:tcBorders>
              <w:top w:val="nil"/>
              <w:left w:val="nil"/>
              <w:bottom w:val="single" w:sz="8" w:space="0" w:color="auto"/>
              <w:right w:val="single" w:sz="4" w:space="0" w:color="auto"/>
            </w:tcBorders>
            <w:shd w:val="clear" w:color="auto" w:fill="auto"/>
            <w:noWrap/>
            <w:vAlign w:val="center"/>
            <w:hideMark/>
          </w:tcPr>
          <w:p w14:paraId="56075D45" w14:textId="77777777" w:rsidR="00EC4C6F" w:rsidRPr="00C94248" w:rsidRDefault="00EC4C6F" w:rsidP="000718EB">
            <w:pPr>
              <w:jc w:val="center"/>
              <w:rPr>
                <w:rFonts w:cs="Arial"/>
                <w:color w:val="000000"/>
                <w:sz w:val="20"/>
                <w:szCs w:val="20"/>
              </w:rPr>
            </w:pPr>
            <w:r w:rsidRPr="00C94248">
              <w:rPr>
                <w:rFonts w:cs="Arial"/>
                <w:color w:val="000000"/>
                <w:sz w:val="20"/>
                <w:szCs w:val="20"/>
              </w:rPr>
              <w:t>1.1</w:t>
            </w:r>
          </w:p>
        </w:tc>
        <w:tc>
          <w:tcPr>
            <w:tcW w:w="1453" w:type="dxa"/>
            <w:tcBorders>
              <w:top w:val="nil"/>
              <w:left w:val="nil"/>
              <w:bottom w:val="single" w:sz="8" w:space="0" w:color="auto"/>
              <w:right w:val="single" w:sz="8" w:space="0" w:color="auto"/>
            </w:tcBorders>
            <w:shd w:val="clear" w:color="auto" w:fill="auto"/>
            <w:noWrap/>
            <w:vAlign w:val="center"/>
            <w:hideMark/>
          </w:tcPr>
          <w:p w14:paraId="73920597" w14:textId="637C2517" w:rsidR="00EC4C6F" w:rsidRPr="00C94248" w:rsidRDefault="00EC4C6F" w:rsidP="00EC4C6F">
            <w:pPr>
              <w:jc w:val="center"/>
              <w:rPr>
                <w:rFonts w:cs="Arial"/>
                <w:color w:val="000000"/>
                <w:sz w:val="20"/>
                <w:szCs w:val="20"/>
              </w:rPr>
            </w:pPr>
            <w:r w:rsidRPr="00C94248">
              <w:rPr>
                <w:rFonts w:cs="Arial"/>
                <w:color w:val="000000"/>
                <w:sz w:val="20"/>
                <w:szCs w:val="20"/>
              </w:rPr>
              <w:t>-0.002</w:t>
            </w:r>
            <w:r>
              <w:rPr>
                <w:rFonts w:cs="Arial"/>
                <w:color w:val="000000"/>
                <w:sz w:val="20"/>
                <w:szCs w:val="20"/>
              </w:rPr>
              <w:t>7</w:t>
            </w:r>
          </w:p>
        </w:tc>
      </w:tr>
    </w:tbl>
    <w:p w14:paraId="240EA7B0" w14:textId="77777777" w:rsidR="00EC4C6F" w:rsidRDefault="00EC4C6F" w:rsidP="00DA10DB"/>
    <w:p w14:paraId="6143E227" w14:textId="77777777" w:rsidR="00EC4C6F" w:rsidRDefault="00EC4C6F" w:rsidP="00DA10DB"/>
    <w:p w14:paraId="6CB16F75" w14:textId="1E46FAC2" w:rsidR="00CA3ECB" w:rsidRPr="00CA3ECB" w:rsidRDefault="00CA3ECB" w:rsidP="00DA10DB">
      <w:pPr>
        <w:rPr>
          <w:sz w:val="20"/>
          <w:szCs w:val="20"/>
        </w:rPr>
      </w:pPr>
      <w:r>
        <w:rPr>
          <w:sz w:val="20"/>
          <w:szCs w:val="20"/>
        </w:rPr>
        <w:t xml:space="preserve">The Excel workbook in Appendix 1, entitled </w:t>
      </w:r>
      <w:r w:rsidR="00500B89">
        <w:rPr>
          <w:sz w:val="20"/>
          <w:szCs w:val="20"/>
        </w:rPr>
        <w:t>“NRDC_</w:t>
      </w:r>
      <w:r>
        <w:rPr>
          <w:sz w:val="20"/>
          <w:szCs w:val="20"/>
        </w:rPr>
        <w:t>CW_Recycling_</w:t>
      </w:r>
      <w:r w:rsidR="00EC4C6F">
        <w:rPr>
          <w:sz w:val="20"/>
          <w:szCs w:val="20"/>
        </w:rPr>
        <w:t>WP</w:t>
      </w:r>
      <w:r w:rsidR="00500B89">
        <w:rPr>
          <w:sz w:val="20"/>
          <w:szCs w:val="20"/>
        </w:rPr>
        <w:t>rev0</w:t>
      </w:r>
      <w:r w:rsidR="00ED31A6">
        <w:rPr>
          <w:sz w:val="20"/>
          <w:szCs w:val="20"/>
        </w:rPr>
        <w:t>,</w:t>
      </w:r>
      <w:r w:rsidR="00500B89">
        <w:rPr>
          <w:sz w:val="20"/>
          <w:szCs w:val="20"/>
        </w:rPr>
        <w:t>”</w:t>
      </w:r>
      <w:r>
        <w:rPr>
          <w:sz w:val="20"/>
          <w:szCs w:val="20"/>
        </w:rPr>
        <w:t xml:space="preserve"> includes </w:t>
      </w:r>
      <w:r w:rsidR="00500B89">
        <w:rPr>
          <w:sz w:val="20"/>
          <w:szCs w:val="20"/>
        </w:rPr>
        <w:t xml:space="preserve">the </w:t>
      </w:r>
      <w:r w:rsidR="00974C9A">
        <w:rPr>
          <w:sz w:val="20"/>
          <w:szCs w:val="20"/>
        </w:rPr>
        <w:t>detailed energy</w:t>
      </w:r>
      <w:r>
        <w:rPr>
          <w:sz w:val="20"/>
          <w:szCs w:val="20"/>
        </w:rPr>
        <w:t xml:space="preserve"> savings calculations for this work paper. </w:t>
      </w:r>
    </w:p>
    <w:p w14:paraId="149495D5" w14:textId="77777777" w:rsidR="00537F31" w:rsidRDefault="00537F31" w:rsidP="00537F31">
      <w:pPr>
        <w:pStyle w:val="Heading3-CalTFStyle31"/>
      </w:pPr>
      <w:r w:rsidRPr="001D4579">
        <w:t>Electric Energy Savings Estimation Methodologies</w:t>
      </w:r>
    </w:p>
    <w:p w14:paraId="44A62972" w14:textId="77777777" w:rsidR="00CE0168" w:rsidRDefault="000D1F51" w:rsidP="00067CF1">
      <w:pPr>
        <w:pStyle w:val="Heading3-CalTFStyle31"/>
        <w:numPr>
          <w:ilvl w:val="0"/>
          <w:numId w:val="0"/>
        </w:numPr>
        <w:rPr>
          <w:b w:val="0"/>
          <w:i w:val="0"/>
          <w:color w:val="auto"/>
        </w:rPr>
      </w:pPr>
      <w:r>
        <w:rPr>
          <w:b w:val="0"/>
          <w:i w:val="0"/>
          <w:color w:val="auto"/>
        </w:rPr>
        <w:t xml:space="preserve">Electric energy savings can be achieved through reductions in machine energy use, domestic hot water use, and dryer energy use, depending on the fuel sources for the domestic hot water heater and dryer. There are electric savings attributable to all domestic hot water and dryer fuel combinations because all clothes washers have direct electric energy usage (e.g., for agitating and spinning </w:t>
      </w:r>
      <w:r>
        <w:rPr>
          <w:b w:val="0"/>
          <w:i w:val="0"/>
          <w:color w:val="auto"/>
        </w:rPr>
        <w:lastRenderedPageBreak/>
        <w:t xml:space="preserve">clothes). Electric energy savings </w:t>
      </w:r>
      <w:r w:rsidR="00AE52E8">
        <w:rPr>
          <w:b w:val="0"/>
          <w:i w:val="0"/>
          <w:color w:val="auto"/>
        </w:rPr>
        <w:t>are</w:t>
      </w:r>
      <w:r>
        <w:rPr>
          <w:b w:val="0"/>
          <w:i w:val="0"/>
          <w:color w:val="auto"/>
        </w:rPr>
        <w:t xml:space="preserve"> calculated using the energy consumption values in Tables 9 and 10 and weighted by the RASS DHW/dryer fuel combinations in Table 11. </w:t>
      </w:r>
    </w:p>
    <w:p w14:paraId="0ADE0CDC" w14:textId="3590CC46" w:rsidR="00067CF1" w:rsidRPr="000D1F51" w:rsidRDefault="00B745C0" w:rsidP="00067CF1">
      <w:pPr>
        <w:pStyle w:val="Heading3-CalTFStyle31"/>
        <w:numPr>
          <w:ilvl w:val="0"/>
          <w:numId w:val="0"/>
        </w:numPr>
        <w:rPr>
          <w:b w:val="0"/>
          <w:i w:val="0"/>
          <w:color w:val="auto"/>
        </w:rPr>
      </w:pPr>
      <w:r>
        <w:rPr>
          <w:b w:val="0"/>
          <w:i w:val="0"/>
          <w:color w:val="auto"/>
        </w:rPr>
        <w:t xml:space="preserve">Per cycle energy savings </w:t>
      </w:r>
      <w:r w:rsidR="006E3E71">
        <w:rPr>
          <w:b w:val="0"/>
          <w:i w:val="0"/>
          <w:color w:val="auto"/>
        </w:rPr>
        <w:t>are</w:t>
      </w:r>
      <w:r>
        <w:rPr>
          <w:b w:val="0"/>
          <w:i w:val="0"/>
          <w:color w:val="auto"/>
        </w:rPr>
        <w:t xml:space="preserve"> </w:t>
      </w:r>
      <w:r w:rsidR="006E3E71">
        <w:rPr>
          <w:b w:val="0"/>
          <w:i w:val="0"/>
          <w:color w:val="auto"/>
        </w:rPr>
        <w:t>converted</w:t>
      </w:r>
      <w:r>
        <w:rPr>
          <w:b w:val="0"/>
          <w:i w:val="0"/>
          <w:color w:val="auto"/>
        </w:rPr>
        <w:t xml:space="preserve"> into annual savings assuming 295 cycles/year for residential clothes washers in single family homes in accordance with the 2012 Residential Clothes Washer TSD.</w:t>
      </w:r>
      <w:r>
        <w:rPr>
          <w:rStyle w:val="EndnoteReference"/>
          <w:b w:val="0"/>
          <w:i w:val="0"/>
          <w:color w:val="auto"/>
        </w:rPr>
        <w:endnoteReference w:id="20"/>
      </w:r>
      <w:r w:rsidR="005C40CF">
        <w:rPr>
          <w:b w:val="0"/>
          <w:i w:val="0"/>
          <w:color w:val="auto"/>
        </w:rPr>
        <w:t xml:space="preserve"> Similarly, 1241 cycles/year is used to </w:t>
      </w:r>
      <w:r w:rsidR="006E3E71">
        <w:rPr>
          <w:b w:val="0"/>
          <w:i w:val="0"/>
          <w:color w:val="auto"/>
        </w:rPr>
        <w:t>convert</w:t>
      </w:r>
      <w:r w:rsidR="005C40CF">
        <w:rPr>
          <w:b w:val="0"/>
          <w:i w:val="0"/>
          <w:color w:val="auto"/>
        </w:rPr>
        <w:t xml:space="preserve"> per cycle energy savings into annual savings for residential clothes washers in multi-family homes in accordance with the 20</w:t>
      </w:r>
      <w:r w:rsidR="008B1C4A">
        <w:rPr>
          <w:b w:val="0"/>
          <w:i w:val="0"/>
          <w:color w:val="auto"/>
        </w:rPr>
        <w:t>10</w:t>
      </w:r>
      <w:r w:rsidR="005C40CF">
        <w:rPr>
          <w:b w:val="0"/>
          <w:i w:val="0"/>
          <w:color w:val="auto"/>
        </w:rPr>
        <w:t xml:space="preserve"> Commercial Clothes Washer TSD.</w:t>
      </w:r>
      <w:r w:rsidR="005C40CF">
        <w:rPr>
          <w:rStyle w:val="EndnoteReference"/>
          <w:b w:val="0"/>
          <w:i w:val="0"/>
          <w:color w:val="auto"/>
        </w:rPr>
        <w:endnoteReference w:id="21"/>
      </w:r>
      <w:r w:rsidR="005C40CF">
        <w:rPr>
          <w:b w:val="0"/>
          <w:i w:val="0"/>
          <w:color w:val="auto"/>
        </w:rPr>
        <w:t xml:space="preserve"> </w:t>
      </w:r>
      <w:r w:rsidR="000D1F51">
        <w:rPr>
          <w:b w:val="0"/>
          <w:i w:val="0"/>
          <w:color w:val="auto"/>
        </w:rPr>
        <w:t xml:space="preserve"> </w:t>
      </w:r>
    </w:p>
    <w:p w14:paraId="393A106F" w14:textId="0E525AEF" w:rsidR="00C069A2" w:rsidRDefault="0030550A" w:rsidP="00537F31">
      <w:pPr>
        <w:pStyle w:val="Heading3-CalTFStyle31"/>
      </w:pPr>
      <w:bookmarkStart w:id="62" w:name="_Toc385592995"/>
      <w:r w:rsidRPr="001D4579">
        <w:t>Demand R</w:t>
      </w:r>
      <w:r w:rsidR="00C069A2" w:rsidRPr="001D4579">
        <w:t>eduction Estimation Methodologies</w:t>
      </w:r>
      <w:bookmarkEnd w:id="59"/>
      <w:bookmarkEnd w:id="60"/>
      <w:bookmarkEnd w:id="61"/>
      <w:bookmarkEnd w:id="62"/>
    </w:p>
    <w:p w14:paraId="654D98A2" w14:textId="77777777" w:rsidR="00117358" w:rsidRDefault="007B55D3" w:rsidP="007B55D3">
      <w:pPr>
        <w:pStyle w:val="Heading3-CalTFStyle31"/>
        <w:numPr>
          <w:ilvl w:val="0"/>
          <w:numId w:val="0"/>
        </w:numPr>
        <w:rPr>
          <w:b w:val="0"/>
          <w:i w:val="0"/>
          <w:color w:val="auto"/>
        </w:rPr>
      </w:pPr>
      <w:r>
        <w:rPr>
          <w:b w:val="0"/>
          <w:i w:val="0"/>
          <w:color w:val="auto"/>
        </w:rPr>
        <w:t>Demand savings can be achieved through reductions in machine energy use, domestic hot water use and dryer energy use, depending on the fuel source used for the domestic hot water heater and dryer. Electric demand savings</w:t>
      </w:r>
      <w:r w:rsidR="003C6C82">
        <w:rPr>
          <w:b w:val="0"/>
          <w:i w:val="0"/>
          <w:color w:val="auto"/>
        </w:rPr>
        <w:t xml:space="preserve"> are attributable to domestic hot water and dryer fuel combinations because all units have electrical machine usage. </w:t>
      </w:r>
    </w:p>
    <w:p w14:paraId="3836F316" w14:textId="3B29AA6A" w:rsidR="007B55D3" w:rsidRDefault="003C6C82" w:rsidP="007B55D3">
      <w:pPr>
        <w:pStyle w:val="Heading3-CalTFStyle31"/>
        <w:numPr>
          <w:ilvl w:val="0"/>
          <w:numId w:val="0"/>
        </w:numPr>
        <w:rPr>
          <w:b w:val="0"/>
          <w:i w:val="0"/>
          <w:color w:val="auto"/>
        </w:rPr>
      </w:pPr>
      <w:r>
        <w:rPr>
          <w:b w:val="0"/>
          <w:i w:val="0"/>
          <w:color w:val="auto"/>
        </w:rPr>
        <w:t xml:space="preserve">Demand savings </w:t>
      </w:r>
      <w:r w:rsidR="00362AC7">
        <w:rPr>
          <w:b w:val="0"/>
          <w:i w:val="0"/>
          <w:color w:val="auto"/>
        </w:rPr>
        <w:t>are</w:t>
      </w:r>
      <w:r>
        <w:rPr>
          <w:b w:val="0"/>
          <w:i w:val="0"/>
          <w:color w:val="auto"/>
        </w:rPr>
        <w:t xml:space="preserve"> c</w:t>
      </w:r>
      <w:r w:rsidR="00117358">
        <w:rPr>
          <w:b w:val="0"/>
          <w:i w:val="0"/>
          <w:color w:val="auto"/>
        </w:rPr>
        <w:t xml:space="preserve">alculated by applying an energy </w:t>
      </w:r>
      <w:r>
        <w:rPr>
          <w:b w:val="0"/>
          <w:i w:val="0"/>
          <w:color w:val="auto"/>
        </w:rPr>
        <w:t xml:space="preserve">peak factor, which uses load shape data, to the electrical energy savings. </w:t>
      </w:r>
      <w:r w:rsidRPr="003C6C82">
        <w:rPr>
          <w:b w:val="0"/>
          <w:i w:val="0"/>
          <w:color w:val="auto"/>
        </w:rPr>
        <w:t xml:space="preserve">The </w:t>
      </w:r>
      <w:r w:rsidR="00362AC7">
        <w:rPr>
          <w:b w:val="0"/>
          <w:i w:val="0"/>
          <w:color w:val="auto"/>
        </w:rPr>
        <w:t>calculation of demand savings</w:t>
      </w:r>
      <w:r w:rsidRPr="003C6C82">
        <w:rPr>
          <w:b w:val="0"/>
          <w:i w:val="0"/>
          <w:color w:val="auto"/>
        </w:rPr>
        <w:t xml:space="preserve"> presented in this work paper </w:t>
      </w:r>
      <w:r w:rsidR="00362AC7">
        <w:rPr>
          <w:b w:val="0"/>
          <w:i w:val="0"/>
          <w:color w:val="auto"/>
        </w:rPr>
        <w:t xml:space="preserve">follows the approach in </w:t>
      </w:r>
      <w:r w:rsidR="00117358">
        <w:rPr>
          <w:b w:val="0"/>
          <w:i w:val="0"/>
          <w:color w:val="auto"/>
        </w:rPr>
        <w:t>PGECOAPP127</w:t>
      </w:r>
      <w:r w:rsidR="003A3C5C">
        <w:rPr>
          <w:b w:val="0"/>
          <w:i w:val="0"/>
          <w:color w:val="auto"/>
        </w:rPr>
        <w:t xml:space="preserve"> </w:t>
      </w:r>
      <w:r w:rsidR="00117358">
        <w:rPr>
          <w:b w:val="0"/>
          <w:i w:val="0"/>
          <w:color w:val="auto"/>
        </w:rPr>
        <w:t>R</w:t>
      </w:r>
      <w:r w:rsidR="003A3C5C">
        <w:rPr>
          <w:b w:val="0"/>
          <w:i w:val="0"/>
          <w:color w:val="auto"/>
        </w:rPr>
        <w:t xml:space="preserve">ev </w:t>
      </w:r>
      <w:r w:rsidR="00117358">
        <w:rPr>
          <w:b w:val="0"/>
          <w:i w:val="0"/>
          <w:color w:val="auto"/>
        </w:rPr>
        <w:t xml:space="preserve">0, which uses the load shape </w:t>
      </w:r>
      <w:r w:rsidR="00117358">
        <w:rPr>
          <w:b w:val="0"/>
          <w:color w:val="auto"/>
        </w:rPr>
        <w:t>DEER:Res_ClothesDishWasher</w:t>
      </w:r>
      <w:r w:rsidR="00117358">
        <w:rPr>
          <w:b w:val="0"/>
          <w:i w:val="0"/>
          <w:color w:val="auto"/>
        </w:rPr>
        <w:t xml:space="preserve"> from the E3 calculator to obtain a July to September average residential peak kW factor of 0.000165 kW/kWh for clothes washers</w:t>
      </w:r>
      <w:r w:rsidRPr="003C6C82">
        <w:rPr>
          <w:b w:val="0"/>
          <w:i w:val="0"/>
          <w:color w:val="auto"/>
        </w:rPr>
        <w:t>.</w:t>
      </w:r>
      <w:r w:rsidRPr="003C6C82">
        <w:rPr>
          <w:color w:val="auto"/>
        </w:rPr>
        <w:t xml:space="preserve"> </w:t>
      </w:r>
      <w:r w:rsidRPr="003C6C82">
        <w:rPr>
          <w:b w:val="0"/>
          <w:i w:val="0"/>
          <w:color w:val="auto"/>
        </w:rPr>
        <w:t xml:space="preserve"> </w:t>
      </w:r>
      <w:r w:rsidR="00117358">
        <w:rPr>
          <w:b w:val="0"/>
          <w:i w:val="0"/>
          <w:color w:val="auto"/>
        </w:rPr>
        <w:t xml:space="preserve">The peak kW factor is averaged for the months of July through September because these months coincide with the CPUC-mandated DEER peak periods. Whole building impacts are then calculated by applying the CFL interactive effects factors in Table 12 to the end use impacts. </w:t>
      </w:r>
    </w:p>
    <w:p w14:paraId="7F6D3C0B" w14:textId="450F897A" w:rsidR="00117358" w:rsidRPr="007B55D3" w:rsidRDefault="00117358" w:rsidP="007B55D3">
      <w:pPr>
        <w:pStyle w:val="Heading3-CalTFStyle31"/>
        <w:numPr>
          <w:ilvl w:val="0"/>
          <w:numId w:val="0"/>
        </w:numPr>
        <w:rPr>
          <w:b w:val="0"/>
          <w:i w:val="0"/>
          <w:color w:val="auto"/>
        </w:rPr>
      </w:pPr>
      <w:r>
        <w:rPr>
          <w:b w:val="0"/>
          <w:i w:val="0"/>
          <w:color w:val="auto"/>
        </w:rPr>
        <w:t>Demand savings for PG&amp;E and SCE are presented in this work paper</w:t>
      </w:r>
      <w:r w:rsidR="003A3C5C">
        <w:rPr>
          <w:b w:val="0"/>
          <w:i w:val="0"/>
          <w:color w:val="auto"/>
        </w:rPr>
        <w:t xml:space="preserve"> using their respective peak demand factors</w:t>
      </w:r>
      <w:r>
        <w:rPr>
          <w:b w:val="0"/>
          <w:i w:val="0"/>
          <w:color w:val="auto"/>
        </w:rPr>
        <w:t xml:space="preserve">. Similar to the peak kW factor for PG&amp;E, the SCE peak kW factor of 0.000154 kW/kWh comes from the E3 calculator.  </w:t>
      </w:r>
    </w:p>
    <w:p w14:paraId="1BE9AF94" w14:textId="13D9DAC8" w:rsidR="00A12C9B" w:rsidRDefault="007878B9" w:rsidP="00537F31">
      <w:pPr>
        <w:pStyle w:val="Heading3-CalTFStyle31"/>
      </w:pPr>
      <w:bookmarkStart w:id="63" w:name="_Toc304800213"/>
      <w:bookmarkStart w:id="64" w:name="_Toc324318367"/>
      <w:bookmarkStart w:id="65" w:name="_Toc324340496"/>
      <w:bookmarkStart w:id="66" w:name="_Toc385592996"/>
      <w:r w:rsidRPr="001D4579">
        <w:t>Gas Energy Savings Estimation Methodologies</w:t>
      </w:r>
      <w:bookmarkStart w:id="67" w:name="_Toc304800214"/>
      <w:bookmarkStart w:id="68" w:name="_Toc324318368"/>
      <w:bookmarkStart w:id="69" w:name="_Toc324340497"/>
      <w:bookmarkEnd w:id="63"/>
      <w:bookmarkEnd w:id="64"/>
      <w:bookmarkEnd w:id="65"/>
      <w:bookmarkEnd w:id="66"/>
    </w:p>
    <w:p w14:paraId="0424E1FE" w14:textId="7E16326F" w:rsidR="00EE027F" w:rsidRDefault="00EE027F" w:rsidP="00EE027F">
      <w:pPr>
        <w:pStyle w:val="Heading3-CalTFStyle31"/>
        <w:numPr>
          <w:ilvl w:val="0"/>
          <w:numId w:val="0"/>
        </w:numPr>
        <w:rPr>
          <w:b w:val="0"/>
          <w:i w:val="0"/>
          <w:color w:val="auto"/>
        </w:rPr>
      </w:pPr>
      <w:r>
        <w:rPr>
          <w:b w:val="0"/>
          <w:i w:val="0"/>
          <w:color w:val="auto"/>
        </w:rPr>
        <w:t>Gas energy savings can be achieved through reductions in domestic hot water use and dryer energy use.</w:t>
      </w:r>
      <w:r w:rsidR="00096FD1">
        <w:rPr>
          <w:b w:val="0"/>
          <w:i w:val="0"/>
          <w:color w:val="auto"/>
        </w:rPr>
        <w:t xml:space="preserve"> Gas water heaters are assumed to have an efficiency of 75% per the 2012 Residential Clothes Washer TSD.</w:t>
      </w:r>
      <w:r w:rsidR="00096FD1">
        <w:rPr>
          <w:rStyle w:val="EndnoteReference"/>
          <w:b w:val="0"/>
          <w:i w:val="0"/>
          <w:color w:val="auto"/>
        </w:rPr>
        <w:endnoteReference w:id="22"/>
      </w:r>
      <w:r w:rsidR="00AE52E8">
        <w:rPr>
          <w:b w:val="0"/>
          <w:i w:val="0"/>
          <w:color w:val="auto"/>
        </w:rPr>
        <w:t xml:space="preserve"> </w:t>
      </w:r>
      <w:r w:rsidR="00EF3B11">
        <w:rPr>
          <w:b w:val="0"/>
          <w:i w:val="0"/>
          <w:color w:val="auto"/>
        </w:rPr>
        <w:t xml:space="preserve">Additionally, </w:t>
      </w:r>
      <w:r w:rsidR="00030B1D">
        <w:rPr>
          <w:b w:val="0"/>
          <w:i w:val="0"/>
          <w:color w:val="auto"/>
        </w:rPr>
        <w:t xml:space="preserve">a gas correction factor of 1.12 is applied to gas dryer use due to the additional energy used by gas dryers compared to electric dryers. This </w:t>
      </w:r>
      <w:r w:rsidR="00117358">
        <w:rPr>
          <w:b w:val="0"/>
          <w:i w:val="0"/>
          <w:color w:val="auto"/>
        </w:rPr>
        <w:t>correction factor</w:t>
      </w:r>
      <w:r w:rsidR="00030B1D">
        <w:rPr>
          <w:b w:val="0"/>
          <w:i w:val="0"/>
          <w:color w:val="auto"/>
        </w:rPr>
        <w:t xml:space="preserve"> also </w:t>
      </w:r>
      <w:r w:rsidR="003A3C5C">
        <w:rPr>
          <w:b w:val="0"/>
          <w:i w:val="0"/>
          <w:color w:val="auto"/>
        </w:rPr>
        <w:t>is</w:t>
      </w:r>
      <w:r w:rsidR="00030B1D">
        <w:rPr>
          <w:b w:val="0"/>
          <w:i w:val="0"/>
          <w:color w:val="auto"/>
        </w:rPr>
        <w:t xml:space="preserve"> from the 2012 Residential Clothes Washer TSD.</w:t>
      </w:r>
      <w:r w:rsidR="00030B1D">
        <w:rPr>
          <w:rStyle w:val="EndnoteReference"/>
          <w:b w:val="0"/>
          <w:i w:val="0"/>
          <w:color w:val="auto"/>
        </w:rPr>
        <w:endnoteReference w:id="23"/>
      </w:r>
      <w:r w:rsidR="00030B1D">
        <w:rPr>
          <w:b w:val="0"/>
          <w:i w:val="0"/>
          <w:color w:val="auto"/>
        </w:rPr>
        <w:t xml:space="preserve"> </w:t>
      </w:r>
      <w:r w:rsidR="00AE52E8">
        <w:rPr>
          <w:b w:val="0"/>
          <w:i w:val="0"/>
          <w:color w:val="auto"/>
        </w:rPr>
        <w:t>Gas energy savings are calculated using the energy consumption values in Tables 9 and 10 and weighted by the RASS DHW/dryer fuel combinations in Table 11.</w:t>
      </w:r>
    </w:p>
    <w:p w14:paraId="503EC21E" w14:textId="5827E293" w:rsidR="00D1108A" w:rsidRPr="000D1F51" w:rsidRDefault="00D1108A" w:rsidP="00D1108A">
      <w:pPr>
        <w:pStyle w:val="Heading3-CalTFStyle31"/>
        <w:numPr>
          <w:ilvl w:val="0"/>
          <w:numId w:val="0"/>
        </w:numPr>
        <w:rPr>
          <w:b w:val="0"/>
          <w:i w:val="0"/>
          <w:color w:val="auto"/>
        </w:rPr>
      </w:pPr>
      <w:r>
        <w:rPr>
          <w:b w:val="0"/>
          <w:i w:val="0"/>
          <w:color w:val="auto"/>
        </w:rPr>
        <w:t xml:space="preserve">Per cycle energy savings </w:t>
      </w:r>
      <w:r w:rsidR="006E3E71">
        <w:rPr>
          <w:b w:val="0"/>
          <w:i w:val="0"/>
          <w:color w:val="auto"/>
        </w:rPr>
        <w:t>are converted</w:t>
      </w:r>
      <w:r>
        <w:rPr>
          <w:b w:val="0"/>
          <w:i w:val="0"/>
          <w:color w:val="auto"/>
        </w:rPr>
        <w:t xml:space="preserve"> into annual savings assuming 295 cycles/year for residential clothes washers in single family homes in accordance with the 2012 Residential Clothes Washer TSD.</w:t>
      </w:r>
      <w:r>
        <w:rPr>
          <w:rStyle w:val="EndnoteReference"/>
          <w:b w:val="0"/>
          <w:i w:val="0"/>
          <w:color w:val="auto"/>
        </w:rPr>
        <w:endnoteReference w:id="24"/>
      </w:r>
      <w:r>
        <w:rPr>
          <w:b w:val="0"/>
          <w:i w:val="0"/>
          <w:color w:val="auto"/>
        </w:rPr>
        <w:t xml:space="preserve"> Similarly, 1241 cycles/year is used to </w:t>
      </w:r>
      <w:r w:rsidR="006E3E71">
        <w:rPr>
          <w:b w:val="0"/>
          <w:i w:val="0"/>
          <w:color w:val="auto"/>
        </w:rPr>
        <w:t>convert</w:t>
      </w:r>
      <w:r>
        <w:rPr>
          <w:b w:val="0"/>
          <w:i w:val="0"/>
          <w:color w:val="auto"/>
        </w:rPr>
        <w:t xml:space="preserve"> per cycle energy savings into annual savings for residential clothes washers in multi-family homes in accordance with the 20</w:t>
      </w:r>
      <w:r w:rsidR="008B1C4A">
        <w:rPr>
          <w:b w:val="0"/>
          <w:i w:val="0"/>
          <w:color w:val="auto"/>
        </w:rPr>
        <w:t>10</w:t>
      </w:r>
      <w:r>
        <w:rPr>
          <w:b w:val="0"/>
          <w:i w:val="0"/>
          <w:color w:val="auto"/>
        </w:rPr>
        <w:t xml:space="preserve"> Commercial Clothes Washer TSD.</w:t>
      </w:r>
      <w:r>
        <w:rPr>
          <w:rStyle w:val="EndnoteReference"/>
          <w:b w:val="0"/>
          <w:i w:val="0"/>
          <w:color w:val="auto"/>
        </w:rPr>
        <w:endnoteReference w:id="25"/>
      </w:r>
      <w:r>
        <w:rPr>
          <w:b w:val="0"/>
          <w:i w:val="0"/>
          <w:color w:val="auto"/>
        </w:rPr>
        <w:t xml:space="preserve">  </w:t>
      </w:r>
    </w:p>
    <w:p w14:paraId="43512E7C" w14:textId="3B368EEC" w:rsidR="001F0D38" w:rsidRDefault="001F0D38" w:rsidP="001F0D38">
      <w:pPr>
        <w:pStyle w:val="Heading1-CalTF"/>
      </w:pPr>
      <w:bookmarkStart w:id="70" w:name="_Toc385592997"/>
      <w:r>
        <w:t>Load Shapes</w:t>
      </w:r>
      <w:bookmarkEnd w:id="70"/>
    </w:p>
    <w:p w14:paraId="1A0589B8" w14:textId="35647A47" w:rsidR="001A6BC8" w:rsidRDefault="001A6BC8" w:rsidP="001F0D38">
      <w:pPr>
        <w:pStyle w:val="Reminder"/>
        <w:rPr>
          <w:rFonts w:ascii="Arial" w:hAnsi="Arial" w:cs="Arial"/>
          <w:i w:val="0"/>
          <w:sz w:val="20"/>
          <w:szCs w:val="20"/>
        </w:rPr>
      </w:pPr>
      <w:r>
        <w:rPr>
          <w:rFonts w:ascii="Arial" w:hAnsi="Arial" w:cs="Arial"/>
          <w:i w:val="0"/>
          <w:color w:val="auto"/>
          <w:sz w:val="20"/>
          <w:szCs w:val="20"/>
        </w:rPr>
        <w:lastRenderedPageBreak/>
        <w:t>The a</w:t>
      </w:r>
      <w:r w:rsidR="003D1EEF">
        <w:rPr>
          <w:rFonts w:ascii="Arial" w:hAnsi="Arial" w:cs="Arial"/>
          <w:i w:val="0"/>
          <w:color w:val="auto"/>
          <w:sz w:val="20"/>
          <w:szCs w:val="20"/>
        </w:rPr>
        <w:t>nalysis for this work paper</w:t>
      </w:r>
      <w:r>
        <w:rPr>
          <w:rFonts w:ascii="Arial" w:hAnsi="Arial" w:cs="Arial"/>
          <w:i w:val="0"/>
          <w:color w:val="auto"/>
          <w:sz w:val="20"/>
          <w:szCs w:val="20"/>
        </w:rPr>
        <w:t xml:space="preserve"> </w:t>
      </w:r>
      <w:r w:rsidR="00FA33EF">
        <w:rPr>
          <w:rFonts w:ascii="Arial" w:hAnsi="Arial" w:cs="Arial"/>
          <w:i w:val="0"/>
          <w:color w:val="auto"/>
          <w:sz w:val="20"/>
          <w:szCs w:val="20"/>
        </w:rPr>
        <w:t>includes</w:t>
      </w:r>
      <w:r>
        <w:rPr>
          <w:rFonts w:ascii="Arial" w:hAnsi="Arial" w:cs="Arial"/>
          <w:i w:val="0"/>
          <w:color w:val="auto"/>
          <w:sz w:val="20"/>
          <w:szCs w:val="20"/>
        </w:rPr>
        <w:t xml:space="preserve"> consideration of load shapes</w:t>
      </w:r>
      <w:r w:rsidR="005B6C4E">
        <w:rPr>
          <w:rFonts w:ascii="Arial" w:hAnsi="Arial" w:cs="Arial"/>
          <w:i w:val="0"/>
          <w:color w:val="auto"/>
          <w:sz w:val="20"/>
          <w:szCs w:val="20"/>
        </w:rPr>
        <w:t xml:space="preserve"> because the energy peak factor</w:t>
      </w:r>
      <w:r w:rsidR="00A82D33">
        <w:rPr>
          <w:rFonts w:ascii="Arial" w:hAnsi="Arial" w:cs="Arial"/>
          <w:i w:val="0"/>
          <w:color w:val="auto"/>
          <w:sz w:val="20"/>
          <w:szCs w:val="20"/>
        </w:rPr>
        <w:t>s</w:t>
      </w:r>
      <w:r w:rsidR="005B6C4E">
        <w:rPr>
          <w:rFonts w:ascii="Arial" w:hAnsi="Arial" w:cs="Arial"/>
          <w:i w:val="0"/>
          <w:color w:val="auto"/>
          <w:sz w:val="20"/>
          <w:szCs w:val="20"/>
        </w:rPr>
        <w:t xml:space="preserve"> </w:t>
      </w:r>
      <w:r w:rsidR="00A82D33">
        <w:rPr>
          <w:rFonts w:ascii="Arial" w:hAnsi="Arial" w:cs="Arial"/>
          <w:i w:val="0"/>
          <w:color w:val="auto"/>
          <w:sz w:val="20"/>
          <w:szCs w:val="20"/>
        </w:rPr>
        <w:t>are</w:t>
      </w:r>
      <w:r w:rsidR="005B6C4E">
        <w:rPr>
          <w:rFonts w:ascii="Arial" w:hAnsi="Arial" w:cs="Arial"/>
          <w:i w:val="0"/>
          <w:color w:val="auto"/>
          <w:sz w:val="20"/>
          <w:szCs w:val="20"/>
        </w:rPr>
        <w:t xml:space="preserve"> based off load shape data</w:t>
      </w:r>
      <w:r>
        <w:rPr>
          <w:rFonts w:ascii="Arial" w:hAnsi="Arial" w:cs="Arial"/>
          <w:i w:val="0"/>
          <w:color w:val="auto"/>
          <w:sz w:val="20"/>
          <w:szCs w:val="20"/>
        </w:rPr>
        <w:t xml:space="preserve">. The </w:t>
      </w:r>
      <w:r w:rsidR="00D92D3D">
        <w:rPr>
          <w:rFonts w:ascii="Arial" w:hAnsi="Arial" w:cs="Arial"/>
          <w:i w:val="0"/>
          <w:color w:val="auto"/>
          <w:sz w:val="20"/>
          <w:szCs w:val="20"/>
        </w:rPr>
        <w:t xml:space="preserve">occupancy type most applicable to this </w:t>
      </w:r>
      <w:r>
        <w:rPr>
          <w:rFonts w:ascii="Arial" w:hAnsi="Arial" w:cs="Arial"/>
          <w:i w:val="0"/>
          <w:color w:val="auto"/>
          <w:sz w:val="20"/>
          <w:szCs w:val="20"/>
        </w:rPr>
        <w:t>measure</w:t>
      </w:r>
      <w:r w:rsidR="00D92D3D">
        <w:rPr>
          <w:rFonts w:ascii="Arial" w:hAnsi="Arial" w:cs="Arial"/>
          <w:i w:val="0"/>
          <w:color w:val="auto"/>
          <w:sz w:val="20"/>
          <w:szCs w:val="20"/>
        </w:rPr>
        <w:t xml:space="preserve"> is the residential target sector, and the</w:t>
      </w:r>
      <w:r>
        <w:rPr>
          <w:rFonts w:ascii="Arial" w:hAnsi="Arial" w:cs="Arial"/>
          <w:i w:val="0"/>
          <w:color w:val="auto"/>
          <w:sz w:val="20"/>
          <w:szCs w:val="20"/>
        </w:rPr>
        <w:t xml:space="preserve"> load shape</w:t>
      </w:r>
      <w:r w:rsidR="00D92D3D">
        <w:rPr>
          <w:rFonts w:ascii="Arial" w:hAnsi="Arial" w:cs="Arial"/>
          <w:i w:val="0"/>
          <w:color w:val="auto"/>
          <w:sz w:val="20"/>
          <w:szCs w:val="20"/>
        </w:rPr>
        <w:t xml:space="preserve"> that </w:t>
      </w:r>
      <w:r>
        <w:rPr>
          <w:rFonts w:ascii="Arial" w:hAnsi="Arial" w:cs="Arial"/>
          <w:i w:val="0"/>
          <w:color w:val="auto"/>
          <w:sz w:val="20"/>
          <w:szCs w:val="20"/>
        </w:rPr>
        <w:t xml:space="preserve">most </w:t>
      </w:r>
      <w:r w:rsidR="00D92D3D">
        <w:rPr>
          <w:rFonts w:ascii="Arial" w:hAnsi="Arial" w:cs="Arial"/>
          <w:i w:val="0"/>
          <w:color w:val="auto"/>
          <w:sz w:val="20"/>
          <w:szCs w:val="20"/>
        </w:rPr>
        <w:t>closely fits is</w:t>
      </w:r>
      <w:r w:rsidR="00D92D3D" w:rsidRPr="00D92D3D">
        <w:rPr>
          <w:rFonts w:ascii="Arial" w:hAnsi="Arial" w:cs="Arial"/>
          <w:color w:val="auto"/>
          <w:sz w:val="20"/>
          <w:szCs w:val="20"/>
        </w:rPr>
        <w:t xml:space="preserve"> </w:t>
      </w:r>
      <w:r w:rsidR="00D92D3D" w:rsidRPr="00CA5C13">
        <w:rPr>
          <w:rFonts w:ascii="Arial" w:hAnsi="Arial" w:cs="Arial"/>
          <w:color w:val="auto"/>
          <w:sz w:val="20"/>
          <w:szCs w:val="20"/>
        </w:rPr>
        <w:t>DEER:Res_ClothesDishWasher</w:t>
      </w:r>
      <w:r>
        <w:rPr>
          <w:rFonts w:ascii="Arial" w:hAnsi="Arial" w:cs="Arial"/>
          <w:i w:val="0"/>
          <w:color w:val="auto"/>
          <w:sz w:val="20"/>
          <w:szCs w:val="20"/>
        </w:rPr>
        <w:t xml:space="preserve">. </w:t>
      </w:r>
      <w:r w:rsidR="00CA5C13" w:rsidRPr="00CA5C13">
        <w:rPr>
          <w:rFonts w:ascii="Arial" w:hAnsi="Arial" w:cs="Arial"/>
          <w:i w:val="0"/>
          <w:color w:val="auto"/>
          <w:sz w:val="20"/>
          <w:szCs w:val="20"/>
        </w:rPr>
        <w:t xml:space="preserve">The E3 Calculator contains a fixed set of load shapes selections that are the combination of the hourly avoided costs and the load shape data that was available at the time of the tool’s creation. </w:t>
      </w:r>
    </w:p>
    <w:p w14:paraId="5F2F9612" w14:textId="77777777" w:rsidR="001F0D38" w:rsidRPr="001F0D38" w:rsidRDefault="001F0D38" w:rsidP="001F0D38">
      <w:pPr>
        <w:rPr>
          <w:rFonts w:cs="Arial"/>
          <w:sz w:val="20"/>
          <w:szCs w:val="20"/>
        </w:rPr>
      </w:pPr>
    </w:p>
    <w:p w14:paraId="3DA89EFD" w14:textId="0BE576C3" w:rsidR="00817D29" w:rsidRDefault="009E0FB1" w:rsidP="00817D29">
      <w:pPr>
        <w:pStyle w:val="Heading1-CalTF"/>
      </w:pPr>
      <w:bookmarkStart w:id="71" w:name="_Toc304800217"/>
      <w:bookmarkStart w:id="72" w:name="_Toc324318371"/>
      <w:bookmarkStart w:id="73" w:name="_Toc324340500"/>
      <w:bookmarkStart w:id="74" w:name="_Toc385592998"/>
      <w:bookmarkEnd w:id="67"/>
      <w:bookmarkEnd w:id="68"/>
      <w:bookmarkEnd w:id="69"/>
      <w:r>
        <w:t>Base Case,</w:t>
      </w:r>
      <w:r w:rsidR="00C069A2" w:rsidRPr="001D4579">
        <w:t xml:space="preserve"> Measure</w:t>
      </w:r>
      <w:r>
        <w:t>, and Installation</w:t>
      </w:r>
      <w:r w:rsidR="00C069A2" w:rsidRPr="001D4579">
        <w:t xml:space="preserve"> Costs</w:t>
      </w:r>
      <w:bookmarkEnd w:id="71"/>
      <w:bookmarkEnd w:id="72"/>
      <w:bookmarkEnd w:id="73"/>
      <w:bookmarkEnd w:id="74"/>
    </w:p>
    <w:p w14:paraId="0854A68D" w14:textId="2EE9A693" w:rsidR="00817D29" w:rsidRPr="00817D29" w:rsidRDefault="00817D29" w:rsidP="00DA7C16">
      <w:pPr>
        <w:pStyle w:val="Caption"/>
        <w:spacing w:before="300" w:after="60"/>
      </w:pPr>
      <w:bookmarkStart w:id="75" w:name="_Toc385592678"/>
      <w:r>
        <w:t xml:space="preserve">Table </w:t>
      </w:r>
      <w:fldSimple w:instr=" SEQ Table \* ARABIC ">
        <w:r w:rsidR="00EC4C6F">
          <w:rPr>
            <w:noProof/>
          </w:rPr>
          <w:t>13</w:t>
        </w:r>
      </w:fldSimple>
      <w:r>
        <w:t xml:space="preserve">. </w:t>
      </w:r>
      <w:r w:rsidR="009E0FB1">
        <w:rPr>
          <w:b w:val="0"/>
        </w:rPr>
        <w:t>M</w:t>
      </w:r>
      <w:r>
        <w:rPr>
          <w:b w:val="0"/>
        </w:rPr>
        <w:t>easure cost</w:t>
      </w:r>
      <w:r w:rsidR="00980C54">
        <w:rPr>
          <w:b w:val="0"/>
        </w:rPr>
        <w:t xml:space="preserve"> summary</w:t>
      </w:r>
      <w:r>
        <w:rPr>
          <w:b w:val="0"/>
        </w:rPr>
        <w:t xml:space="preserve"> by application type</w:t>
      </w:r>
      <w:bookmarkEnd w:id="75"/>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1345"/>
        <w:gridCol w:w="1294"/>
        <w:gridCol w:w="1222"/>
        <w:gridCol w:w="1319"/>
        <w:gridCol w:w="1540"/>
        <w:gridCol w:w="1530"/>
      </w:tblGrid>
      <w:tr w:rsidR="00E271B3" w:rsidRPr="00817D29" w14:paraId="393A10DD" w14:textId="298CCFA2" w:rsidTr="00E271B3">
        <w:trPr>
          <w:trHeight w:val="255"/>
        </w:trPr>
        <w:tc>
          <w:tcPr>
            <w:tcW w:w="1195" w:type="dxa"/>
            <w:shd w:val="clear" w:color="auto" w:fill="D9D9D9" w:themeFill="background1" w:themeFillShade="D9"/>
            <w:noWrap/>
            <w:vAlign w:val="center"/>
          </w:tcPr>
          <w:p w14:paraId="393A10D9" w14:textId="77777777" w:rsidR="002C408C" w:rsidRPr="00817D29" w:rsidRDefault="002C408C" w:rsidP="009E0FB1">
            <w:pPr>
              <w:spacing w:before="60" w:after="60"/>
              <w:jc w:val="center"/>
              <w:rPr>
                <w:rFonts w:cs="Arial"/>
                <w:sz w:val="20"/>
                <w:szCs w:val="20"/>
              </w:rPr>
            </w:pPr>
            <w:bookmarkStart w:id="76" w:name="_Toc304800218"/>
            <w:r w:rsidRPr="00817D29">
              <w:rPr>
                <w:rFonts w:cs="Arial"/>
                <w:sz w:val="20"/>
                <w:szCs w:val="20"/>
              </w:rPr>
              <w:t>Measure Application Type</w:t>
            </w:r>
          </w:p>
        </w:tc>
        <w:tc>
          <w:tcPr>
            <w:tcW w:w="1345" w:type="dxa"/>
            <w:shd w:val="clear" w:color="auto" w:fill="D9D9D9" w:themeFill="background1" w:themeFillShade="D9"/>
            <w:vAlign w:val="center"/>
          </w:tcPr>
          <w:p w14:paraId="77DEE93C" w14:textId="77777777" w:rsidR="002C408C" w:rsidRDefault="002C408C" w:rsidP="009E0FB1">
            <w:pPr>
              <w:spacing w:before="60" w:after="60"/>
              <w:jc w:val="center"/>
              <w:rPr>
                <w:rFonts w:cs="Arial"/>
                <w:sz w:val="20"/>
                <w:szCs w:val="20"/>
              </w:rPr>
            </w:pPr>
            <w:r>
              <w:rPr>
                <w:rFonts w:cs="Arial"/>
                <w:sz w:val="20"/>
                <w:szCs w:val="20"/>
              </w:rPr>
              <w:t xml:space="preserve">Base Case </w:t>
            </w:r>
          </w:p>
          <w:p w14:paraId="2CE33A2B" w14:textId="3DA6A16D" w:rsidR="002C408C" w:rsidRDefault="002C408C" w:rsidP="009E0FB1">
            <w:pPr>
              <w:spacing w:before="60" w:after="60"/>
              <w:jc w:val="center"/>
              <w:rPr>
                <w:rFonts w:cs="Arial"/>
                <w:sz w:val="20"/>
                <w:szCs w:val="20"/>
              </w:rPr>
            </w:pPr>
            <w:r>
              <w:rPr>
                <w:rFonts w:cs="Arial"/>
                <w:sz w:val="20"/>
                <w:szCs w:val="20"/>
              </w:rPr>
              <w:t>Equipment Cost</w:t>
            </w:r>
          </w:p>
          <w:p w14:paraId="2882855A" w14:textId="243B53CC" w:rsidR="002C408C" w:rsidRDefault="002C408C" w:rsidP="009E0FB1">
            <w:pPr>
              <w:spacing w:before="60" w:after="60"/>
              <w:jc w:val="center"/>
              <w:rPr>
                <w:rFonts w:cs="Arial"/>
                <w:sz w:val="20"/>
                <w:szCs w:val="20"/>
              </w:rPr>
            </w:pPr>
            <w:r>
              <w:rPr>
                <w:rFonts w:cs="Arial"/>
                <w:sz w:val="20"/>
                <w:szCs w:val="20"/>
              </w:rPr>
              <w:t>($/unit)</w:t>
            </w:r>
          </w:p>
        </w:tc>
        <w:tc>
          <w:tcPr>
            <w:tcW w:w="1294" w:type="dxa"/>
            <w:shd w:val="clear" w:color="auto" w:fill="D9D9D9" w:themeFill="background1" w:themeFillShade="D9"/>
            <w:vAlign w:val="center"/>
          </w:tcPr>
          <w:p w14:paraId="554097E9" w14:textId="77777777" w:rsidR="002C408C" w:rsidRDefault="002C408C" w:rsidP="009E0FB1">
            <w:pPr>
              <w:spacing w:before="60" w:after="60"/>
              <w:jc w:val="center"/>
              <w:rPr>
                <w:rFonts w:cs="Arial"/>
                <w:sz w:val="20"/>
                <w:szCs w:val="20"/>
              </w:rPr>
            </w:pPr>
            <w:r>
              <w:rPr>
                <w:rFonts w:cs="Arial"/>
                <w:sz w:val="20"/>
                <w:szCs w:val="20"/>
              </w:rPr>
              <w:t xml:space="preserve">Measure </w:t>
            </w:r>
          </w:p>
          <w:p w14:paraId="507DDA51" w14:textId="2A10AA20" w:rsidR="002C408C" w:rsidRDefault="002C408C" w:rsidP="009E0FB1">
            <w:pPr>
              <w:spacing w:before="60" w:after="60"/>
              <w:jc w:val="center"/>
              <w:rPr>
                <w:rFonts w:cs="Arial"/>
                <w:sz w:val="20"/>
                <w:szCs w:val="20"/>
              </w:rPr>
            </w:pPr>
            <w:r>
              <w:rPr>
                <w:rFonts w:cs="Arial"/>
                <w:sz w:val="20"/>
                <w:szCs w:val="20"/>
              </w:rPr>
              <w:t xml:space="preserve">Equipment Cost </w:t>
            </w:r>
          </w:p>
          <w:p w14:paraId="0F6E6D06" w14:textId="072D4333" w:rsidR="002C408C" w:rsidRPr="00817D29" w:rsidRDefault="002C408C" w:rsidP="009E0FB1">
            <w:pPr>
              <w:spacing w:before="60" w:after="60"/>
              <w:jc w:val="center"/>
              <w:rPr>
                <w:rFonts w:cs="Arial"/>
                <w:sz w:val="20"/>
                <w:szCs w:val="20"/>
              </w:rPr>
            </w:pPr>
            <w:r>
              <w:rPr>
                <w:rFonts w:cs="Arial"/>
                <w:sz w:val="20"/>
                <w:szCs w:val="20"/>
              </w:rPr>
              <w:t>($/unit)</w:t>
            </w:r>
          </w:p>
        </w:tc>
        <w:tc>
          <w:tcPr>
            <w:tcW w:w="1222" w:type="dxa"/>
            <w:tcBorders>
              <w:bottom w:val="single" w:sz="4" w:space="0" w:color="auto"/>
            </w:tcBorders>
            <w:shd w:val="clear" w:color="auto" w:fill="D9D9D9" w:themeFill="background1" w:themeFillShade="D9"/>
            <w:vAlign w:val="center"/>
          </w:tcPr>
          <w:p w14:paraId="6E77B2F9" w14:textId="77777777" w:rsidR="002C408C" w:rsidRDefault="002C408C" w:rsidP="009E0FB1">
            <w:pPr>
              <w:spacing w:before="60" w:after="60"/>
              <w:jc w:val="center"/>
              <w:rPr>
                <w:rFonts w:cs="Arial"/>
                <w:sz w:val="20"/>
                <w:szCs w:val="20"/>
              </w:rPr>
            </w:pPr>
            <w:r>
              <w:rPr>
                <w:rFonts w:cs="Arial"/>
                <w:sz w:val="20"/>
                <w:szCs w:val="20"/>
              </w:rPr>
              <w:t xml:space="preserve">Installation Cost </w:t>
            </w:r>
          </w:p>
          <w:p w14:paraId="393A10DB" w14:textId="6D14EFD6" w:rsidR="002C408C" w:rsidRPr="009E0FB1" w:rsidRDefault="002C408C" w:rsidP="002C408C">
            <w:pPr>
              <w:spacing w:before="60" w:after="60"/>
              <w:jc w:val="center"/>
              <w:rPr>
                <w:rFonts w:cs="Arial"/>
                <w:sz w:val="20"/>
                <w:szCs w:val="20"/>
              </w:rPr>
            </w:pPr>
            <w:r>
              <w:rPr>
                <w:rFonts w:cs="Arial"/>
                <w:sz w:val="20"/>
                <w:szCs w:val="20"/>
              </w:rPr>
              <w:t>($/Unit)</w:t>
            </w:r>
          </w:p>
        </w:tc>
        <w:tc>
          <w:tcPr>
            <w:tcW w:w="1319" w:type="dxa"/>
            <w:shd w:val="clear" w:color="auto" w:fill="D9D9D9" w:themeFill="background1" w:themeFillShade="D9"/>
            <w:vAlign w:val="center"/>
          </w:tcPr>
          <w:p w14:paraId="136F46E4" w14:textId="77777777" w:rsidR="002C408C" w:rsidRDefault="002C408C" w:rsidP="009E0FB1">
            <w:pPr>
              <w:spacing w:before="60" w:after="60"/>
              <w:jc w:val="center"/>
              <w:rPr>
                <w:rFonts w:cs="Arial"/>
                <w:sz w:val="20"/>
                <w:szCs w:val="20"/>
              </w:rPr>
            </w:pPr>
            <w:r>
              <w:rPr>
                <w:rFonts w:cs="Arial"/>
                <w:sz w:val="20"/>
                <w:szCs w:val="20"/>
              </w:rPr>
              <w:t xml:space="preserve">Incremental Measure Cost </w:t>
            </w:r>
          </w:p>
          <w:p w14:paraId="2431E036" w14:textId="2EFF5D77" w:rsidR="002C408C" w:rsidRDefault="002C408C" w:rsidP="009E0FB1">
            <w:pPr>
              <w:spacing w:before="60" w:after="60"/>
              <w:jc w:val="center"/>
              <w:rPr>
                <w:rFonts w:cs="Arial"/>
                <w:sz w:val="20"/>
                <w:szCs w:val="20"/>
              </w:rPr>
            </w:pPr>
            <w:r>
              <w:rPr>
                <w:rFonts w:cs="Arial"/>
                <w:sz w:val="20"/>
                <w:szCs w:val="20"/>
              </w:rPr>
              <w:t>($/unit)</w:t>
            </w:r>
          </w:p>
        </w:tc>
        <w:tc>
          <w:tcPr>
            <w:tcW w:w="1540" w:type="dxa"/>
            <w:tcBorders>
              <w:bottom w:val="single" w:sz="4" w:space="0" w:color="auto"/>
            </w:tcBorders>
            <w:shd w:val="clear" w:color="auto" w:fill="D9D9D9" w:themeFill="background1" w:themeFillShade="D9"/>
            <w:vAlign w:val="center"/>
          </w:tcPr>
          <w:p w14:paraId="626075D2" w14:textId="77777777" w:rsidR="00E271B3" w:rsidRDefault="002C408C" w:rsidP="00E271B3">
            <w:pPr>
              <w:spacing w:before="60"/>
              <w:jc w:val="center"/>
              <w:rPr>
                <w:rFonts w:cs="Arial"/>
                <w:sz w:val="20"/>
                <w:szCs w:val="20"/>
              </w:rPr>
            </w:pPr>
            <w:r>
              <w:rPr>
                <w:rFonts w:cs="Arial"/>
                <w:sz w:val="20"/>
                <w:szCs w:val="20"/>
              </w:rPr>
              <w:t>Full Measure Cost</w:t>
            </w:r>
            <w:r w:rsidR="00E271B3">
              <w:rPr>
                <w:rFonts w:cs="Arial"/>
                <w:sz w:val="20"/>
                <w:szCs w:val="20"/>
              </w:rPr>
              <w:t xml:space="preserve"> </w:t>
            </w:r>
          </w:p>
          <w:p w14:paraId="50CBC514" w14:textId="3D008A9B" w:rsidR="002C408C" w:rsidRDefault="00E271B3" w:rsidP="00E271B3">
            <w:pPr>
              <w:jc w:val="center"/>
              <w:rPr>
                <w:rFonts w:cs="Arial"/>
                <w:sz w:val="20"/>
                <w:szCs w:val="20"/>
              </w:rPr>
            </w:pPr>
            <w:r>
              <w:rPr>
                <w:rFonts w:cs="Arial"/>
                <w:sz w:val="20"/>
                <w:szCs w:val="20"/>
              </w:rPr>
              <w:t>(1</w:t>
            </w:r>
            <w:r w:rsidRPr="00E271B3">
              <w:rPr>
                <w:rFonts w:cs="Arial"/>
                <w:sz w:val="20"/>
                <w:szCs w:val="20"/>
                <w:vertAlign w:val="superscript"/>
              </w:rPr>
              <w:t>st</w:t>
            </w:r>
            <w:r>
              <w:rPr>
                <w:rFonts w:cs="Arial"/>
                <w:sz w:val="20"/>
                <w:szCs w:val="20"/>
              </w:rPr>
              <w:t xml:space="preserve"> Baseline period)</w:t>
            </w:r>
            <w:r w:rsidR="002C408C">
              <w:rPr>
                <w:rStyle w:val="FootnoteReference"/>
                <w:rFonts w:cs="Arial"/>
                <w:sz w:val="20"/>
                <w:szCs w:val="20"/>
              </w:rPr>
              <w:footnoteReference w:id="3"/>
            </w:r>
            <w:r w:rsidR="002C408C">
              <w:rPr>
                <w:rFonts w:cs="Arial"/>
                <w:sz w:val="20"/>
                <w:szCs w:val="20"/>
              </w:rPr>
              <w:t xml:space="preserve"> </w:t>
            </w:r>
          </w:p>
          <w:p w14:paraId="58417014" w14:textId="3454678F" w:rsidR="002C408C" w:rsidRDefault="002C408C" w:rsidP="009E0FB1">
            <w:pPr>
              <w:spacing w:before="60" w:after="60"/>
              <w:jc w:val="center"/>
              <w:rPr>
                <w:rFonts w:cs="Arial"/>
                <w:sz w:val="20"/>
                <w:szCs w:val="20"/>
              </w:rPr>
            </w:pPr>
            <w:r>
              <w:rPr>
                <w:rFonts w:cs="Arial"/>
                <w:sz w:val="20"/>
                <w:szCs w:val="20"/>
              </w:rPr>
              <w:t>($/unit)</w:t>
            </w:r>
          </w:p>
        </w:tc>
        <w:tc>
          <w:tcPr>
            <w:tcW w:w="1530" w:type="dxa"/>
            <w:tcBorders>
              <w:bottom w:val="single" w:sz="4" w:space="0" w:color="auto"/>
            </w:tcBorders>
            <w:shd w:val="clear" w:color="auto" w:fill="D9D9D9" w:themeFill="background1" w:themeFillShade="D9"/>
            <w:vAlign w:val="center"/>
          </w:tcPr>
          <w:p w14:paraId="4F8832BC" w14:textId="77777777" w:rsidR="00E271B3" w:rsidRDefault="002C408C" w:rsidP="00E271B3">
            <w:pPr>
              <w:spacing w:before="60"/>
              <w:jc w:val="center"/>
              <w:rPr>
                <w:rFonts w:cs="Arial"/>
                <w:sz w:val="20"/>
                <w:szCs w:val="20"/>
              </w:rPr>
            </w:pPr>
            <w:r>
              <w:rPr>
                <w:rFonts w:cs="Arial"/>
                <w:sz w:val="20"/>
                <w:szCs w:val="20"/>
              </w:rPr>
              <w:t xml:space="preserve">Full Base Cost </w:t>
            </w:r>
          </w:p>
          <w:p w14:paraId="38EE1269" w14:textId="370F348F" w:rsidR="002C408C" w:rsidRDefault="002C408C" w:rsidP="00E271B3">
            <w:pPr>
              <w:jc w:val="center"/>
              <w:rPr>
                <w:rFonts w:cs="Arial"/>
                <w:sz w:val="20"/>
                <w:szCs w:val="20"/>
              </w:rPr>
            </w:pPr>
            <w:r>
              <w:rPr>
                <w:rFonts w:cs="Arial"/>
                <w:sz w:val="20"/>
                <w:szCs w:val="20"/>
              </w:rPr>
              <w:t>(2</w:t>
            </w:r>
            <w:r w:rsidRPr="002C408C">
              <w:rPr>
                <w:rFonts w:cs="Arial"/>
                <w:sz w:val="20"/>
                <w:szCs w:val="20"/>
                <w:vertAlign w:val="superscript"/>
              </w:rPr>
              <w:t>nd</w:t>
            </w:r>
            <w:r>
              <w:rPr>
                <w:rFonts w:cs="Arial"/>
                <w:sz w:val="20"/>
                <w:szCs w:val="20"/>
              </w:rPr>
              <w:t xml:space="preserve"> </w:t>
            </w:r>
            <w:r w:rsidR="00E271B3">
              <w:rPr>
                <w:rFonts w:cs="Arial"/>
                <w:sz w:val="20"/>
                <w:szCs w:val="20"/>
              </w:rPr>
              <w:t>b</w:t>
            </w:r>
            <w:r>
              <w:rPr>
                <w:rFonts w:cs="Arial"/>
                <w:sz w:val="20"/>
                <w:szCs w:val="20"/>
              </w:rPr>
              <w:t>aseline</w:t>
            </w:r>
            <w:r w:rsidR="00E271B3">
              <w:rPr>
                <w:rFonts w:cs="Arial"/>
                <w:sz w:val="20"/>
                <w:szCs w:val="20"/>
              </w:rPr>
              <w:t xml:space="preserve"> period</w:t>
            </w:r>
            <w:r>
              <w:rPr>
                <w:rFonts w:cs="Arial"/>
                <w:sz w:val="20"/>
                <w:szCs w:val="20"/>
              </w:rPr>
              <w:t>)</w:t>
            </w:r>
            <w:r>
              <w:rPr>
                <w:rStyle w:val="FootnoteReference"/>
                <w:rFonts w:cs="Arial"/>
                <w:sz w:val="20"/>
                <w:szCs w:val="20"/>
              </w:rPr>
              <w:footnoteReference w:id="4"/>
            </w:r>
          </w:p>
          <w:p w14:paraId="1A063F3D" w14:textId="161141EC" w:rsidR="002C408C" w:rsidRDefault="002C408C" w:rsidP="009E0FB1">
            <w:pPr>
              <w:spacing w:before="60" w:after="60"/>
              <w:jc w:val="center"/>
              <w:rPr>
                <w:rFonts w:cs="Arial"/>
                <w:sz w:val="20"/>
                <w:szCs w:val="20"/>
              </w:rPr>
            </w:pPr>
            <w:r>
              <w:rPr>
                <w:rFonts w:cs="Arial"/>
                <w:sz w:val="20"/>
                <w:szCs w:val="20"/>
              </w:rPr>
              <w:t>($/unit)</w:t>
            </w:r>
          </w:p>
        </w:tc>
      </w:tr>
      <w:tr w:rsidR="00E271B3" w:rsidRPr="00817D29" w14:paraId="393A10E7" w14:textId="7CB4C246" w:rsidTr="00E271B3">
        <w:trPr>
          <w:trHeight w:val="170"/>
        </w:trPr>
        <w:tc>
          <w:tcPr>
            <w:tcW w:w="1195" w:type="dxa"/>
            <w:shd w:val="clear" w:color="auto" w:fill="auto"/>
            <w:noWrap/>
            <w:vAlign w:val="center"/>
          </w:tcPr>
          <w:p w14:paraId="393A10E3" w14:textId="20451A5E" w:rsidR="002C408C" w:rsidRPr="009E0FB1" w:rsidRDefault="002C408C" w:rsidP="009E0FB1">
            <w:pPr>
              <w:spacing w:before="60" w:after="60"/>
              <w:jc w:val="center"/>
              <w:rPr>
                <w:rFonts w:cs="Arial"/>
                <w:b/>
                <w:sz w:val="20"/>
                <w:szCs w:val="20"/>
              </w:rPr>
            </w:pPr>
            <w:r w:rsidRPr="009E0FB1">
              <w:rPr>
                <w:rStyle w:val="Strong"/>
                <w:b w:val="0"/>
              </w:rPr>
              <w:t>ROB</w:t>
            </w:r>
          </w:p>
        </w:tc>
        <w:tc>
          <w:tcPr>
            <w:tcW w:w="1345" w:type="dxa"/>
            <w:vAlign w:val="center"/>
          </w:tcPr>
          <w:p w14:paraId="40870DF0" w14:textId="77777777" w:rsidR="002C408C" w:rsidRPr="00817D29" w:rsidRDefault="002C408C" w:rsidP="009E0FB1">
            <w:pPr>
              <w:spacing w:before="60" w:after="60"/>
              <w:jc w:val="center"/>
              <w:rPr>
                <w:rFonts w:cs="Arial"/>
                <w:sz w:val="20"/>
                <w:szCs w:val="20"/>
              </w:rPr>
            </w:pPr>
          </w:p>
        </w:tc>
        <w:tc>
          <w:tcPr>
            <w:tcW w:w="1294" w:type="dxa"/>
            <w:vAlign w:val="center"/>
          </w:tcPr>
          <w:p w14:paraId="6A5F769F" w14:textId="32429CD3" w:rsidR="002C408C" w:rsidRPr="00817D29" w:rsidRDefault="002C408C" w:rsidP="009E0FB1">
            <w:pPr>
              <w:spacing w:before="60" w:after="60"/>
              <w:jc w:val="center"/>
              <w:rPr>
                <w:rFonts w:cs="Arial"/>
                <w:sz w:val="20"/>
                <w:szCs w:val="20"/>
              </w:rPr>
            </w:pPr>
          </w:p>
        </w:tc>
        <w:tc>
          <w:tcPr>
            <w:tcW w:w="1222" w:type="dxa"/>
            <w:shd w:val="thinDiagStripe" w:color="BFBFBF" w:themeColor="background1" w:themeShade="BF" w:fill="auto"/>
            <w:vAlign w:val="center"/>
          </w:tcPr>
          <w:p w14:paraId="393A10E5" w14:textId="23243EF5" w:rsidR="002C408C" w:rsidRPr="00817D29" w:rsidRDefault="002C408C" w:rsidP="009E0FB1">
            <w:pPr>
              <w:spacing w:before="60" w:after="60"/>
              <w:jc w:val="center"/>
              <w:rPr>
                <w:rFonts w:cs="Arial"/>
                <w:sz w:val="20"/>
                <w:szCs w:val="20"/>
              </w:rPr>
            </w:pPr>
            <w:r>
              <w:rPr>
                <w:rFonts w:cs="Arial"/>
                <w:sz w:val="20"/>
                <w:szCs w:val="20"/>
              </w:rPr>
              <w:t>N/A</w:t>
            </w:r>
          </w:p>
        </w:tc>
        <w:tc>
          <w:tcPr>
            <w:tcW w:w="1319" w:type="dxa"/>
            <w:tcBorders>
              <w:bottom w:val="single" w:sz="4" w:space="0" w:color="auto"/>
            </w:tcBorders>
          </w:tcPr>
          <w:p w14:paraId="68F4FF19" w14:textId="77777777" w:rsidR="002C408C" w:rsidRPr="00817D29" w:rsidRDefault="002C408C" w:rsidP="009E0FB1">
            <w:pPr>
              <w:spacing w:before="60" w:after="60"/>
              <w:jc w:val="center"/>
              <w:rPr>
                <w:rFonts w:cs="Arial"/>
                <w:sz w:val="20"/>
                <w:szCs w:val="20"/>
              </w:rPr>
            </w:pPr>
          </w:p>
        </w:tc>
        <w:tc>
          <w:tcPr>
            <w:tcW w:w="1540" w:type="dxa"/>
            <w:shd w:val="thinDiagStripe" w:color="BFBFBF" w:themeColor="background1" w:themeShade="BF" w:fill="auto"/>
            <w:vAlign w:val="center"/>
          </w:tcPr>
          <w:p w14:paraId="74C09D7D" w14:textId="2515A3E1" w:rsidR="002C408C" w:rsidRPr="00817D29" w:rsidRDefault="002C408C" w:rsidP="009E0FB1">
            <w:pPr>
              <w:spacing w:before="60" w:after="60"/>
              <w:jc w:val="center"/>
              <w:rPr>
                <w:rFonts w:cs="Arial"/>
                <w:sz w:val="20"/>
                <w:szCs w:val="20"/>
              </w:rPr>
            </w:pPr>
            <w:r>
              <w:rPr>
                <w:rFonts w:cs="Arial"/>
                <w:sz w:val="20"/>
                <w:szCs w:val="20"/>
              </w:rPr>
              <w:t>N/A</w:t>
            </w:r>
          </w:p>
        </w:tc>
        <w:tc>
          <w:tcPr>
            <w:tcW w:w="1530" w:type="dxa"/>
            <w:shd w:val="thinDiagStripe" w:color="BFBFBF" w:themeColor="background1" w:themeShade="BF" w:fill="auto"/>
            <w:vAlign w:val="center"/>
          </w:tcPr>
          <w:p w14:paraId="3D8E03B2" w14:textId="2F1AAFEF" w:rsidR="002C408C" w:rsidRDefault="002C408C" w:rsidP="009E0FB1">
            <w:pPr>
              <w:spacing w:before="60" w:after="60"/>
              <w:jc w:val="center"/>
              <w:rPr>
                <w:rFonts w:cs="Arial"/>
                <w:sz w:val="20"/>
                <w:szCs w:val="20"/>
              </w:rPr>
            </w:pPr>
            <w:r>
              <w:rPr>
                <w:rFonts w:cs="Arial"/>
                <w:sz w:val="20"/>
                <w:szCs w:val="20"/>
              </w:rPr>
              <w:t>N/A</w:t>
            </w:r>
          </w:p>
        </w:tc>
      </w:tr>
      <w:tr w:rsidR="00DC4C2C" w:rsidRPr="00817D29" w14:paraId="4BA6A0FD" w14:textId="77777777" w:rsidTr="00E271B3">
        <w:trPr>
          <w:trHeight w:val="170"/>
        </w:trPr>
        <w:tc>
          <w:tcPr>
            <w:tcW w:w="1195" w:type="dxa"/>
            <w:shd w:val="clear" w:color="auto" w:fill="auto"/>
            <w:noWrap/>
            <w:vAlign w:val="center"/>
          </w:tcPr>
          <w:p w14:paraId="6338967F" w14:textId="527AFA60" w:rsidR="00DC4C2C" w:rsidRPr="009E0FB1" w:rsidRDefault="00DC4C2C" w:rsidP="009E0FB1">
            <w:pPr>
              <w:spacing w:before="60" w:after="60"/>
              <w:jc w:val="center"/>
              <w:rPr>
                <w:rStyle w:val="Strong"/>
                <w:b w:val="0"/>
              </w:rPr>
            </w:pPr>
            <w:r>
              <w:rPr>
                <w:rStyle w:val="Strong"/>
                <w:b w:val="0"/>
              </w:rPr>
              <w:t>NC</w:t>
            </w:r>
          </w:p>
        </w:tc>
        <w:tc>
          <w:tcPr>
            <w:tcW w:w="1345" w:type="dxa"/>
            <w:vAlign w:val="center"/>
          </w:tcPr>
          <w:p w14:paraId="0CF26C44" w14:textId="77777777" w:rsidR="00DC4C2C" w:rsidRPr="00817D29" w:rsidRDefault="00DC4C2C" w:rsidP="009E0FB1">
            <w:pPr>
              <w:spacing w:before="60" w:after="60"/>
              <w:jc w:val="center"/>
              <w:rPr>
                <w:rFonts w:cs="Arial"/>
                <w:sz w:val="20"/>
                <w:szCs w:val="20"/>
              </w:rPr>
            </w:pPr>
          </w:p>
        </w:tc>
        <w:tc>
          <w:tcPr>
            <w:tcW w:w="1294" w:type="dxa"/>
            <w:vAlign w:val="center"/>
          </w:tcPr>
          <w:p w14:paraId="4B303648" w14:textId="77777777" w:rsidR="00DC4C2C" w:rsidRPr="00817D29" w:rsidRDefault="00DC4C2C" w:rsidP="009E0FB1">
            <w:pPr>
              <w:spacing w:before="60" w:after="60"/>
              <w:jc w:val="center"/>
              <w:rPr>
                <w:rFonts w:cs="Arial"/>
                <w:sz w:val="20"/>
                <w:szCs w:val="20"/>
              </w:rPr>
            </w:pPr>
          </w:p>
        </w:tc>
        <w:tc>
          <w:tcPr>
            <w:tcW w:w="1222" w:type="dxa"/>
            <w:shd w:val="thinDiagStripe" w:color="BFBFBF" w:themeColor="background1" w:themeShade="BF" w:fill="auto"/>
            <w:vAlign w:val="center"/>
          </w:tcPr>
          <w:p w14:paraId="139F503C" w14:textId="52E4275D" w:rsidR="00DC4C2C" w:rsidRDefault="00DC4C2C" w:rsidP="009E0FB1">
            <w:pPr>
              <w:spacing w:before="60" w:after="60"/>
              <w:jc w:val="center"/>
              <w:rPr>
                <w:rFonts w:cs="Arial"/>
                <w:sz w:val="20"/>
                <w:szCs w:val="20"/>
              </w:rPr>
            </w:pPr>
            <w:r>
              <w:rPr>
                <w:rFonts w:cs="Arial"/>
                <w:sz w:val="20"/>
                <w:szCs w:val="20"/>
              </w:rPr>
              <w:t>N/A</w:t>
            </w:r>
          </w:p>
        </w:tc>
        <w:tc>
          <w:tcPr>
            <w:tcW w:w="1319" w:type="dxa"/>
            <w:tcBorders>
              <w:bottom w:val="single" w:sz="4" w:space="0" w:color="auto"/>
            </w:tcBorders>
          </w:tcPr>
          <w:p w14:paraId="61D5CCBC" w14:textId="77777777" w:rsidR="00DC4C2C" w:rsidRPr="00817D29" w:rsidRDefault="00DC4C2C" w:rsidP="009E0FB1">
            <w:pPr>
              <w:spacing w:before="60" w:after="60"/>
              <w:jc w:val="center"/>
              <w:rPr>
                <w:rFonts w:cs="Arial"/>
                <w:sz w:val="20"/>
                <w:szCs w:val="20"/>
              </w:rPr>
            </w:pPr>
          </w:p>
        </w:tc>
        <w:tc>
          <w:tcPr>
            <w:tcW w:w="1540" w:type="dxa"/>
            <w:shd w:val="thinDiagStripe" w:color="BFBFBF" w:themeColor="background1" w:themeShade="BF" w:fill="auto"/>
            <w:vAlign w:val="center"/>
          </w:tcPr>
          <w:p w14:paraId="621C3850" w14:textId="15C7099B" w:rsidR="00DC4C2C" w:rsidRDefault="00DC4C2C" w:rsidP="009E0FB1">
            <w:pPr>
              <w:spacing w:before="60" w:after="60"/>
              <w:jc w:val="center"/>
              <w:rPr>
                <w:rFonts w:cs="Arial"/>
                <w:sz w:val="20"/>
                <w:szCs w:val="20"/>
              </w:rPr>
            </w:pPr>
            <w:r>
              <w:rPr>
                <w:rFonts w:cs="Arial"/>
                <w:sz w:val="20"/>
                <w:szCs w:val="20"/>
              </w:rPr>
              <w:t>N/A</w:t>
            </w:r>
          </w:p>
        </w:tc>
        <w:tc>
          <w:tcPr>
            <w:tcW w:w="1530" w:type="dxa"/>
            <w:shd w:val="thinDiagStripe" w:color="BFBFBF" w:themeColor="background1" w:themeShade="BF" w:fill="auto"/>
            <w:vAlign w:val="center"/>
          </w:tcPr>
          <w:p w14:paraId="6FA9441B" w14:textId="0FC84B97" w:rsidR="00DC4C2C" w:rsidRDefault="00DC4C2C" w:rsidP="009E0FB1">
            <w:pPr>
              <w:spacing w:before="60" w:after="60"/>
              <w:jc w:val="center"/>
              <w:rPr>
                <w:rFonts w:cs="Arial"/>
                <w:sz w:val="20"/>
                <w:szCs w:val="20"/>
              </w:rPr>
            </w:pPr>
            <w:r>
              <w:rPr>
                <w:rFonts w:cs="Arial"/>
                <w:sz w:val="20"/>
                <w:szCs w:val="20"/>
              </w:rPr>
              <w:t>N/A</w:t>
            </w:r>
          </w:p>
        </w:tc>
      </w:tr>
      <w:tr w:rsidR="00E271B3" w:rsidRPr="00817D29" w14:paraId="314ADFEC" w14:textId="0C309EB5" w:rsidTr="00E271B3">
        <w:trPr>
          <w:trHeight w:val="1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A5C6" w14:textId="210374D7" w:rsidR="002C408C" w:rsidRPr="009E0FB1" w:rsidRDefault="002C408C" w:rsidP="009E0FB1">
            <w:pPr>
              <w:spacing w:before="60" w:after="60"/>
              <w:jc w:val="center"/>
              <w:rPr>
                <w:rFonts w:cs="Arial"/>
                <w:bCs/>
                <w:sz w:val="20"/>
                <w:szCs w:val="20"/>
              </w:rPr>
            </w:pPr>
            <w:r>
              <w:rPr>
                <w:rFonts w:cs="Arial"/>
                <w:bCs/>
                <w:sz w:val="20"/>
                <w:szCs w:val="20"/>
              </w:rPr>
              <w:t>ER</w:t>
            </w:r>
          </w:p>
        </w:tc>
        <w:tc>
          <w:tcPr>
            <w:tcW w:w="1345" w:type="dxa"/>
            <w:tcBorders>
              <w:top w:val="single" w:sz="4" w:space="0" w:color="auto"/>
              <w:left w:val="single" w:sz="4" w:space="0" w:color="auto"/>
              <w:bottom w:val="single" w:sz="4" w:space="0" w:color="auto"/>
              <w:right w:val="single" w:sz="4" w:space="0" w:color="auto"/>
            </w:tcBorders>
            <w:vAlign w:val="center"/>
          </w:tcPr>
          <w:p w14:paraId="4D18B8B7" w14:textId="5F98A341" w:rsidR="002C408C" w:rsidRDefault="00A80055" w:rsidP="009E0FB1">
            <w:pPr>
              <w:spacing w:before="60" w:after="60"/>
              <w:jc w:val="center"/>
              <w:rPr>
                <w:rFonts w:cs="Arial"/>
                <w:sz w:val="20"/>
                <w:szCs w:val="20"/>
              </w:rPr>
            </w:pPr>
            <w:r>
              <w:rPr>
                <w:rFonts w:cs="Arial"/>
                <w:sz w:val="20"/>
                <w:szCs w:val="20"/>
              </w:rPr>
              <w:t>$0</w:t>
            </w:r>
          </w:p>
        </w:tc>
        <w:tc>
          <w:tcPr>
            <w:tcW w:w="1294" w:type="dxa"/>
            <w:tcBorders>
              <w:top w:val="single" w:sz="4" w:space="0" w:color="auto"/>
              <w:left w:val="single" w:sz="4" w:space="0" w:color="auto"/>
              <w:bottom w:val="single" w:sz="4" w:space="0" w:color="auto"/>
              <w:right w:val="single" w:sz="4" w:space="0" w:color="auto"/>
            </w:tcBorders>
            <w:vAlign w:val="center"/>
          </w:tcPr>
          <w:p w14:paraId="77F4B280" w14:textId="7DBBDC03" w:rsidR="002C408C" w:rsidRDefault="00A80055" w:rsidP="009E0FB1">
            <w:pPr>
              <w:spacing w:before="60" w:after="60"/>
              <w:jc w:val="center"/>
              <w:rPr>
                <w:rFonts w:cs="Arial"/>
                <w:sz w:val="20"/>
                <w:szCs w:val="20"/>
              </w:rPr>
            </w:pPr>
            <w:r>
              <w:rPr>
                <w:rFonts w:cs="Arial"/>
                <w:sz w:val="20"/>
                <w:szCs w:val="20"/>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9A798BA" w14:textId="2AF460CB" w:rsidR="002C408C" w:rsidRPr="00817D29" w:rsidRDefault="00A80055" w:rsidP="009E0FB1">
            <w:pPr>
              <w:spacing w:before="60" w:after="60"/>
              <w:jc w:val="center"/>
              <w:rPr>
                <w:rFonts w:cs="Arial"/>
                <w:sz w:val="20"/>
                <w:szCs w:val="20"/>
              </w:rPr>
            </w:pPr>
            <w:r>
              <w:rPr>
                <w:rFonts w:cs="Arial"/>
                <w:sz w:val="20"/>
                <w:szCs w:val="20"/>
              </w:rPr>
              <w:t>$0</w:t>
            </w:r>
          </w:p>
        </w:tc>
        <w:tc>
          <w:tcPr>
            <w:tcW w:w="1319" w:type="dxa"/>
            <w:tcBorders>
              <w:top w:val="single" w:sz="4" w:space="0" w:color="auto"/>
              <w:left w:val="single" w:sz="4" w:space="0" w:color="auto"/>
              <w:bottom w:val="single" w:sz="4" w:space="0" w:color="auto"/>
              <w:right w:val="single" w:sz="4" w:space="0" w:color="auto"/>
            </w:tcBorders>
            <w:shd w:val="thinDiagStripe" w:color="BFBFBF" w:themeColor="background1" w:themeShade="BF" w:fill="auto"/>
          </w:tcPr>
          <w:p w14:paraId="755A455F" w14:textId="652E87C0" w:rsidR="002C408C" w:rsidRPr="00817D29" w:rsidRDefault="002C408C" w:rsidP="009E0FB1">
            <w:pPr>
              <w:spacing w:before="60" w:after="60"/>
              <w:jc w:val="center"/>
              <w:rPr>
                <w:rFonts w:cs="Arial"/>
                <w:sz w:val="20"/>
                <w:szCs w:val="20"/>
              </w:rPr>
            </w:pPr>
            <w:r>
              <w:rPr>
                <w:rFonts w:cs="Arial"/>
                <w:sz w:val="20"/>
                <w:szCs w:val="20"/>
              </w:rPr>
              <w:t>N/A</w:t>
            </w:r>
            <w:r w:rsidR="00DC4C2C">
              <w:rPr>
                <w:rFonts w:cs="Arial"/>
                <w:sz w:val="20"/>
                <w:szCs w:val="20"/>
              </w:rPr>
              <w:t>*</w:t>
            </w:r>
          </w:p>
        </w:tc>
        <w:tc>
          <w:tcPr>
            <w:tcW w:w="1540" w:type="dxa"/>
            <w:tcBorders>
              <w:top w:val="single" w:sz="4" w:space="0" w:color="auto"/>
              <w:left w:val="single" w:sz="4" w:space="0" w:color="auto"/>
              <w:bottom w:val="single" w:sz="4" w:space="0" w:color="auto"/>
              <w:right w:val="single" w:sz="4" w:space="0" w:color="auto"/>
            </w:tcBorders>
          </w:tcPr>
          <w:p w14:paraId="2E0A475A" w14:textId="7C320F67" w:rsidR="002C408C" w:rsidRPr="00817D29" w:rsidRDefault="00A80055" w:rsidP="009E0FB1">
            <w:pPr>
              <w:spacing w:before="60" w:after="60"/>
              <w:jc w:val="center"/>
              <w:rPr>
                <w:rFonts w:cs="Arial"/>
                <w:sz w:val="20"/>
                <w:szCs w:val="20"/>
              </w:rPr>
            </w:pPr>
            <w:r>
              <w:rPr>
                <w:rFonts w:cs="Arial"/>
                <w:sz w:val="20"/>
                <w:szCs w:val="20"/>
              </w:rPr>
              <w:t>$0</w:t>
            </w:r>
          </w:p>
        </w:tc>
        <w:tc>
          <w:tcPr>
            <w:tcW w:w="1530" w:type="dxa"/>
            <w:tcBorders>
              <w:top w:val="single" w:sz="4" w:space="0" w:color="auto"/>
              <w:left w:val="single" w:sz="4" w:space="0" w:color="auto"/>
              <w:bottom w:val="single" w:sz="4" w:space="0" w:color="auto"/>
              <w:right w:val="single" w:sz="4" w:space="0" w:color="auto"/>
            </w:tcBorders>
          </w:tcPr>
          <w:p w14:paraId="40452D77" w14:textId="181F2B4F" w:rsidR="002C408C" w:rsidRPr="00817D29" w:rsidRDefault="00B207D1" w:rsidP="009E0FB1">
            <w:pPr>
              <w:spacing w:before="60" w:after="60"/>
              <w:jc w:val="center"/>
              <w:rPr>
                <w:rFonts w:cs="Arial"/>
                <w:sz w:val="20"/>
                <w:szCs w:val="20"/>
              </w:rPr>
            </w:pPr>
            <w:r>
              <w:rPr>
                <w:rFonts w:cs="Arial"/>
                <w:sz w:val="20"/>
                <w:szCs w:val="20"/>
              </w:rPr>
              <w:t>N/A</w:t>
            </w:r>
          </w:p>
        </w:tc>
      </w:tr>
      <w:tr w:rsidR="009F0DDC" w:rsidRPr="00817D29" w14:paraId="632C7C4E" w14:textId="77777777" w:rsidTr="00E271B3">
        <w:trPr>
          <w:trHeight w:val="17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E2650" w14:textId="3CA9A277" w:rsidR="009F0DDC" w:rsidRDefault="009F0DDC" w:rsidP="009E0FB1">
            <w:pPr>
              <w:spacing w:before="60" w:after="60"/>
              <w:jc w:val="center"/>
              <w:rPr>
                <w:rFonts w:cs="Arial"/>
                <w:bCs/>
                <w:sz w:val="20"/>
                <w:szCs w:val="20"/>
              </w:rPr>
            </w:pPr>
            <w:r>
              <w:rPr>
                <w:rFonts w:cs="Arial"/>
                <w:bCs/>
                <w:sz w:val="20"/>
                <w:szCs w:val="20"/>
              </w:rPr>
              <w:t>REA</w:t>
            </w:r>
          </w:p>
        </w:tc>
        <w:tc>
          <w:tcPr>
            <w:tcW w:w="1345" w:type="dxa"/>
            <w:tcBorders>
              <w:top w:val="single" w:sz="4" w:space="0" w:color="auto"/>
              <w:left w:val="single" w:sz="4" w:space="0" w:color="auto"/>
              <w:bottom w:val="single" w:sz="4" w:space="0" w:color="auto"/>
              <w:right w:val="single" w:sz="4" w:space="0" w:color="auto"/>
            </w:tcBorders>
            <w:vAlign w:val="center"/>
          </w:tcPr>
          <w:p w14:paraId="16508A88" w14:textId="77777777" w:rsidR="009F0DDC" w:rsidRDefault="009F0DDC" w:rsidP="009E0FB1">
            <w:pPr>
              <w:spacing w:before="60" w:after="60"/>
              <w:jc w:val="center"/>
              <w:rPr>
                <w:rFonts w:cs="Arial"/>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2ADF311D" w14:textId="77777777" w:rsidR="009F0DDC" w:rsidRDefault="009F0DDC" w:rsidP="009E0FB1">
            <w:pPr>
              <w:spacing w:before="60" w:after="60"/>
              <w:jc w:val="cente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F6BF7BB" w14:textId="77777777" w:rsidR="009F0DDC" w:rsidRPr="00817D29" w:rsidRDefault="009F0DDC" w:rsidP="009E0FB1">
            <w:pPr>
              <w:spacing w:before="60" w:after="60"/>
              <w:jc w:val="center"/>
              <w:rPr>
                <w:rFonts w:cs="Arial"/>
                <w:sz w:val="20"/>
                <w:szCs w:val="20"/>
              </w:rPr>
            </w:pPr>
          </w:p>
        </w:tc>
        <w:tc>
          <w:tcPr>
            <w:tcW w:w="1319" w:type="dxa"/>
            <w:tcBorders>
              <w:top w:val="single" w:sz="4" w:space="0" w:color="auto"/>
              <w:left w:val="single" w:sz="4" w:space="0" w:color="auto"/>
              <w:bottom w:val="single" w:sz="4" w:space="0" w:color="auto"/>
              <w:right w:val="single" w:sz="4" w:space="0" w:color="auto"/>
            </w:tcBorders>
            <w:shd w:val="thinDiagStripe" w:color="BFBFBF" w:themeColor="background1" w:themeShade="BF" w:fill="auto"/>
          </w:tcPr>
          <w:p w14:paraId="7C0BA4BC" w14:textId="297CB8AD" w:rsidR="009F0DDC" w:rsidRDefault="008902CA" w:rsidP="009E0FB1">
            <w:pPr>
              <w:spacing w:before="60" w:after="60"/>
              <w:jc w:val="center"/>
              <w:rPr>
                <w:rFonts w:cs="Arial"/>
                <w:sz w:val="20"/>
                <w:szCs w:val="20"/>
              </w:rPr>
            </w:pPr>
            <w:r>
              <w:rPr>
                <w:rFonts w:cs="Arial"/>
                <w:sz w:val="20"/>
                <w:szCs w:val="20"/>
              </w:rPr>
              <w:t>N/A*</w:t>
            </w:r>
          </w:p>
        </w:tc>
        <w:tc>
          <w:tcPr>
            <w:tcW w:w="1540" w:type="dxa"/>
            <w:tcBorders>
              <w:top w:val="single" w:sz="4" w:space="0" w:color="auto"/>
              <w:left w:val="single" w:sz="4" w:space="0" w:color="auto"/>
              <w:bottom w:val="single" w:sz="4" w:space="0" w:color="auto"/>
              <w:right w:val="single" w:sz="4" w:space="0" w:color="auto"/>
            </w:tcBorders>
          </w:tcPr>
          <w:p w14:paraId="65BBBE66" w14:textId="77777777" w:rsidR="009F0DDC" w:rsidRPr="00817D29" w:rsidRDefault="009F0DDC" w:rsidP="009E0FB1">
            <w:pPr>
              <w:spacing w:before="60" w:after="60"/>
              <w:jc w:val="center"/>
              <w:rPr>
                <w:rFonts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E8443DE" w14:textId="77777777" w:rsidR="009F0DDC" w:rsidRPr="00817D29" w:rsidRDefault="009F0DDC" w:rsidP="009E0FB1">
            <w:pPr>
              <w:spacing w:before="60" w:after="60"/>
              <w:jc w:val="center"/>
              <w:rPr>
                <w:rFonts w:cs="Arial"/>
                <w:sz w:val="20"/>
                <w:szCs w:val="20"/>
              </w:rPr>
            </w:pPr>
          </w:p>
        </w:tc>
      </w:tr>
    </w:tbl>
    <w:p w14:paraId="2D5FC9D5" w14:textId="122AFDF0" w:rsidR="00E4452C" w:rsidRDefault="00DC4C2C" w:rsidP="00E4452C">
      <w:pPr>
        <w:rPr>
          <w:rFonts w:cs="Arial"/>
          <w:sz w:val="20"/>
          <w:szCs w:val="20"/>
        </w:rPr>
      </w:pPr>
      <w:r>
        <w:rPr>
          <w:rFonts w:cs="Arial"/>
          <w:sz w:val="20"/>
          <w:szCs w:val="20"/>
        </w:rPr>
        <w:t>* IMC may be useful for determining program incentive.</w:t>
      </w:r>
    </w:p>
    <w:p w14:paraId="15BAC51A" w14:textId="77777777" w:rsidR="009F67B7" w:rsidRDefault="009F67B7" w:rsidP="00E4452C">
      <w:pPr>
        <w:rPr>
          <w:rFonts w:cs="Arial"/>
          <w:sz w:val="20"/>
          <w:szCs w:val="20"/>
        </w:rPr>
      </w:pPr>
    </w:p>
    <w:p w14:paraId="6B70825D" w14:textId="390185FC" w:rsidR="009F67B7" w:rsidRPr="009F67B7" w:rsidRDefault="009F67B7" w:rsidP="00E4452C">
      <w:pPr>
        <w:rPr>
          <w:rFonts w:cs="Arial"/>
          <w:sz w:val="20"/>
          <w:szCs w:val="20"/>
        </w:rPr>
      </w:pPr>
      <w:r w:rsidRPr="009F67B7">
        <w:rPr>
          <w:rFonts w:cs="Arial"/>
          <w:sz w:val="20"/>
          <w:szCs w:val="20"/>
        </w:rPr>
        <w:t xml:space="preserve">The only costs </w:t>
      </w:r>
      <w:r>
        <w:rPr>
          <w:rFonts w:cs="Arial"/>
          <w:sz w:val="20"/>
          <w:szCs w:val="20"/>
        </w:rPr>
        <w:t>for this measure</w:t>
      </w:r>
      <w:r w:rsidRPr="009F67B7">
        <w:rPr>
          <w:rFonts w:cs="Arial"/>
          <w:sz w:val="20"/>
          <w:szCs w:val="20"/>
        </w:rPr>
        <w:t xml:space="preserve"> are the program administration cost and program incentive cost.</w:t>
      </w:r>
    </w:p>
    <w:p w14:paraId="393A10EF" w14:textId="57A24B55" w:rsidR="001B242B" w:rsidRDefault="00C069A2" w:rsidP="000E72A3">
      <w:pPr>
        <w:pStyle w:val="Heading2-CalTF2"/>
      </w:pPr>
      <w:bookmarkStart w:id="77" w:name="_Toc324318372"/>
      <w:bookmarkStart w:id="78" w:name="_Toc324340501"/>
      <w:bookmarkStart w:id="79" w:name="_Toc385592999"/>
      <w:r w:rsidRPr="001D4579">
        <w:t>Base Case</w:t>
      </w:r>
      <w:r w:rsidR="00C221D5" w:rsidRPr="001D4579">
        <w:t>(</w:t>
      </w:r>
      <w:r w:rsidRPr="001D4579">
        <w:t>s</w:t>
      </w:r>
      <w:r w:rsidR="00C221D5" w:rsidRPr="001D4579">
        <w:t>)</w:t>
      </w:r>
      <w:r w:rsidRPr="001D4579">
        <w:t xml:space="preserve"> Costs</w:t>
      </w:r>
      <w:bookmarkEnd w:id="76"/>
      <w:bookmarkEnd w:id="77"/>
      <w:bookmarkEnd w:id="78"/>
      <w:bookmarkEnd w:id="79"/>
    </w:p>
    <w:p w14:paraId="738F08DD" w14:textId="24EC77C5" w:rsidR="00B207D1" w:rsidRPr="00B207D1" w:rsidRDefault="00B207D1" w:rsidP="00B207D1">
      <w:pPr>
        <w:pStyle w:val="Heading1-CalTF"/>
        <w:numPr>
          <w:ilvl w:val="0"/>
          <w:numId w:val="0"/>
        </w:numPr>
        <w:rPr>
          <w:b w:val="0"/>
          <w:sz w:val="20"/>
          <w:szCs w:val="20"/>
        </w:rPr>
      </w:pPr>
      <w:r w:rsidRPr="00B207D1">
        <w:rPr>
          <w:b w:val="0"/>
          <w:sz w:val="20"/>
          <w:szCs w:val="20"/>
        </w:rPr>
        <w:t>The base case cost for th</w:t>
      </w:r>
      <w:r>
        <w:rPr>
          <w:b w:val="0"/>
          <w:sz w:val="20"/>
          <w:szCs w:val="20"/>
        </w:rPr>
        <w:t>is measure</w:t>
      </w:r>
      <w:r w:rsidRPr="00B207D1">
        <w:rPr>
          <w:b w:val="0"/>
          <w:sz w:val="20"/>
          <w:szCs w:val="20"/>
        </w:rPr>
        <w:t xml:space="preserve"> is zero because this is discretionary removal of the customers’ existing equipment.</w:t>
      </w:r>
    </w:p>
    <w:p w14:paraId="393A1115" w14:textId="65D467B2" w:rsidR="00C069A2" w:rsidRPr="001D4579" w:rsidRDefault="00663A00" w:rsidP="000E72A3">
      <w:pPr>
        <w:pStyle w:val="Heading2-CalTF2"/>
      </w:pPr>
      <w:bookmarkStart w:id="80" w:name="_Toc304800219"/>
      <w:bookmarkStart w:id="81" w:name="_Toc324318373"/>
      <w:bookmarkStart w:id="82" w:name="_Toc324340502"/>
      <w:bookmarkStart w:id="83" w:name="_Toc385593000"/>
      <w:r w:rsidRPr="001D4579">
        <w:t>Meas</w:t>
      </w:r>
      <w:r w:rsidR="00C069A2" w:rsidRPr="001D4579">
        <w:t xml:space="preserve">ure </w:t>
      </w:r>
      <w:r w:rsidR="00930877" w:rsidRPr="001D4579">
        <w:t xml:space="preserve">Case </w:t>
      </w:r>
      <w:r w:rsidR="00C069A2" w:rsidRPr="001D4579">
        <w:t>Costs</w:t>
      </w:r>
      <w:bookmarkEnd w:id="80"/>
      <w:bookmarkEnd w:id="81"/>
      <w:bookmarkEnd w:id="82"/>
      <w:bookmarkEnd w:id="83"/>
      <w:r w:rsidR="00930877" w:rsidRPr="001D4579">
        <w:t xml:space="preserve"> </w:t>
      </w:r>
    </w:p>
    <w:p w14:paraId="40AB30C9" w14:textId="00BCBEDE" w:rsidR="00B207D1" w:rsidRPr="00B207D1" w:rsidRDefault="00B207D1" w:rsidP="00B207D1">
      <w:pPr>
        <w:pStyle w:val="Heading2-CalTF2"/>
        <w:numPr>
          <w:ilvl w:val="0"/>
          <w:numId w:val="0"/>
        </w:numPr>
        <w:rPr>
          <w:color w:val="auto"/>
          <w:sz w:val="20"/>
          <w:szCs w:val="20"/>
        </w:rPr>
      </w:pPr>
      <w:bookmarkStart w:id="84" w:name="_Toc304800220"/>
      <w:bookmarkStart w:id="85" w:name="_Toc324318374"/>
      <w:bookmarkStart w:id="86" w:name="_Toc324340503"/>
      <w:r w:rsidRPr="00B207D1">
        <w:rPr>
          <w:color w:val="auto"/>
          <w:sz w:val="20"/>
          <w:szCs w:val="20"/>
        </w:rPr>
        <w:t>Customer does not incur any cost for participating in the program</w:t>
      </w:r>
      <w:r>
        <w:rPr>
          <w:color w:val="auto"/>
          <w:sz w:val="20"/>
          <w:szCs w:val="20"/>
        </w:rPr>
        <w:t>. Therefore, the measure case cost is zero.</w:t>
      </w:r>
    </w:p>
    <w:p w14:paraId="08702EB1" w14:textId="419C9286" w:rsidR="008459A0" w:rsidRDefault="008459A0" w:rsidP="008459A0">
      <w:pPr>
        <w:pStyle w:val="Heading2-CalTF2"/>
      </w:pPr>
      <w:bookmarkStart w:id="87" w:name="_Toc385593001"/>
      <w:r>
        <w:t>Installation</w:t>
      </w:r>
      <w:r w:rsidR="00072D35">
        <w:t>/Labor</w:t>
      </w:r>
      <w:r>
        <w:t xml:space="preserve"> Costs</w:t>
      </w:r>
      <w:bookmarkEnd w:id="87"/>
    </w:p>
    <w:p w14:paraId="145B48B5" w14:textId="3178B455" w:rsidR="009F67B7" w:rsidRPr="009F67B7" w:rsidRDefault="009F67B7" w:rsidP="009F67B7">
      <w:pPr>
        <w:pStyle w:val="Heading2-CalTF2"/>
        <w:numPr>
          <w:ilvl w:val="0"/>
          <w:numId w:val="0"/>
        </w:numPr>
        <w:rPr>
          <w:color w:val="auto"/>
          <w:sz w:val="20"/>
          <w:szCs w:val="20"/>
        </w:rPr>
      </w:pPr>
      <w:r>
        <w:rPr>
          <w:color w:val="auto"/>
          <w:sz w:val="20"/>
          <w:szCs w:val="20"/>
        </w:rPr>
        <w:t>There are no applicable installation/labor costs for this measure.</w:t>
      </w:r>
    </w:p>
    <w:p w14:paraId="393A113C" w14:textId="4242999E" w:rsidR="0030550A" w:rsidRDefault="0030550A" w:rsidP="000E72A3">
      <w:pPr>
        <w:pStyle w:val="Heading2-CalTF2"/>
      </w:pPr>
      <w:bookmarkStart w:id="88" w:name="_Toc385593002"/>
      <w:r w:rsidRPr="001D4579">
        <w:t>Incremental &amp; Full Measure Costs</w:t>
      </w:r>
      <w:bookmarkEnd w:id="84"/>
      <w:bookmarkEnd w:id="85"/>
      <w:bookmarkEnd w:id="86"/>
      <w:bookmarkEnd w:id="88"/>
    </w:p>
    <w:p w14:paraId="2D9544E6" w14:textId="312B1A5B" w:rsidR="00A54B8A" w:rsidRDefault="009F67B7" w:rsidP="00C87166">
      <w:pPr>
        <w:rPr>
          <w:color w:val="FF0000"/>
          <w:sz w:val="20"/>
          <w:szCs w:val="20"/>
        </w:rPr>
      </w:pPr>
      <w:bookmarkStart w:id="89" w:name="_Toc385592679"/>
      <w:r>
        <w:rPr>
          <w:sz w:val="20"/>
          <w:szCs w:val="20"/>
        </w:rPr>
        <w:t>There are no applicable incremental or full measure costs.</w:t>
      </w:r>
    </w:p>
    <w:p w14:paraId="42DBCA4D" w14:textId="77777777" w:rsidR="00526C7C" w:rsidRPr="00DD1B31" w:rsidRDefault="00526C7C" w:rsidP="00526C7C">
      <w:pPr>
        <w:pStyle w:val="Heading1-CalTF"/>
      </w:pPr>
      <w:bookmarkStart w:id="90" w:name="_Toc304800221"/>
      <w:bookmarkStart w:id="91" w:name="_Toc324318377"/>
      <w:bookmarkStart w:id="92" w:name="_Toc324340404"/>
      <w:bookmarkEnd w:id="89"/>
      <w:r w:rsidRPr="00DD1B31">
        <w:lastRenderedPageBreak/>
        <w:t xml:space="preserve">Additional Data Needs </w:t>
      </w:r>
    </w:p>
    <w:p w14:paraId="04ECC764" w14:textId="08DA035C" w:rsidR="00526C7C" w:rsidRPr="00DD1B31" w:rsidRDefault="00526C7C" w:rsidP="00526C7C">
      <w:pPr>
        <w:pStyle w:val="Heading2-CalTF2"/>
      </w:pPr>
      <w:r w:rsidRPr="00DD1B31">
        <w:t>Interim Work</w:t>
      </w:r>
      <w:r w:rsidR="00D739DB">
        <w:t xml:space="preserve"> </w:t>
      </w:r>
      <w:r w:rsidR="00F3795A">
        <w:t>P</w:t>
      </w:r>
      <w:r w:rsidRPr="00DD1B31">
        <w:t>aper Status</w:t>
      </w:r>
    </w:p>
    <w:p w14:paraId="0AA9EB86" w14:textId="75C4071D" w:rsidR="00526C7C" w:rsidRPr="00DD1B31" w:rsidRDefault="00DD1B31" w:rsidP="00526C7C">
      <w:pPr>
        <w:pStyle w:val="Heading2-CalTF2"/>
        <w:numPr>
          <w:ilvl w:val="0"/>
          <w:numId w:val="0"/>
        </w:numPr>
        <w:rPr>
          <w:color w:val="auto"/>
          <w:sz w:val="20"/>
          <w:szCs w:val="20"/>
        </w:rPr>
      </w:pPr>
      <w:r>
        <w:rPr>
          <w:color w:val="auto"/>
          <w:sz w:val="20"/>
          <w:szCs w:val="20"/>
        </w:rPr>
        <w:t xml:space="preserve">Interim work paper approval is not being sought for this work paper because implementation and subsequent EM&amp;V is needed to support baseline energy consumption assumptions, secondary market impacts, and an appropriate NTG value. </w:t>
      </w:r>
    </w:p>
    <w:p w14:paraId="33BD1CE4" w14:textId="77777777" w:rsidR="00526C7C" w:rsidRPr="00DD1B31" w:rsidRDefault="00526C7C" w:rsidP="00526C7C">
      <w:pPr>
        <w:pStyle w:val="Heading2-CalTF2"/>
      </w:pPr>
      <w:r w:rsidRPr="00DD1B31">
        <w:t>Data Collection Needs</w:t>
      </w:r>
    </w:p>
    <w:p w14:paraId="790A2CEB" w14:textId="77777777" w:rsidR="00526C7C" w:rsidRPr="00986CB3" w:rsidRDefault="00526C7C" w:rsidP="00526C7C">
      <w:pPr>
        <w:pStyle w:val="Heading3-CalTFStyle31"/>
      </w:pPr>
      <w:r w:rsidRPr="00986CB3">
        <w:t>Implementation</w:t>
      </w:r>
    </w:p>
    <w:p w14:paraId="739183A0" w14:textId="77777777" w:rsidR="00F61858" w:rsidRDefault="00F61858" w:rsidP="00F61858">
      <w:pPr>
        <w:pStyle w:val="Heading3-CalTFStyle31"/>
        <w:numPr>
          <w:ilvl w:val="0"/>
          <w:numId w:val="0"/>
        </w:numPr>
        <w:spacing w:before="0" w:after="0"/>
        <w:ind w:left="720" w:hanging="144"/>
        <w:rPr>
          <w:b w:val="0"/>
          <w:i w:val="0"/>
          <w:color w:val="FF0000"/>
        </w:rPr>
      </w:pPr>
    </w:p>
    <w:p w14:paraId="30737ED3" w14:textId="358E69C3" w:rsidR="00F61858" w:rsidRDefault="00F61858" w:rsidP="00F61858">
      <w:pPr>
        <w:pStyle w:val="Heading3-CalTFStyle31"/>
        <w:numPr>
          <w:ilvl w:val="0"/>
          <w:numId w:val="0"/>
        </w:numPr>
        <w:tabs>
          <w:tab w:val="left" w:pos="810"/>
        </w:tabs>
        <w:spacing w:before="0" w:after="0"/>
        <w:ind w:left="540"/>
        <w:rPr>
          <w:b w:val="0"/>
          <w:i w:val="0"/>
          <w:color w:val="auto"/>
        </w:rPr>
      </w:pPr>
      <w:r w:rsidRPr="00F61858">
        <w:rPr>
          <w:b w:val="0"/>
          <w:i w:val="0"/>
          <w:color w:val="auto"/>
        </w:rPr>
        <w:t>Implementer will need to verify clothes washer type, vintage, and</w:t>
      </w:r>
      <w:r>
        <w:rPr>
          <w:b w:val="0"/>
          <w:i w:val="0"/>
          <w:color w:val="auto"/>
        </w:rPr>
        <w:t xml:space="preserve"> working condition during pick </w:t>
      </w:r>
      <w:r w:rsidRPr="00F61858">
        <w:rPr>
          <w:b w:val="0"/>
          <w:i w:val="0"/>
          <w:color w:val="auto"/>
        </w:rPr>
        <w:t>up at customer household to ensure eligibility.</w:t>
      </w:r>
      <w:r w:rsidR="00986CB3">
        <w:rPr>
          <w:b w:val="0"/>
          <w:i w:val="0"/>
          <w:color w:val="auto"/>
        </w:rPr>
        <w:t xml:space="preserve"> Additionally, implement should collect clothes washer nameplate information (e.g., manufacturer’s name, model number, serial number)</w:t>
      </w:r>
      <w:r w:rsidR="004E4879">
        <w:rPr>
          <w:b w:val="0"/>
          <w:i w:val="0"/>
          <w:color w:val="auto"/>
        </w:rPr>
        <w:t xml:space="preserve"> </w:t>
      </w:r>
      <w:r w:rsidR="00B91E69">
        <w:rPr>
          <w:b w:val="0"/>
          <w:i w:val="0"/>
          <w:color w:val="auto"/>
        </w:rPr>
        <w:t>to support future analysis</w:t>
      </w:r>
      <w:r w:rsidR="00986CB3">
        <w:rPr>
          <w:b w:val="0"/>
          <w:i w:val="0"/>
          <w:color w:val="auto"/>
        </w:rPr>
        <w:t xml:space="preserve">. </w:t>
      </w:r>
    </w:p>
    <w:p w14:paraId="34801D06" w14:textId="77777777" w:rsidR="00986CB3" w:rsidRDefault="00986CB3" w:rsidP="00F61858">
      <w:pPr>
        <w:pStyle w:val="Heading3-CalTFStyle31"/>
        <w:numPr>
          <w:ilvl w:val="0"/>
          <w:numId w:val="0"/>
        </w:numPr>
        <w:tabs>
          <w:tab w:val="left" w:pos="810"/>
        </w:tabs>
        <w:spacing w:before="0" w:after="0"/>
        <w:ind w:left="540"/>
        <w:rPr>
          <w:b w:val="0"/>
          <w:i w:val="0"/>
          <w:color w:val="auto"/>
        </w:rPr>
      </w:pPr>
    </w:p>
    <w:p w14:paraId="31E63CF5" w14:textId="68BD56CF" w:rsidR="00986CB3" w:rsidRPr="00F61858" w:rsidRDefault="00986CB3" w:rsidP="00F61858">
      <w:pPr>
        <w:pStyle w:val="Heading3-CalTFStyle31"/>
        <w:numPr>
          <w:ilvl w:val="0"/>
          <w:numId w:val="0"/>
        </w:numPr>
        <w:tabs>
          <w:tab w:val="left" w:pos="810"/>
        </w:tabs>
        <w:spacing w:before="0" w:after="0"/>
        <w:ind w:left="540"/>
        <w:rPr>
          <w:b w:val="0"/>
          <w:i w:val="0"/>
          <w:color w:val="auto"/>
        </w:rPr>
      </w:pPr>
      <w:r>
        <w:rPr>
          <w:b w:val="0"/>
          <w:i w:val="0"/>
          <w:color w:val="auto"/>
        </w:rPr>
        <w:t>Additional implementation data collection needs are to be determined.</w:t>
      </w:r>
    </w:p>
    <w:p w14:paraId="32B0C6DB" w14:textId="6A3CD752" w:rsidR="00526C7C" w:rsidRPr="00AA1DEA" w:rsidRDefault="00AA1DEA" w:rsidP="00AA1DEA">
      <w:pPr>
        <w:pStyle w:val="Heading3-CalTFStyle31"/>
        <w:numPr>
          <w:ilvl w:val="0"/>
          <w:numId w:val="0"/>
        </w:numPr>
        <w:ind w:left="576"/>
      </w:pPr>
      <w:r>
        <w:t>5.2.2</w:t>
      </w:r>
      <w:r>
        <w:tab/>
      </w:r>
      <w:r w:rsidR="00526C7C" w:rsidRPr="00AA1DEA">
        <w:t>Measurement and Evaluation</w:t>
      </w:r>
    </w:p>
    <w:p w14:paraId="3B1D48E5" w14:textId="77777777" w:rsidR="00AA1DEA" w:rsidRDefault="00AA1DEA" w:rsidP="00526C7C">
      <w:pPr>
        <w:pStyle w:val="Heading3-CalTFStyle31"/>
        <w:numPr>
          <w:ilvl w:val="0"/>
          <w:numId w:val="0"/>
        </w:numPr>
        <w:spacing w:before="0" w:after="0"/>
        <w:ind w:left="576"/>
        <w:rPr>
          <w:b w:val="0"/>
          <w:bCs w:val="0"/>
          <w:i w:val="0"/>
          <w:color w:val="FF0000"/>
        </w:rPr>
      </w:pPr>
    </w:p>
    <w:p w14:paraId="47772979" w14:textId="12A2D412" w:rsidR="00AA1DEA" w:rsidRDefault="00AA1DEA" w:rsidP="00526C7C">
      <w:pPr>
        <w:ind w:left="576"/>
        <w:rPr>
          <w:rFonts w:cs="Arial"/>
          <w:bCs/>
          <w:kern w:val="32"/>
          <w:sz w:val="20"/>
          <w:szCs w:val="20"/>
        </w:rPr>
      </w:pPr>
      <w:r>
        <w:rPr>
          <w:rFonts w:cs="Arial"/>
          <w:bCs/>
          <w:kern w:val="32"/>
          <w:sz w:val="20"/>
          <w:szCs w:val="20"/>
        </w:rPr>
        <w:t xml:space="preserve">Short-term in situ metering data of the energy and water consumption of a sample of clothes washer units participating in the program, which will be collected during EM&amp;V, will help to determine a more realistic baseline unit energy consumption than what is currently available. </w:t>
      </w:r>
    </w:p>
    <w:p w14:paraId="390A603C" w14:textId="77777777" w:rsidR="00AA1DEA" w:rsidRDefault="00AA1DEA" w:rsidP="00526C7C">
      <w:pPr>
        <w:ind w:left="576"/>
        <w:rPr>
          <w:rFonts w:cs="Arial"/>
          <w:bCs/>
          <w:kern w:val="32"/>
          <w:sz w:val="20"/>
          <w:szCs w:val="20"/>
        </w:rPr>
      </w:pPr>
    </w:p>
    <w:p w14:paraId="1798C934" w14:textId="5FCC6CC6" w:rsidR="00AA1DEA" w:rsidRDefault="00AA1DEA" w:rsidP="00526C7C">
      <w:pPr>
        <w:ind w:left="576"/>
        <w:rPr>
          <w:rFonts w:cs="Arial"/>
          <w:bCs/>
          <w:kern w:val="32"/>
          <w:sz w:val="20"/>
          <w:szCs w:val="20"/>
        </w:rPr>
      </w:pPr>
      <w:r>
        <w:rPr>
          <w:rFonts w:cs="Arial"/>
          <w:bCs/>
          <w:kern w:val="32"/>
          <w:sz w:val="20"/>
          <w:szCs w:val="20"/>
        </w:rPr>
        <w:t xml:space="preserve">For existing refrigerator and freezer recycling programs, the baseline unit energy consumption values are calculated using a multivariate regression model developed from </w:t>
      </w:r>
      <w:r w:rsidR="001520C5">
        <w:rPr>
          <w:rFonts w:cs="Arial"/>
          <w:bCs/>
          <w:kern w:val="32"/>
          <w:sz w:val="20"/>
          <w:szCs w:val="20"/>
        </w:rPr>
        <w:t xml:space="preserve">short-term </w:t>
      </w:r>
      <w:r>
        <w:rPr>
          <w:rFonts w:cs="Arial"/>
          <w:bCs/>
          <w:kern w:val="32"/>
          <w:sz w:val="20"/>
          <w:szCs w:val="20"/>
        </w:rPr>
        <w:t xml:space="preserve">in situ metering data. The regression model takes into account multiple variables, such as age, size, design, location of use, and performance degradation over time. EM&amp;V studies conducted also include participant/non-participant surveys to inform calculation of free ridership and determine secondary market impacts. </w:t>
      </w:r>
    </w:p>
    <w:p w14:paraId="46118507" w14:textId="77777777" w:rsidR="00AA1DEA" w:rsidRDefault="00AA1DEA" w:rsidP="00526C7C">
      <w:pPr>
        <w:ind w:left="576"/>
        <w:rPr>
          <w:rFonts w:cs="Arial"/>
          <w:bCs/>
          <w:kern w:val="32"/>
          <w:sz w:val="20"/>
          <w:szCs w:val="20"/>
        </w:rPr>
      </w:pPr>
    </w:p>
    <w:p w14:paraId="49DF6D5F" w14:textId="6E24BB0F" w:rsidR="00526C7C" w:rsidRPr="00AA1DEA" w:rsidRDefault="00B91E69" w:rsidP="00526C7C">
      <w:pPr>
        <w:ind w:left="576"/>
        <w:rPr>
          <w:rFonts w:cs="Arial"/>
          <w:bCs/>
          <w:kern w:val="32"/>
          <w:sz w:val="20"/>
          <w:szCs w:val="20"/>
        </w:rPr>
      </w:pPr>
      <w:r>
        <w:rPr>
          <w:rFonts w:cs="Arial"/>
          <w:bCs/>
          <w:kern w:val="32"/>
          <w:sz w:val="20"/>
          <w:szCs w:val="20"/>
        </w:rPr>
        <w:t xml:space="preserve">Similar </w:t>
      </w:r>
      <w:r w:rsidR="00AA1DEA">
        <w:rPr>
          <w:rFonts w:cs="Arial"/>
          <w:bCs/>
          <w:kern w:val="32"/>
          <w:sz w:val="20"/>
          <w:szCs w:val="20"/>
        </w:rPr>
        <w:t>EM&amp;V for the measure proposed in this work paper will be</w:t>
      </w:r>
      <w:r>
        <w:rPr>
          <w:rFonts w:cs="Arial"/>
          <w:bCs/>
          <w:kern w:val="32"/>
          <w:sz w:val="20"/>
          <w:szCs w:val="20"/>
        </w:rPr>
        <w:t xml:space="preserve"> necessary to </w:t>
      </w:r>
      <w:r w:rsidR="001520C5">
        <w:rPr>
          <w:rFonts w:cs="Arial"/>
          <w:bCs/>
          <w:kern w:val="32"/>
          <w:sz w:val="20"/>
          <w:szCs w:val="20"/>
        </w:rPr>
        <w:t xml:space="preserve">substantiate the savings. </w:t>
      </w:r>
      <w:r>
        <w:rPr>
          <w:rFonts w:cs="Arial"/>
          <w:bCs/>
          <w:kern w:val="32"/>
          <w:sz w:val="20"/>
          <w:szCs w:val="20"/>
        </w:rPr>
        <w:t xml:space="preserve"> </w:t>
      </w:r>
      <w:r w:rsidR="00AA1DEA">
        <w:rPr>
          <w:rFonts w:cs="Arial"/>
          <w:bCs/>
          <w:kern w:val="32"/>
          <w:sz w:val="20"/>
          <w:szCs w:val="20"/>
        </w:rPr>
        <w:t xml:space="preserve">      </w:t>
      </w:r>
    </w:p>
    <w:p w14:paraId="23A44BA5" w14:textId="77777777" w:rsidR="00E271B3" w:rsidRDefault="00E271B3" w:rsidP="00AA1DEA">
      <w:pPr>
        <w:pStyle w:val="Heading1-CalTF"/>
      </w:pPr>
      <w:r>
        <w:br w:type="page"/>
      </w:r>
    </w:p>
    <w:p w14:paraId="393A11B4" w14:textId="5456DE8B" w:rsidR="0030080B" w:rsidRPr="002A750B" w:rsidRDefault="00A037B0" w:rsidP="00276CD0">
      <w:pPr>
        <w:pStyle w:val="Heading1"/>
        <w:rPr>
          <w:sz w:val="20"/>
          <w:szCs w:val="20"/>
        </w:rPr>
      </w:pPr>
      <w:bookmarkStart w:id="93" w:name="_Toc385593003"/>
      <w:r w:rsidRPr="00276CD0">
        <w:lastRenderedPageBreak/>
        <w:t>Appendi</w:t>
      </w:r>
      <w:r w:rsidR="00C17DDD">
        <w:t>x 1</w:t>
      </w:r>
      <w:r w:rsidR="00960D9F">
        <w:t xml:space="preserve"> -</w:t>
      </w:r>
      <w:r w:rsidR="00C17DDD">
        <w:t xml:space="preserve"> Supplemental Files</w:t>
      </w:r>
      <w:bookmarkEnd w:id="93"/>
    </w:p>
    <w:p w14:paraId="737C7DF0" w14:textId="6FB14189" w:rsidR="00A037B0" w:rsidRDefault="00A037B0" w:rsidP="00A037B0"/>
    <w:p w14:paraId="393A11B5" w14:textId="7E2C13E2" w:rsidR="00F52572" w:rsidRPr="00F52572" w:rsidRDefault="00F52572" w:rsidP="00F52572"/>
    <w:bookmarkStart w:id="94" w:name="_Toc324318383"/>
    <w:bookmarkStart w:id="95" w:name="_Toc324340513"/>
    <w:bookmarkStart w:id="96" w:name="_Toc304800222"/>
    <w:bookmarkEnd w:id="90"/>
    <w:bookmarkEnd w:id="91"/>
    <w:bookmarkEnd w:id="92"/>
    <w:p w14:paraId="783E3C0B" w14:textId="03714FE8" w:rsidR="00C17DDD" w:rsidRDefault="005D1A92">
      <w:r>
        <w:object w:dxaOrig="1550" w:dyaOrig="991" w14:anchorId="7902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27" o:title=""/>
          </v:shape>
          <o:OLEObject Type="Embed" ProgID="Excel.Sheet.12" ShapeID="_x0000_i1025" DrawAspect="Icon" ObjectID="_1497086314" r:id="rId28"/>
        </w:object>
      </w:r>
    </w:p>
    <w:p w14:paraId="4410C7CB" w14:textId="77777777" w:rsidR="00D92D3D" w:rsidRDefault="00D92D3D">
      <w:pPr>
        <w:rPr>
          <w:rFonts w:cs="Arial"/>
          <w:b/>
          <w:bCs/>
          <w:kern w:val="32"/>
          <w:sz w:val="32"/>
          <w:szCs w:val="32"/>
        </w:rPr>
      </w:pPr>
      <w:bookmarkStart w:id="97" w:name="_Toc385593004"/>
      <w:r>
        <w:br w:type="page"/>
      </w:r>
    </w:p>
    <w:p w14:paraId="40F2DB65" w14:textId="0BAE982E" w:rsidR="00B20507" w:rsidRPr="002A750B" w:rsidRDefault="00B20507" w:rsidP="00B20507">
      <w:pPr>
        <w:pStyle w:val="Heading1"/>
        <w:rPr>
          <w:sz w:val="20"/>
          <w:szCs w:val="20"/>
        </w:rPr>
      </w:pPr>
      <w:r w:rsidRPr="00276CD0">
        <w:lastRenderedPageBreak/>
        <w:t>Appendi</w:t>
      </w:r>
      <w:r>
        <w:t>x 2 – Commission Staff Comments / Review</w:t>
      </w:r>
    </w:p>
    <w:p w14:paraId="30C324A4" w14:textId="77777777" w:rsidR="00B20507" w:rsidRDefault="00B20507" w:rsidP="00B20507">
      <w:pPr>
        <w:rPr>
          <w:color w:val="FF0000"/>
          <w:sz w:val="20"/>
          <w:szCs w:val="20"/>
        </w:rPr>
      </w:pPr>
    </w:p>
    <w:bookmarkStart w:id="98" w:name="_MON_1484575708"/>
    <w:bookmarkEnd w:id="98"/>
    <w:p w14:paraId="6C16C790" w14:textId="77777777" w:rsidR="00B20507" w:rsidRDefault="002A3753">
      <w:pPr>
        <w:rPr>
          <w:rFonts w:cs="Arial"/>
          <w:b/>
          <w:bCs/>
          <w:kern w:val="32"/>
          <w:sz w:val="32"/>
          <w:szCs w:val="32"/>
        </w:rPr>
      </w:pPr>
      <w:r>
        <w:object w:dxaOrig="1550" w:dyaOrig="991" w14:anchorId="5DBADD21">
          <v:shape id="_x0000_i1026" type="#_x0000_t75" style="width:77.4pt;height:49.8pt" o:ole="">
            <v:imagedata r:id="rId29" o:title=""/>
          </v:shape>
          <o:OLEObject Type="Embed" ProgID="Word.Document.12" ShapeID="_x0000_i1026" DrawAspect="Icon" ObjectID="_1497086315" r:id="rId30">
            <o:FieldCodes>\s</o:FieldCodes>
          </o:OLEObject>
        </w:object>
      </w:r>
      <w:r w:rsidR="00B20507">
        <w:br w:type="page"/>
      </w:r>
    </w:p>
    <w:p w14:paraId="06926E02" w14:textId="40A4E1ED" w:rsidR="00C17DDD" w:rsidRPr="002A750B" w:rsidRDefault="00C17DDD" w:rsidP="00C17DDD">
      <w:pPr>
        <w:pStyle w:val="Heading1"/>
        <w:rPr>
          <w:sz w:val="20"/>
          <w:szCs w:val="20"/>
        </w:rPr>
      </w:pPr>
      <w:r w:rsidRPr="00276CD0">
        <w:lastRenderedPageBreak/>
        <w:t>Appendi</w:t>
      </w:r>
      <w:r w:rsidR="00B20507">
        <w:t>x 3</w:t>
      </w:r>
      <w:r w:rsidR="00960D9F">
        <w:t xml:space="preserve"> - </w:t>
      </w:r>
      <w:r w:rsidR="006B33C5">
        <w:t>Measure Application Type</w:t>
      </w:r>
      <w:r w:rsidR="00960D9F">
        <w:t xml:space="preserve"> Definitions</w:t>
      </w:r>
      <w:bookmarkEnd w:id="97"/>
    </w:p>
    <w:p w14:paraId="2912694A" w14:textId="77777777" w:rsidR="006B33C5" w:rsidRDefault="006B33C5" w:rsidP="006B33C5">
      <w:pPr>
        <w:rPr>
          <w:rFonts w:cs="Arial"/>
          <w:sz w:val="20"/>
          <w:szCs w:val="20"/>
        </w:rPr>
      </w:pPr>
    </w:p>
    <w:p w14:paraId="365172B7" w14:textId="184F1F82" w:rsidR="006B33C5" w:rsidRPr="001D4579" w:rsidRDefault="006B33C5" w:rsidP="006B33C5">
      <w:pPr>
        <w:rPr>
          <w:rFonts w:cs="Arial"/>
          <w:sz w:val="20"/>
          <w:szCs w:val="20"/>
        </w:rPr>
      </w:pPr>
      <w:r w:rsidRPr="001D4579">
        <w:rPr>
          <w:rFonts w:cs="Arial"/>
          <w:sz w:val="20"/>
          <w:szCs w:val="20"/>
        </w:rPr>
        <w:t xml:space="preserve">The DEER Measure Cost Data Users Guide found on </w:t>
      </w:r>
      <w:hyperlink r:id="rId31" w:history="1">
        <w:r w:rsidRPr="001D4579">
          <w:rPr>
            <w:rStyle w:val="Hyperlink"/>
            <w:rFonts w:cs="Arial"/>
            <w:sz w:val="20"/>
            <w:szCs w:val="20"/>
          </w:rPr>
          <w:t>www.deeresources.com</w:t>
        </w:r>
      </w:hyperlink>
      <w:r w:rsidRPr="001D4579">
        <w:rPr>
          <w:rFonts w:cs="Arial"/>
          <w:sz w:val="20"/>
          <w:szCs w:val="20"/>
        </w:rPr>
        <w:t xml:space="preserve"> under </w:t>
      </w:r>
      <w:r w:rsidRPr="001D4579">
        <w:rPr>
          <w:rFonts w:cs="Arial"/>
          <w:i/>
          <w:sz w:val="20"/>
          <w:szCs w:val="20"/>
        </w:rPr>
        <w:t>DEER2011 Database Format</w:t>
      </w:r>
      <w:r w:rsidRPr="001D4579">
        <w:rPr>
          <w:rFonts w:cs="Arial"/>
          <w:sz w:val="20"/>
          <w:szCs w:val="20"/>
        </w:rPr>
        <w:t xml:space="preserve"> hyperlink, </w:t>
      </w:r>
      <w:r w:rsidRPr="001D4579">
        <w:rPr>
          <w:rStyle w:val="breadcrumbs"/>
          <w:rFonts w:cs="Arial"/>
          <w:color w:val="333333"/>
          <w:sz w:val="19"/>
          <w:szCs w:val="19"/>
          <w:lang w:val="en-GB"/>
        </w:rPr>
        <w:t>DEER2011 for 13-14</w:t>
      </w:r>
      <w:r w:rsidRPr="001D4579">
        <w:rPr>
          <w:rFonts w:cs="Arial"/>
          <w:color w:val="333333"/>
          <w:sz w:val="19"/>
          <w:szCs w:val="19"/>
          <w:lang w:val="en-GB"/>
        </w:rPr>
        <w:t>,</w:t>
      </w:r>
      <w:r w:rsidRPr="001D4579">
        <w:rPr>
          <w:rFonts w:cs="Arial"/>
          <w:sz w:val="20"/>
          <w:szCs w:val="20"/>
        </w:rPr>
        <w:t xml:space="preserve"> spreadsheet </w:t>
      </w:r>
      <w:r w:rsidRPr="001D4579">
        <w:rPr>
          <w:rFonts w:cs="Arial"/>
          <w:i/>
          <w:sz w:val="20"/>
          <w:szCs w:val="20"/>
        </w:rPr>
        <w:t>SPTdata_format-V0.97.xls</w:t>
      </w:r>
      <w:r w:rsidRPr="001D4579">
        <w:rPr>
          <w:rFonts w:cs="Arial"/>
          <w:sz w:val="20"/>
          <w:szCs w:val="20"/>
        </w:rPr>
        <w:t>, defines the</w:t>
      </w:r>
      <w:r>
        <w:rPr>
          <w:rFonts w:cs="Arial"/>
          <w:sz w:val="20"/>
          <w:szCs w:val="20"/>
        </w:rPr>
        <w:t xml:space="preserve"> measure application type</w:t>
      </w:r>
      <w:r w:rsidRPr="001D4579">
        <w:rPr>
          <w:rFonts w:cs="Arial"/>
          <w:sz w:val="20"/>
          <w:szCs w:val="20"/>
        </w:rPr>
        <w:t xml:space="preserve"> terms as follows:</w:t>
      </w:r>
    </w:p>
    <w:p w14:paraId="6DAA9E09" w14:textId="77777777" w:rsidR="006B33C5" w:rsidRPr="001D4579" w:rsidRDefault="006B33C5" w:rsidP="006B33C5">
      <w:pPr>
        <w:rPr>
          <w:rFonts w:cs="Arial"/>
          <w:i/>
        </w:rPr>
      </w:pPr>
    </w:p>
    <w:p w14:paraId="457DAB04" w14:textId="22020606" w:rsidR="006B33C5" w:rsidRPr="00E8670C" w:rsidRDefault="006B33C5" w:rsidP="006162E0">
      <w:pPr>
        <w:pStyle w:val="Caption"/>
        <w:keepNext/>
        <w:spacing w:before="60" w:after="60"/>
        <w:rPr>
          <w:rFonts w:cs="Arial"/>
          <w:b w:val="0"/>
        </w:rPr>
      </w:pPr>
      <w:bookmarkStart w:id="99" w:name="RANGE!B222"/>
      <w:r w:rsidRPr="00E8670C">
        <w:rPr>
          <w:rFonts w:cs="Arial"/>
          <w:b w:val="0"/>
        </w:rPr>
        <w:t>Measure Application Type</w:t>
      </w:r>
      <w:bookmarkEnd w:id="99"/>
    </w:p>
    <w:tbl>
      <w:tblPr>
        <w:tblW w:w="9090" w:type="dxa"/>
        <w:tblInd w:w="-5" w:type="dxa"/>
        <w:tblLook w:val="04A0" w:firstRow="1" w:lastRow="0" w:firstColumn="1" w:lastColumn="0" w:noHBand="0" w:noVBand="1"/>
      </w:tblPr>
      <w:tblGrid>
        <w:gridCol w:w="900"/>
        <w:gridCol w:w="2610"/>
        <w:gridCol w:w="5580"/>
      </w:tblGrid>
      <w:tr w:rsidR="006B33C5" w:rsidRPr="00E8670C" w14:paraId="428D3584" w14:textId="77777777" w:rsidTr="007C506F">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220B77" w14:textId="77777777" w:rsidR="006B33C5" w:rsidRPr="00E8670C" w:rsidRDefault="006B33C5" w:rsidP="006162E0">
            <w:pPr>
              <w:keepNext/>
              <w:spacing w:before="60" w:after="60"/>
              <w:jc w:val="center"/>
              <w:rPr>
                <w:rFonts w:cs="Arial"/>
                <w:color w:val="000000"/>
                <w:sz w:val="20"/>
                <w:szCs w:val="20"/>
              </w:rPr>
            </w:pPr>
            <w:r w:rsidRPr="00E8670C">
              <w:rPr>
                <w:rFonts w:cs="Arial"/>
                <w:color w:val="000000"/>
                <w:sz w:val="20"/>
                <w:szCs w:val="20"/>
              </w:rPr>
              <w:t>Code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1ECD64" w14:textId="77777777" w:rsidR="006B33C5" w:rsidRPr="00E8670C" w:rsidRDefault="006B33C5" w:rsidP="006162E0">
            <w:pPr>
              <w:keepNext/>
              <w:spacing w:before="60" w:after="60"/>
              <w:jc w:val="center"/>
              <w:rPr>
                <w:rFonts w:cs="Arial"/>
                <w:color w:val="000000"/>
                <w:sz w:val="20"/>
                <w:szCs w:val="20"/>
              </w:rPr>
            </w:pPr>
            <w:r w:rsidRPr="00E8670C">
              <w:rPr>
                <w:rFonts w:cs="Arial"/>
                <w:color w:val="000000"/>
                <w:sz w:val="20"/>
                <w:szCs w:val="20"/>
              </w:rPr>
              <w:t>Description</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CBA4F9D" w14:textId="77777777" w:rsidR="006B33C5" w:rsidRPr="00E8670C" w:rsidRDefault="006B33C5" w:rsidP="006162E0">
            <w:pPr>
              <w:keepNext/>
              <w:spacing w:before="60" w:after="60"/>
              <w:jc w:val="center"/>
              <w:rPr>
                <w:rFonts w:cs="Arial"/>
                <w:color w:val="000000"/>
                <w:sz w:val="20"/>
                <w:szCs w:val="20"/>
              </w:rPr>
            </w:pPr>
            <w:r w:rsidRPr="00E8670C">
              <w:rPr>
                <w:rFonts w:cs="Arial"/>
                <w:color w:val="000000"/>
                <w:sz w:val="20"/>
                <w:szCs w:val="20"/>
              </w:rPr>
              <w:t>Comment</w:t>
            </w:r>
          </w:p>
        </w:tc>
      </w:tr>
      <w:tr w:rsidR="006B33C5" w:rsidRPr="00E8670C" w14:paraId="449A6540" w14:textId="77777777" w:rsidTr="00162B2C">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AEFFB" w14:textId="77777777" w:rsidR="006B33C5" w:rsidRPr="00E8670C" w:rsidRDefault="006B33C5" w:rsidP="00162B2C">
            <w:pPr>
              <w:keepNext/>
              <w:spacing w:before="60" w:after="60"/>
              <w:jc w:val="center"/>
              <w:rPr>
                <w:rFonts w:cs="Arial"/>
                <w:sz w:val="20"/>
                <w:szCs w:val="20"/>
              </w:rPr>
            </w:pPr>
            <w:r w:rsidRPr="00E8670C">
              <w:rPr>
                <w:rFonts w:cs="Arial"/>
                <w:sz w:val="20"/>
                <w:szCs w:val="20"/>
              </w:rPr>
              <w:t>ER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540A8" w14:textId="77777777" w:rsidR="006B33C5" w:rsidRPr="00E8670C" w:rsidRDefault="006B33C5" w:rsidP="00162B2C">
            <w:pPr>
              <w:keepNext/>
              <w:spacing w:before="60" w:after="60"/>
              <w:jc w:val="center"/>
              <w:rPr>
                <w:rFonts w:cs="Arial"/>
                <w:sz w:val="20"/>
                <w:szCs w:val="20"/>
              </w:rPr>
            </w:pPr>
            <w:r w:rsidRPr="00E8670C">
              <w:rPr>
                <w:rFonts w:cs="Arial"/>
                <w:sz w:val="20"/>
                <w:szCs w:val="20"/>
              </w:rPr>
              <w:t>Early retirement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4A05" w14:textId="60F0DAFD" w:rsidR="006B33C5" w:rsidRPr="00E8670C" w:rsidRDefault="00E8670C" w:rsidP="006162E0">
            <w:pPr>
              <w:keepNext/>
              <w:spacing w:before="60" w:after="60"/>
              <w:rPr>
                <w:rFonts w:cs="Arial"/>
                <w:iCs/>
                <w:sz w:val="20"/>
                <w:szCs w:val="20"/>
              </w:rPr>
            </w:pPr>
            <w:r w:rsidRPr="00E8670C">
              <w:rPr>
                <w:rFonts w:cs="Arial"/>
                <w:iCs/>
                <w:sz w:val="20"/>
                <w:szCs w:val="20"/>
              </w:rPr>
              <w:t>M</w:t>
            </w:r>
            <w:r w:rsidR="006B33C5" w:rsidRPr="00E8670C">
              <w:rPr>
                <w:rFonts w:cs="Arial"/>
                <w:iCs/>
                <w:sz w:val="20"/>
                <w:szCs w:val="20"/>
              </w:rPr>
              <w:t>easure applied while existing equipment still viable, or retrofit of existing equipment</w:t>
            </w:r>
          </w:p>
        </w:tc>
      </w:tr>
      <w:tr w:rsidR="00A54B8A" w:rsidRPr="00E8670C" w14:paraId="313D9251" w14:textId="77777777" w:rsidTr="008B68A5">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59CCA" w14:textId="77777777" w:rsidR="00A54B8A" w:rsidRPr="00E8670C" w:rsidRDefault="00A54B8A" w:rsidP="008B68A5">
            <w:pPr>
              <w:spacing w:before="60" w:after="60"/>
              <w:jc w:val="center"/>
              <w:rPr>
                <w:rFonts w:cs="Arial"/>
                <w:sz w:val="20"/>
                <w:szCs w:val="20"/>
              </w:rPr>
            </w:pPr>
            <w:r>
              <w:rPr>
                <w:rFonts w:cs="Arial"/>
                <w:sz w:val="20"/>
                <w:szCs w:val="20"/>
              </w:rPr>
              <w:t>EAR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CAB3B" w14:textId="77777777" w:rsidR="00A54B8A" w:rsidRPr="00E8670C" w:rsidRDefault="00A54B8A" w:rsidP="008B68A5">
            <w:pPr>
              <w:spacing w:before="60" w:after="60"/>
              <w:jc w:val="center"/>
              <w:rPr>
                <w:rFonts w:cs="Arial"/>
                <w:sz w:val="20"/>
                <w:szCs w:val="20"/>
              </w:rPr>
            </w:pPr>
            <w:r>
              <w:rPr>
                <w:rFonts w:cs="Arial"/>
                <w:sz w:val="20"/>
                <w:szCs w:val="20"/>
              </w:rPr>
              <w:t>Retrofit Add-on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851B29A" w14:textId="77777777" w:rsidR="00A54B8A" w:rsidRPr="00E8670C" w:rsidRDefault="00A54B8A" w:rsidP="008B68A5">
            <w:pPr>
              <w:spacing w:before="60" w:after="60"/>
              <w:rPr>
                <w:rFonts w:cs="Arial"/>
                <w:iCs/>
                <w:sz w:val="20"/>
                <w:szCs w:val="20"/>
              </w:rPr>
            </w:pPr>
            <w:r>
              <w:rPr>
                <w:rFonts w:cs="Arial"/>
                <w:iCs/>
                <w:sz w:val="20"/>
                <w:szCs w:val="20"/>
              </w:rPr>
              <w:t>Retrofit to existing equipment without replacement</w:t>
            </w:r>
          </w:p>
        </w:tc>
      </w:tr>
      <w:tr w:rsidR="006B33C5" w:rsidRPr="00E8670C" w14:paraId="155E0F58" w14:textId="77777777" w:rsidTr="00162B2C">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345E" w14:textId="77777777" w:rsidR="006B33C5" w:rsidRPr="00E8670C" w:rsidRDefault="006B33C5" w:rsidP="00162B2C">
            <w:pPr>
              <w:keepNext/>
              <w:spacing w:before="60" w:after="60"/>
              <w:jc w:val="center"/>
              <w:rPr>
                <w:rFonts w:cs="Arial"/>
                <w:sz w:val="20"/>
                <w:szCs w:val="20"/>
              </w:rPr>
            </w:pPr>
            <w:r w:rsidRPr="00E8670C">
              <w:rPr>
                <w:rFonts w:cs="Arial"/>
                <w:sz w:val="20"/>
                <w:szCs w:val="20"/>
              </w:rPr>
              <w:t>ROB</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4FE78" w14:textId="77777777" w:rsidR="006B33C5" w:rsidRPr="00E8670C" w:rsidRDefault="006B33C5" w:rsidP="00162B2C">
            <w:pPr>
              <w:keepNext/>
              <w:spacing w:before="60" w:after="60"/>
              <w:jc w:val="center"/>
              <w:rPr>
                <w:rFonts w:cs="Arial"/>
                <w:sz w:val="20"/>
                <w:szCs w:val="20"/>
              </w:rPr>
            </w:pPr>
            <w:r w:rsidRPr="00E8670C">
              <w:rPr>
                <w:rFonts w:cs="Arial"/>
                <w:sz w:val="20"/>
                <w:szCs w:val="20"/>
              </w:rPr>
              <w:t>Replace on Burnout</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3967" w14:textId="1B40256A" w:rsidR="006B33C5" w:rsidRPr="00E8670C" w:rsidRDefault="00E8670C" w:rsidP="006162E0">
            <w:pPr>
              <w:keepNext/>
              <w:spacing w:before="60" w:after="60"/>
              <w:rPr>
                <w:rFonts w:cs="Arial"/>
                <w:iCs/>
                <w:sz w:val="20"/>
                <w:szCs w:val="20"/>
              </w:rPr>
            </w:pPr>
            <w:r w:rsidRPr="00E8670C">
              <w:rPr>
                <w:rFonts w:cs="Arial"/>
                <w:iCs/>
                <w:sz w:val="20"/>
                <w:szCs w:val="20"/>
              </w:rPr>
              <w:t>M</w:t>
            </w:r>
            <w:r w:rsidR="006B33C5" w:rsidRPr="00E8670C">
              <w:rPr>
                <w:rFonts w:cs="Arial"/>
                <w:iCs/>
                <w:sz w:val="20"/>
                <w:szCs w:val="20"/>
              </w:rPr>
              <w:t>easure applied when existing equipment fails or maintenance requires replacement</w:t>
            </w:r>
          </w:p>
        </w:tc>
      </w:tr>
      <w:tr w:rsidR="006B33C5" w:rsidRPr="00E8670C" w14:paraId="63DD40B6" w14:textId="77777777" w:rsidTr="00162B2C">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5E29" w14:textId="77777777" w:rsidR="006B33C5" w:rsidRPr="00E8670C" w:rsidRDefault="006B33C5" w:rsidP="00162B2C">
            <w:pPr>
              <w:spacing w:before="60" w:after="60"/>
              <w:jc w:val="center"/>
              <w:rPr>
                <w:rFonts w:cs="Arial"/>
                <w:sz w:val="20"/>
                <w:szCs w:val="20"/>
              </w:rPr>
            </w:pPr>
            <w:r w:rsidRPr="00E8670C">
              <w:rPr>
                <w:rFonts w:cs="Arial"/>
                <w:sz w:val="20"/>
                <w:szCs w:val="20"/>
              </w:rPr>
              <w:t>NC</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37C4" w14:textId="77777777" w:rsidR="006B33C5" w:rsidRPr="00E8670C" w:rsidRDefault="006B33C5" w:rsidP="00162B2C">
            <w:pPr>
              <w:spacing w:before="60" w:after="60"/>
              <w:jc w:val="center"/>
              <w:rPr>
                <w:rFonts w:cs="Arial"/>
                <w:sz w:val="20"/>
                <w:szCs w:val="20"/>
              </w:rPr>
            </w:pPr>
            <w:r w:rsidRPr="00E8670C">
              <w:rPr>
                <w:rFonts w:cs="Arial"/>
                <w:sz w:val="20"/>
                <w:szCs w:val="20"/>
              </w:rPr>
              <w:t>New Construction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311F" w14:textId="0F831629" w:rsidR="006B33C5" w:rsidRPr="00E8670C" w:rsidRDefault="00E8670C" w:rsidP="006162E0">
            <w:pPr>
              <w:spacing w:before="60" w:after="60"/>
              <w:rPr>
                <w:rFonts w:cs="Arial"/>
                <w:iCs/>
                <w:sz w:val="20"/>
                <w:szCs w:val="20"/>
              </w:rPr>
            </w:pPr>
            <w:r w:rsidRPr="00E8670C">
              <w:rPr>
                <w:rFonts w:cs="Arial"/>
                <w:iCs/>
                <w:sz w:val="20"/>
                <w:szCs w:val="20"/>
              </w:rPr>
              <w:t>M</w:t>
            </w:r>
            <w:r w:rsidR="006B33C5" w:rsidRPr="00E8670C">
              <w:rPr>
                <w:rFonts w:cs="Arial"/>
                <w:iCs/>
                <w:sz w:val="20"/>
                <w:szCs w:val="20"/>
              </w:rPr>
              <w:t>easure applied during construction design phase as an alternative to a code-compliant standard design</w:t>
            </w:r>
          </w:p>
        </w:tc>
      </w:tr>
    </w:tbl>
    <w:p w14:paraId="6B3CF634" w14:textId="77777777" w:rsidR="00162B2C" w:rsidRPr="00E8670C" w:rsidRDefault="00162B2C" w:rsidP="006162E0">
      <w:pPr>
        <w:spacing w:after="60"/>
        <w:rPr>
          <w:rFonts w:cs="Arial"/>
          <w:b/>
          <w:sz w:val="20"/>
          <w:szCs w:val="20"/>
        </w:rPr>
      </w:pPr>
    </w:p>
    <w:p w14:paraId="5457030F" w14:textId="660BA76A" w:rsidR="006162E0" w:rsidRPr="00E8670C" w:rsidRDefault="006162E0" w:rsidP="007C506F">
      <w:pPr>
        <w:spacing w:after="60"/>
        <w:rPr>
          <w:rFonts w:cs="Arial"/>
          <w:sz w:val="20"/>
          <w:szCs w:val="20"/>
        </w:rPr>
      </w:pPr>
      <w:r w:rsidRPr="00E8670C">
        <w:rPr>
          <w:rFonts w:cs="Arial"/>
          <w:sz w:val="20"/>
          <w:szCs w:val="20"/>
        </w:rPr>
        <w:t xml:space="preserve">Baseline Technologies for UES </w:t>
      </w:r>
      <w:r w:rsidR="007C506F" w:rsidRPr="00E8670C">
        <w:rPr>
          <w:rFonts w:cs="Arial"/>
          <w:sz w:val="20"/>
          <w:szCs w:val="20"/>
        </w:rPr>
        <w:t>and Cost calculations</w:t>
      </w:r>
      <w:r w:rsidR="001A646D">
        <w:rPr>
          <w:rStyle w:val="FootnoteReference"/>
          <w:rFonts w:cs="Arial"/>
          <w:sz w:val="20"/>
          <w:szCs w:val="20"/>
        </w:rPr>
        <w:footnoteReference w:id="5"/>
      </w:r>
    </w:p>
    <w:tbl>
      <w:tblPr>
        <w:tblStyle w:val="TableGrid"/>
        <w:tblW w:w="8995" w:type="dxa"/>
        <w:tblLook w:val="04A0" w:firstRow="1" w:lastRow="0" w:firstColumn="1" w:lastColumn="0" w:noHBand="0" w:noVBand="1"/>
      </w:tblPr>
      <w:tblGrid>
        <w:gridCol w:w="1345"/>
        <w:gridCol w:w="1440"/>
        <w:gridCol w:w="1620"/>
        <w:gridCol w:w="2970"/>
        <w:gridCol w:w="1620"/>
      </w:tblGrid>
      <w:tr w:rsidR="007C506F" w:rsidRPr="00E8670C" w14:paraId="4A74F84E" w14:textId="77777777" w:rsidTr="00C87166">
        <w:tc>
          <w:tcPr>
            <w:tcW w:w="1345" w:type="dxa"/>
            <w:shd w:val="clear" w:color="auto" w:fill="D9D9D9" w:themeFill="background1" w:themeFillShade="D9"/>
            <w:vAlign w:val="center"/>
          </w:tcPr>
          <w:p w14:paraId="5A8658C1" w14:textId="34B940E0" w:rsidR="007C506F" w:rsidRPr="00E8670C" w:rsidRDefault="007C506F" w:rsidP="00970A26">
            <w:pPr>
              <w:spacing w:before="60" w:after="60"/>
              <w:jc w:val="center"/>
              <w:rPr>
                <w:rFonts w:cs="Arial"/>
                <w:sz w:val="20"/>
                <w:szCs w:val="20"/>
              </w:rPr>
            </w:pPr>
            <w:r w:rsidRPr="00E8670C">
              <w:rPr>
                <w:rFonts w:cs="Arial"/>
                <w:sz w:val="20"/>
                <w:szCs w:val="20"/>
              </w:rPr>
              <w:t>Measure Application Type</w:t>
            </w:r>
          </w:p>
        </w:tc>
        <w:tc>
          <w:tcPr>
            <w:tcW w:w="1440" w:type="dxa"/>
            <w:tcBorders>
              <w:bottom w:val="single" w:sz="4" w:space="0" w:color="auto"/>
            </w:tcBorders>
            <w:shd w:val="clear" w:color="auto" w:fill="D9D9D9" w:themeFill="background1" w:themeFillShade="D9"/>
            <w:vAlign w:val="center"/>
          </w:tcPr>
          <w:p w14:paraId="3BFA8C95" w14:textId="372902AD" w:rsidR="007C506F" w:rsidRPr="00E8670C" w:rsidRDefault="007C506F" w:rsidP="00970A26">
            <w:pPr>
              <w:spacing w:before="60" w:after="60"/>
              <w:jc w:val="center"/>
              <w:rPr>
                <w:rFonts w:cs="Arial"/>
                <w:sz w:val="20"/>
                <w:szCs w:val="20"/>
              </w:rPr>
            </w:pPr>
            <w:r w:rsidRPr="00E8670C">
              <w:rPr>
                <w:rFonts w:cs="Arial"/>
                <w:sz w:val="20"/>
                <w:szCs w:val="20"/>
              </w:rPr>
              <w:t>Baseline</w:t>
            </w:r>
          </w:p>
        </w:tc>
        <w:tc>
          <w:tcPr>
            <w:tcW w:w="1620" w:type="dxa"/>
            <w:tcBorders>
              <w:bottom w:val="single" w:sz="4" w:space="0" w:color="auto"/>
            </w:tcBorders>
            <w:shd w:val="clear" w:color="auto" w:fill="D9D9D9" w:themeFill="background1" w:themeFillShade="D9"/>
            <w:vAlign w:val="center"/>
          </w:tcPr>
          <w:p w14:paraId="6F07CF2F" w14:textId="0F61A791" w:rsidR="007C506F" w:rsidRPr="00E8670C" w:rsidRDefault="007C506F" w:rsidP="00970A26">
            <w:pPr>
              <w:spacing w:before="60" w:after="60"/>
              <w:jc w:val="center"/>
              <w:rPr>
                <w:rFonts w:cs="Arial"/>
                <w:sz w:val="20"/>
                <w:szCs w:val="20"/>
              </w:rPr>
            </w:pPr>
            <w:r w:rsidRPr="00E8670C">
              <w:rPr>
                <w:rFonts w:cs="Arial"/>
                <w:sz w:val="20"/>
                <w:szCs w:val="20"/>
              </w:rPr>
              <w:t xml:space="preserve">Baseline Technology </w:t>
            </w:r>
          </w:p>
        </w:tc>
        <w:tc>
          <w:tcPr>
            <w:tcW w:w="2970" w:type="dxa"/>
            <w:tcBorders>
              <w:bottom w:val="single" w:sz="4" w:space="0" w:color="auto"/>
            </w:tcBorders>
            <w:shd w:val="clear" w:color="auto" w:fill="D9D9D9" w:themeFill="background1" w:themeFillShade="D9"/>
            <w:vAlign w:val="center"/>
          </w:tcPr>
          <w:p w14:paraId="27063443" w14:textId="1428387C" w:rsidR="007C506F" w:rsidRPr="00E8670C" w:rsidRDefault="001A646D" w:rsidP="001A646D">
            <w:pPr>
              <w:spacing w:before="60" w:after="60"/>
              <w:jc w:val="center"/>
              <w:rPr>
                <w:rFonts w:cs="Arial"/>
                <w:sz w:val="20"/>
                <w:szCs w:val="20"/>
              </w:rPr>
            </w:pPr>
            <w:r>
              <w:rPr>
                <w:rFonts w:cs="Arial"/>
                <w:sz w:val="20"/>
                <w:szCs w:val="20"/>
              </w:rPr>
              <w:t>Measure Cost Calculation</w:t>
            </w:r>
          </w:p>
        </w:tc>
        <w:tc>
          <w:tcPr>
            <w:tcW w:w="1620" w:type="dxa"/>
            <w:tcBorders>
              <w:bottom w:val="single" w:sz="4" w:space="0" w:color="auto"/>
            </w:tcBorders>
            <w:shd w:val="clear" w:color="auto" w:fill="D9D9D9" w:themeFill="background1" w:themeFillShade="D9"/>
            <w:vAlign w:val="center"/>
          </w:tcPr>
          <w:p w14:paraId="19A42D92" w14:textId="7200E2B5" w:rsidR="007C506F" w:rsidRPr="00E8670C" w:rsidRDefault="007C506F" w:rsidP="00970A26">
            <w:pPr>
              <w:spacing w:before="60" w:after="60"/>
              <w:jc w:val="center"/>
              <w:rPr>
                <w:rFonts w:cs="Arial"/>
                <w:sz w:val="20"/>
                <w:szCs w:val="20"/>
              </w:rPr>
            </w:pPr>
            <w:r w:rsidRPr="00E8670C">
              <w:rPr>
                <w:rFonts w:cs="Arial"/>
                <w:sz w:val="20"/>
                <w:szCs w:val="20"/>
              </w:rPr>
              <w:t>Duration</w:t>
            </w:r>
          </w:p>
        </w:tc>
      </w:tr>
      <w:tr w:rsidR="00A54B8A" w:rsidRPr="00E8670C" w14:paraId="744885B2" w14:textId="77777777" w:rsidTr="008B68A5">
        <w:tc>
          <w:tcPr>
            <w:tcW w:w="1345" w:type="dxa"/>
            <w:vMerge w:val="restart"/>
            <w:vAlign w:val="center"/>
          </w:tcPr>
          <w:p w14:paraId="0898A519" w14:textId="77777777" w:rsidR="00A54B8A" w:rsidRPr="00E8670C" w:rsidRDefault="00A54B8A" w:rsidP="008B68A5">
            <w:pPr>
              <w:spacing w:before="60" w:after="60"/>
              <w:jc w:val="center"/>
              <w:rPr>
                <w:rFonts w:cs="Arial"/>
                <w:sz w:val="20"/>
                <w:szCs w:val="20"/>
              </w:rPr>
            </w:pPr>
            <w:r w:rsidRPr="00E8670C">
              <w:rPr>
                <w:rFonts w:cs="Arial"/>
                <w:sz w:val="20"/>
                <w:szCs w:val="20"/>
              </w:rPr>
              <w:t>ER</w:t>
            </w:r>
          </w:p>
        </w:tc>
        <w:tc>
          <w:tcPr>
            <w:tcW w:w="1440" w:type="dxa"/>
            <w:tcBorders>
              <w:bottom w:val="nil"/>
            </w:tcBorders>
            <w:vAlign w:val="center"/>
          </w:tcPr>
          <w:p w14:paraId="630261D5" w14:textId="77777777" w:rsidR="00A54B8A" w:rsidRPr="00E8670C" w:rsidRDefault="00A54B8A" w:rsidP="008B68A5">
            <w:pPr>
              <w:spacing w:before="60" w:after="60"/>
              <w:jc w:val="center"/>
              <w:rPr>
                <w:rFonts w:cs="Arial"/>
                <w:sz w:val="20"/>
                <w:szCs w:val="20"/>
              </w:rPr>
            </w:pPr>
            <w:r w:rsidRPr="00E8670C">
              <w:rPr>
                <w:rFonts w:cs="Arial"/>
                <w:sz w:val="20"/>
                <w:szCs w:val="20"/>
              </w:rPr>
              <w:t>First</w:t>
            </w:r>
          </w:p>
        </w:tc>
        <w:tc>
          <w:tcPr>
            <w:tcW w:w="1620" w:type="dxa"/>
            <w:tcBorders>
              <w:bottom w:val="nil"/>
            </w:tcBorders>
            <w:vAlign w:val="center"/>
          </w:tcPr>
          <w:p w14:paraId="6D701998" w14:textId="77777777" w:rsidR="00A54B8A" w:rsidRPr="00E8670C" w:rsidRDefault="00A54B8A" w:rsidP="008B68A5">
            <w:pPr>
              <w:spacing w:before="60" w:after="60"/>
              <w:jc w:val="center"/>
              <w:rPr>
                <w:rFonts w:cs="Arial"/>
                <w:sz w:val="20"/>
                <w:szCs w:val="20"/>
              </w:rPr>
            </w:pPr>
            <w:r w:rsidRPr="00E8670C">
              <w:rPr>
                <w:rFonts w:cs="Arial"/>
                <w:sz w:val="20"/>
                <w:szCs w:val="20"/>
              </w:rPr>
              <w:t>Existing technology</w:t>
            </w:r>
          </w:p>
        </w:tc>
        <w:tc>
          <w:tcPr>
            <w:tcW w:w="2970" w:type="dxa"/>
            <w:tcBorders>
              <w:bottom w:val="nil"/>
            </w:tcBorders>
            <w:vAlign w:val="center"/>
          </w:tcPr>
          <w:p w14:paraId="0092C7AC" w14:textId="77777777" w:rsidR="00A54B8A" w:rsidRPr="00E8670C" w:rsidRDefault="00A54B8A" w:rsidP="008B68A5">
            <w:pPr>
              <w:spacing w:before="60" w:after="60"/>
              <w:jc w:val="center"/>
              <w:rPr>
                <w:rFonts w:cs="Arial"/>
                <w:sz w:val="20"/>
                <w:szCs w:val="20"/>
              </w:rPr>
            </w:pPr>
            <w:r>
              <w:rPr>
                <w:rFonts w:cs="Arial"/>
                <w:sz w:val="20"/>
                <w:szCs w:val="20"/>
              </w:rPr>
              <w:t>Measure equipment cost + labor cost</w:t>
            </w:r>
          </w:p>
        </w:tc>
        <w:tc>
          <w:tcPr>
            <w:tcW w:w="1620" w:type="dxa"/>
            <w:tcBorders>
              <w:bottom w:val="nil"/>
            </w:tcBorders>
            <w:vAlign w:val="center"/>
          </w:tcPr>
          <w:p w14:paraId="1A02B0E2" w14:textId="77777777" w:rsidR="00A54B8A" w:rsidRPr="00E8670C" w:rsidRDefault="00A54B8A" w:rsidP="008B68A5">
            <w:pPr>
              <w:spacing w:before="60" w:after="60"/>
              <w:jc w:val="center"/>
              <w:rPr>
                <w:rFonts w:cs="Arial"/>
                <w:sz w:val="20"/>
                <w:szCs w:val="20"/>
              </w:rPr>
            </w:pPr>
            <w:r>
              <w:rPr>
                <w:rFonts w:cs="Arial"/>
                <w:sz w:val="20"/>
                <w:szCs w:val="20"/>
              </w:rPr>
              <w:t xml:space="preserve">RUL = </w:t>
            </w:r>
            <w:r w:rsidRPr="00E8670C">
              <w:rPr>
                <w:rFonts w:cs="Arial"/>
                <w:sz w:val="20"/>
                <w:szCs w:val="20"/>
              </w:rPr>
              <w:t>1/3</w:t>
            </w:r>
            <w:r>
              <w:rPr>
                <w:rFonts w:cs="Arial"/>
                <w:sz w:val="20"/>
                <w:szCs w:val="20"/>
              </w:rPr>
              <w:t>*</w:t>
            </w:r>
            <w:r w:rsidRPr="00E8670C">
              <w:rPr>
                <w:rFonts w:cs="Arial"/>
                <w:sz w:val="20"/>
                <w:szCs w:val="20"/>
              </w:rPr>
              <w:t>EUL</w:t>
            </w:r>
            <w:r>
              <w:rPr>
                <w:rStyle w:val="FootnoteReference"/>
                <w:rFonts w:cs="Arial"/>
                <w:sz w:val="20"/>
                <w:szCs w:val="20"/>
              </w:rPr>
              <w:footnoteReference w:id="6"/>
            </w:r>
          </w:p>
        </w:tc>
      </w:tr>
      <w:tr w:rsidR="00A54B8A" w:rsidRPr="00E8670C" w14:paraId="16CB9964" w14:textId="77777777" w:rsidTr="008B68A5">
        <w:tc>
          <w:tcPr>
            <w:tcW w:w="1345" w:type="dxa"/>
            <w:vMerge/>
            <w:vAlign w:val="center"/>
          </w:tcPr>
          <w:p w14:paraId="1D3E00D4" w14:textId="77777777" w:rsidR="00A54B8A" w:rsidRPr="00E8670C" w:rsidRDefault="00A54B8A" w:rsidP="008B68A5">
            <w:pPr>
              <w:spacing w:before="60" w:after="60"/>
              <w:jc w:val="center"/>
              <w:rPr>
                <w:rFonts w:cs="Arial"/>
                <w:sz w:val="20"/>
                <w:szCs w:val="20"/>
              </w:rPr>
            </w:pPr>
          </w:p>
        </w:tc>
        <w:tc>
          <w:tcPr>
            <w:tcW w:w="1440" w:type="dxa"/>
            <w:tcBorders>
              <w:top w:val="nil"/>
              <w:bottom w:val="single" w:sz="4" w:space="0" w:color="auto"/>
            </w:tcBorders>
            <w:shd w:val="clear" w:color="auto" w:fill="F2F2F2" w:themeFill="background1" w:themeFillShade="F2"/>
            <w:vAlign w:val="center"/>
          </w:tcPr>
          <w:p w14:paraId="6EB28A52" w14:textId="77777777" w:rsidR="00A54B8A" w:rsidRPr="00E8670C" w:rsidRDefault="00A54B8A" w:rsidP="008B68A5">
            <w:pPr>
              <w:spacing w:before="60" w:after="60"/>
              <w:jc w:val="center"/>
              <w:rPr>
                <w:rFonts w:cs="Arial"/>
                <w:sz w:val="20"/>
                <w:szCs w:val="20"/>
              </w:rPr>
            </w:pPr>
            <w:r w:rsidRPr="00E8670C">
              <w:rPr>
                <w:rFonts w:cs="Arial"/>
                <w:sz w:val="20"/>
                <w:szCs w:val="20"/>
              </w:rPr>
              <w:t>Second</w:t>
            </w:r>
          </w:p>
        </w:tc>
        <w:tc>
          <w:tcPr>
            <w:tcW w:w="1620" w:type="dxa"/>
            <w:tcBorders>
              <w:top w:val="nil"/>
              <w:bottom w:val="single" w:sz="4" w:space="0" w:color="auto"/>
            </w:tcBorders>
            <w:shd w:val="clear" w:color="auto" w:fill="F2F2F2" w:themeFill="background1" w:themeFillShade="F2"/>
            <w:vAlign w:val="center"/>
          </w:tcPr>
          <w:p w14:paraId="52716CAA" w14:textId="77777777" w:rsidR="00A54B8A" w:rsidRPr="00E8670C" w:rsidRDefault="00A54B8A" w:rsidP="008B68A5">
            <w:pPr>
              <w:spacing w:before="60" w:after="60"/>
              <w:jc w:val="center"/>
              <w:rPr>
                <w:rFonts w:cs="Arial"/>
                <w:sz w:val="20"/>
                <w:szCs w:val="20"/>
              </w:rPr>
            </w:pPr>
            <w:r w:rsidRPr="00E8670C">
              <w:rPr>
                <w:rFonts w:cs="Arial"/>
                <w:sz w:val="20"/>
                <w:szCs w:val="20"/>
              </w:rPr>
              <w:t>Code or standard</w:t>
            </w:r>
          </w:p>
        </w:tc>
        <w:tc>
          <w:tcPr>
            <w:tcW w:w="2970" w:type="dxa"/>
            <w:tcBorders>
              <w:top w:val="nil"/>
              <w:bottom w:val="single" w:sz="4" w:space="0" w:color="auto"/>
            </w:tcBorders>
            <w:shd w:val="clear" w:color="auto" w:fill="F2F2F2" w:themeFill="background1" w:themeFillShade="F2"/>
            <w:vAlign w:val="center"/>
          </w:tcPr>
          <w:p w14:paraId="64629FC8" w14:textId="77777777" w:rsidR="00A54B8A" w:rsidRPr="00E8670C" w:rsidRDefault="00A54B8A" w:rsidP="008B68A5">
            <w:pPr>
              <w:spacing w:before="60" w:after="60"/>
              <w:jc w:val="center"/>
              <w:rPr>
                <w:rFonts w:cs="Arial"/>
                <w:sz w:val="20"/>
                <w:szCs w:val="20"/>
              </w:rPr>
            </w:pPr>
            <w:r>
              <w:rPr>
                <w:rFonts w:cs="Arial"/>
                <w:sz w:val="20"/>
                <w:szCs w:val="20"/>
              </w:rPr>
              <w:t>(-1)*(Code/standard equipment cost + labor cost)</w:t>
            </w:r>
          </w:p>
        </w:tc>
        <w:tc>
          <w:tcPr>
            <w:tcW w:w="1620" w:type="dxa"/>
            <w:tcBorders>
              <w:top w:val="nil"/>
              <w:bottom w:val="single" w:sz="4" w:space="0" w:color="auto"/>
            </w:tcBorders>
            <w:shd w:val="clear" w:color="auto" w:fill="F2F2F2" w:themeFill="background1" w:themeFillShade="F2"/>
            <w:vAlign w:val="center"/>
          </w:tcPr>
          <w:p w14:paraId="36989652" w14:textId="77777777" w:rsidR="00A54B8A" w:rsidRPr="00E8670C" w:rsidRDefault="00A54B8A" w:rsidP="008B68A5">
            <w:pPr>
              <w:spacing w:before="60" w:after="60"/>
              <w:jc w:val="center"/>
              <w:rPr>
                <w:rFonts w:cs="Arial"/>
                <w:sz w:val="20"/>
                <w:szCs w:val="20"/>
              </w:rPr>
            </w:pPr>
            <w:r>
              <w:rPr>
                <w:rFonts w:cs="Arial"/>
                <w:sz w:val="20"/>
                <w:szCs w:val="20"/>
              </w:rPr>
              <w:t>EUL - RUL</w:t>
            </w:r>
          </w:p>
        </w:tc>
      </w:tr>
      <w:tr w:rsidR="007C506F" w:rsidRPr="00E8670C" w14:paraId="0253789A" w14:textId="77777777" w:rsidTr="00C87166">
        <w:tc>
          <w:tcPr>
            <w:tcW w:w="1345" w:type="dxa"/>
            <w:vMerge w:val="restart"/>
            <w:vAlign w:val="center"/>
          </w:tcPr>
          <w:p w14:paraId="0466A002" w14:textId="6A222249" w:rsidR="007C506F" w:rsidRPr="00E8670C" w:rsidRDefault="00A54B8A" w:rsidP="00970A26">
            <w:pPr>
              <w:spacing w:before="60" w:after="60"/>
              <w:jc w:val="center"/>
              <w:rPr>
                <w:rFonts w:cs="Arial"/>
                <w:sz w:val="20"/>
                <w:szCs w:val="20"/>
              </w:rPr>
            </w:pPr>
            <w:r>
              <w:rPr>
                <w:rFonts w:cs="Arial"/>
                <w:sz w:val="20"/>
                <w:szCs w:val="20"/>
              </w:rPr>
              <w:t>REA</w:t>
            </w:r>
          </w:p>
        </w:tc>
        <w:tc>
          <w:tcPr>
            <w:tcW w:w="1440" w:type="dxa"/>
            <w:tcBorders>
              <w:bottom w:val="nil"/>
            </w:tcBorders>
            <w:vAlign w:val="center"/>
          </w:tcPr>
          <w:p w14:paraId="33AA2D0D" w14:textId="3B58717A" w:rsidR="007C506F" w:rsidRPr="00E8670C" w:rsidRDefault="007C506F" w:rsidP="00970A26">
            <w:pPr>
              <w:spacing w:before="60" w:after="60"/>
              <w:jc w:val="center"/>
              <w:rPr>
                <w:rFonts w:cs="Arial"/>
                <w:sz w:val="20"/>
                <w:szCs w:val="20"/>
              </w:rPr>
            </w:pPr>
            <w:r w:rsidRPr="00E8670C">
              <w:rPr>
                <w:rFonts w:cs="Arial"/>
                <w:sz w:val="20"/>
                <w:szCs w:val="20"/>
              </w:rPr>
              <w:t>First</w:t>
            </w:r>
          </w:p>
        </w:tc>
        <w:tc>
          <w:tcPr>
            <w:tcW w:w="1620" w:type="dxa"/>
            <w:tcBorders>
              <w:bottom w:val="nil"/>
            </w:tcBorders>
            <w:vAlign w:val="center"/>
          </w:tcPr>
          <w:p w14:paraId="70150DC4" w14:textId="588C3714" w:rsidR="007C506F" w:rsidRPr="00E8670C" w:rsidRDefault="007C506F" w:rsidP="00970A26">
            <w:pPr>
              <w:spacing w:before="60" w:after="60"/>
              <w:jc w:val="center"/>
              <w:rPr>
                <w:rFonts w:cs="Arial"/>
                <w:sz w:val="20"/>
                <w:szCs w:val="20"/>
              </w:rPr>
            </w:pPr>
            <w:r w:rsidRPr="00E8670C">
              <w:rPr>
                <w:rFonts w:cs="Arial"/>
                <w:sz w:val="20"/>
                <w:szCs w:val="20"/>
              </w:rPr>
              <w:t>Existing technology</w:t>
            </w:r>
          </w:p>
        </w:tc>
        <w:tc>
          <w:tcPr>
            <w:tcW w:w="2970" w:type="dxa"/>
            <w:tcBorders>
              <w:bottom w:val="nil"/>
            </w:tcBorders>
            <w:vAlign w:val="center"/>
          </w:tcPr>
          <w:p w14:paraId="5C685F6A" w14:textId="07D06F26" w:rsidR="007C506F" w:rsidRPr="00E8670C" w:rsidRDefault="001A646D" w:rsidP="00C87166">
            <w:pPr>
              <w:spacing w:before="60" w:after="60"/>
              <w:jc w:val="center"/>
              <w:rPr>
                <w:rFonts w:cs="Arial"/>
                <w:sz w:val="20"/>
                <w:szCs w:val="20"/>
              </w:rPr>
            </w:pPr>
            <w:r>
              <w:rPr>
                <w:rFonts w:cs="Arial"/>
                <w:sz w:val="20"/>
                <w:szCs w:val="20"/>
              </w:rPr>
              <w:t xml:space="preserve">Measure equipment cost + </w:t>
            </w:r>
            <w:r w:rsidR="00C87166">
              <w:rPr>
                <w:rFonts w:cs="Arial"/>
                <w:sz w:val="20"/>
                <w:szCs w:val="20"/>
              </w:rPr>
              <w:t>labor</w:t>
            </w:r>
            <w:r>
              <w:rPr>
                <w:rFonts w:cs="Arial"/>
                <w:sz w:val="20"/>
                <w:szCs w:val="20"/>
              </w:rPr>
              <w:t xml:space="preserve"> cost</w:t>
            </w:r>
          </w:p>
        </w:tc>
        <w:tc>
          <w:tcPr>
            <w:tcW w:w="1620" w:type="dxa"/>
            <w:tcBorders>
              <w:bottom w:val="nil"/>
            </w:tcBorders>
            <w:vAlign w:val="center"/>
          </w:tcPr>
          <w:p w14:paraId="72BE1C60" w14:textId="05460B06" w:rsidR="007C506F" w:rsidRPr="00E8670C" w:rsidRDefault="00A54B8A" w:rsidP="001A646D">
            <w:pPr>
              <w:spacing w:before="60" w:after="60"/>
              <w:jc w:val="center"/>
              <w:rPr>
                <w:rFonts w:cs="Arial"/>
                <w:sz w:val="20"/>
                <w:szCs w:val="20"/>
              </w:rPr>
            </w:pPr>
            <w:r>
              <w:rPr>
                <w:rFonts w:cs="Arial"/>
                <w:sz w:val="20"/>
                <w:szCs w:val="20"/>
              </w:rPr>
              <w:t>EUL</w:t>
            </w:r>
          </w:p>
        </w:tc>
      </w:tr>
      <w:tr w:rsidR="007C506F" w:rsidRPr="00E8670C" w14:paraId="33DF8FD4" w14:textId="77777777" w:rsidTr="00C87166">
        <w:tc>
          <w:tcPr>
            <w:tcW w:w="1345" w:type="dxa"/>
            <w:vMerge/>
            <w:vAlign w:val="center"/>
          </w:tcPr>
          <w:p w14:paraId="57466ACF" w14:textId="45C40E77" w:rsidR="007C506F" w:rsidRPr="00E8670C" w:rsidRDefault="007C506F" w:rsidP="00970A26">
            <w:pPr>
              <w:spacing w:before="60" w:after="60"/>
              <w:jc w:val="center"/>
              <w:rPr>
                <w:rFonts w:cs="Arial"/>
                <w:sz w:val="20"/>
                <w:szCs w:val="20"/>
              </w:rPr>
            </w:pPr>
          </w:p>
        </w:tc>
        <w:tc>
          <w:tcPr>
            <w:tcW w:w="1440" w:type="dxa"/>
            <w:tcBorders>
              <w:top w:val="nil"/>
              <w:bottom w:val="single" w:sz="4" w:space="0" w:color="auto"/>
            </w:tcBorders>
            <w:shd w:val="clear" w:color="auto" w:fill="F2F2F2" w:themeFill="background1" w:themeFillShade="F2"/>
            <w:vAlign w:val="center"/>
          </w:tcPr>
          <w:p w14:paraId="69BD6A2E" w14:textId="4B062BDD" w:rsidR="007C506F" w:rsidRPr="00E8670C" w:rsidRDefault="007C506F" w:rsidP="00970A26">
            <w:pPr>
              <w:spacing w:before="60" w:after="60"/>
              <w:jc w:val="center"/>
              <w:rPr>
                <w:rFonts w:cs="Arial"/>
                <w:sz w:val="20"/>
                <w:szCs w:val="20"/>
              </w:rPr>
            </w:pPr>
            <w:r w:rsidRPr="00E8670C">
              <w:rPr>
                <w:rFonts w:cs="Arial"/>
                <w:sz w:val="20"/>
                <w:szCs w:val="20"/>
              </w:rPr>
              <w:t>Second</w:t>
            </w:r>
          </w:p>
        </w:tc>
        <w:tc>
          <w:tcPr>
            <w:tcW w:w="1620" w:type="dxa"/>
            <w:tcBorders>
              <w:top w:val="nil"/>
              <w:bottom w:val="single" w:sz="4" w:space="0" w:color="auto"/>
            </w:tcBorders>
            <w:shd w:val="clear" w:color="auto" w:fill="F2F2F2" w:themeFill="background1" w:themeFillShade="F2"/>
            <w:vAlign w:val="center"/>
          </w:tcPr>
          <w:p w14:paraId="437C7040" w14:textId="63BDEB45" w:rsidR="007C506F" w:rsidRPr="00E8670C" w:rsidRDefault="00A54B8A" w:rsidP="00970A26">
            <w:pPr>
              <w:spacing w:before="60" w:after="60"/>
              <w:jc w:val="center"/>
              <w:rPr>
                <w:rFonts w:cs="Arial"/>
                <w:sz w:val="20"/>
                <w:szCs w:val="20"/>
              </w:rPr>
            </w:pPr>
            <w:r>
              <w:rPr>
                <w:rFonts w:cs="Arial"/>
                <w:sz w:val="20"/>
                <w:szCs w:val="20"/>
              </w:rPr>
              <w:t>N/A</w:t>
            </w:r>
          </w:p>
        </w:tc>
        <w:tc>
          <w:tcPr>
            <w:tcW w:w="2970" w:type="dxa"/>
            <w:tcBorders>
              <w:top w:val="nil"/>
              <w:bottom w:val="single" w:sz="4" w:space="0" w:color="auto"/>
            </w:tcBorders>
            <w:shd w:val="clear" w:color="auto" w:fill="F2F2F2" w:themeFill="background1" w:themeFillShade="F2"/>
            <w:vAlign w:val="center"/>
          </w:tcPr>
          <w:p w14:paraId="3A6792E1" w14:textId="6A73A8CD" w:rsidR="007C506F" w:rsidRPr="00E8670C" w:rsidRDefault="00A54B8A" w:rsidP="00C87166">
            <w:pPr>
              <w:spacing w:before="60" w:after="60"/>
              <w:jc w:val="center"/>
              <w:rPr>
                <w:rFonts w:cs="Arial"/>
                <w:sz w:val="20"/>
                <w:szCs w:val="20"/>
              </w:rPr>
            </w:pPr>
            <w:r>
              <w:rPr>
                <w:rFonts w:cs="Arial"/>
                <w:sz w:val="20"/>
                <w:szCs w:val="20"/>
              </w:rPr>
              <w:t>N/A</w:t>
            </w:r>
          </w:p>
        </w:tc>
        <w:tc>
          <w:tcPr>
            <w:tcW w:w="1620" w:type="dxa"/>
            <w:tcBorders>
              <w:top w:val="nil"/>
              <w:bottom w:val="single" w:sz="4" w:space="0" w:color="auto"/>
            </w:tcBorders>
            <w:shd w:val="clear" w:color="auto" w:fill="F2F2F2" w:themeFill="background1" w:themeFillShade="F2"/>
            <w:vAlign w:val="center"/>
          </w:tcPr>
          <w:p w14:paraId="17EB2B0F" w14:textId="021B4005" w:rsidR="007C506F" w:rsidRPr="00E8670C" w:rsidRDefault="00A54B8A" w:rsidP="00970A26">
            <w:pPr>
              <w:spacing w:before="60" w:after="60"/>
              <w:jc w:val="center"/>
              <w:rPr>
                <w:rFonts w:cs="Arial"/>
                <w:sz w:val="20"/>
                <w:szCs w:val="20"/>
              </w:rPr>
            </w:pPr>
            <w:r>
              <w:rPr>
                <w:rFonts w:cs="Arial"/>
                <w:sz w:val="20"/>
                <w:szCs w:val="20"/>
              </w:rPr>
              <w:t>N/A</w:t>
            </w:r>
          </w:p>
        </w:tc>
      </w:tr>
      <w:tr w:rsidR="007C506F" w:rsidRPr="00E8670C" w14:paraId="33831E4F" w14:textId="77777777" w:rsidTr="00C87166">
        <w:tc>
          <w:tcPr>
            <w:tcW w:w="1345" w:type="dxa"/>
            <w:vMerge w:val="restart"/>
            <w:shd w:val="clear" w:color="auto" w:fill="auto"/>
            <w:vAlign w:val="center"/>
          </w:tcPr>
          <w:p w14:paraId="44345798" w14:textId="435FD644" w:rsidR="007C506F" w:rsidRPr="00E8670C" w:rsidRDefault="007C506F" w:rsidP="00970A26">
            <w:pPr>
              <w:spacing w:before="60" w:after="60"/>
              <w:jc w:val="center"/>
              <w:rPr>
                <w:rFonts w:cs="Arial"/>
                <w:sz w:val="20"/>
                <w:szCs w:val="20"/>
              </w:rPr>
            </w:pPr>
            <w:r w:rsidRPr="00E8670C">
              <w:rPr>
                <w:rFonts w:cs="Arial"/>
                <w:sz w:val="20"/>
                <w:szCs w:val="20"/>
              </w:rPr>
              <w:t>ROB</w:t>
            </w:r>
          </w:p>
        </w:tc>
        <w:tc>
          <w:tcPr>
            <w:tcW w:w="1440" w:type="dxa"/>
            <w:tcBorders>
              <w:bottom w:val="nil"/>
            </w:tcBorders>
            <w:shd w:val="clear" w:color="auto" w:fill="auto"/>
            <w:vAlign w:val="center"/>
          </w:tcPr>
          <w:p w14:paraId="2711474D" w14:textId="77777777" w:rsidR="007C506F" w:rsidRPr="00E8670C" w:rsidRDefault="007C506F" w:rsidP="00471494">
            <w:pPr>
              <w:spacing w:before="60" w:after="60"/>
              <w:jc w:val="center"/>
              <w:rPr>
                <w:rFonts w:cs="Arial"/>
                <w:sz w:val="20"/>
                <w:szCs w:val="20"/>
              </w:rPr>
            </w:pPr>
            <w:r w:rsidRPr="00E8670C">
              <w:rPr>
                <w:rFonts w:cs="Arial"/>
                <w:sz w:val="20"/>
                <w:szCs w:val="20"/>
              </w:rPr>
              <w:t>First</w:t>
            </w:r>
          </w:p>
        </w:tc>
        <w:tc>
          <w:tcPr>
            <w:tcW w:w="1620" w:type="dxa"/>
            <w:tcBorders>
              <w:bottom w:val="nil"/>
            </w:tcBorders>
            <w:shd w:val="clear" w:color="auto" w:fill="auto"/>
            <w:vAlign w:val="center"/>
          </w:tcPr>
          <w:p w14:paraId="5CE909B9" w14:textId="05B01BBC" w:rsidR="007C506F" w:rsidRPr="00E8670C" w:rsidRDefault="007C506F" w:rsidP="00471494">
            <w:pPr>
              <w:spacing w:before="60" w:after="60"/>
              <w:jc w:val="center"/>
              <w:rPr>
                <w:rFonts w:cs="Arial"/>
                <w:sz w:val="20"/>
                <w:szCs w:val="20"/>
              </w:rPr>
            </w:pPr>
            <w:r w:rsidRPr="00E8670C">
              <w:rPr>
                <w:rFonts w:cs="Arial"/>
                <w:sz w:val="20"/>
                <w:szCs w:val="20"/>
              </w:rPr>
              <w:t>Code or standard</w:t>
            </w:r>
          </w:p>
        </w:tc>
        <w:tc>
          <w:tcPr>
            <w:tcW w:w="2970" w:type="dxa"/>
            <w:tcBorders>
              <w:bottom w:val="nil"/>
            </w:tcBorders>
            <w:vAlign w:val="center"/>
          </w:tcPr>
          <w:p w14:paraId="210BF857" w14:textId="07E921FD" w:rsidR="007C506F" w:rsidRPr="00E8670C" w:rsidRDefault="00C87166" w:rsidP="001A646D">
            <w:pPr>
              <w:spacing w:before="60" w:after="60"/>
              <w:jc w:val="center"/>
              <w:rPr>
                <w:rFonts w:cs="Arial"/>
                <w:sz w:val="20"/>
                <w:szCs w:val="20"/>
              </w:rPr>
            </w:pPr>
            <w:r>
              <w:rPr>
                <w:rFonts w:cs="Arial"/>
                <w:sz w:val="20"/>
                <w:szCs w:val="20"/>
              </w:rPr>
              <w:t>(</w:t>
            </w:r>
            <w:r w:rsidR="001A646D">
              <w:rPr>
                <w:rFonts w:cs="Arial"/>
                <w:sz w:val="20"/>
                <w:szCs w:val="20"/>
              </w:rPr>
              <w:t xml:space="preserve">Measure equipment cost </w:t>
            </w:r>
            <w:r>
              <w:rPr>
                <w:rFonts w:cs="Arial"/>
                <w:sz w:val="20"/>
                <w:szCs w:val="20"/>
              </w:rPr>
              <w:t xml:space="preserve">+ labor cost) </w:t>
            </w:r>
            <w:r w:rsidR="001A646D">
              <w:rPr>
                <w:rFonts w:cs="Arial"/>
                <w:sz w:val="20"/>
                <w:szCs w:val="20"/>
              </w:rPr>
              <w:t xml:space="preserve">– </w:t>
            </w:r>
            <w:r>
              <w:rPr>
                <w:rFonts w:cs="Arial"/>
                <w:sz w:val="20"/>
                <w:szCs w:val="20"/>
              </w:rPr>
              <w:t>(</w:t>
            </w:r>
            <w:r w:rsidR="001A646D">
              <w:rPr>
                <w:rFonts w:cs="Arial"/>
                <w:sz w:val="20"/>
                <w:szCs w:val="20"/>
              </w:rPr>
              <w:t>Code/standard cost</w:t>
            </w:r>
            <w:r>
              <w:rPr>
                <w:rFonts w:cs="Arial"/>
                <w:sz w:val="20"/>
                <w:szCs w:val="20"/>
              </w:rPr>
              <w:t xml:space="preserve"> + labor cost)</w:t>
            </w:r>
          </w:p>
        </w:tc>
        <w:tc>
          <w:tcPr>
            <w:tcW w:w="1620" w:type="dxa"/>
            <w:tcBorders>
              <w:bottom w:val="nil"/>
            </w:tcBorders>
            <w:shd w:val="clear" w:color="auto" w:fill="auto"/>
            <w:vAlign w:val="center"/>
          </w:tcPr>
          <w:p w14:paraId="7326D33F" w14:textId="327A834D" w:rsidR="007C506F" w:rsidRPr="00E8670C" w:rsidRDefault="007C506F" w:rsidP="00471494">
            <w:pPr>
              <w:spacing w:before="60" w:after="60"/>
              <w:jc w:val="center"/>
              <w:rPr>
                <w:rFonts w:cs="Arial"/>
                <w:sz w:val="20"/>
                <w:szCs w:val="20"/>
              </w:rPr>
            </w:pPr>
            <w:r w:rsidRPr="00E8670C">
              <w:rPr>
                <w:rFonts w:cs="Arial"/>
                <w:sz w:val="20"/>
                <w:szCs w:val="20"/>
              </w:rPr>
              <w:t>Full EUL</w:t>
            </w:r>
          </w:p>
        </w:tc>
      </w:tr>
      <w:tr w:rsidR="007C506F" w:rsidRPr="00E8670C" w14:paraId="10758646" w14:textId="77777777" w:rsidTr="00C87166">
        <w:tc>
          <w:tcPr>
            <w:tcW w:w="1345" w:type="dxa"/>
            <w:vMerge/>
            <w:shd w:val="clear" w:color="auto" w:fill="auto"/>
            <w:vAlign w:val="center"/>
          </w:tcPr>
          <w:p w14:paraId="482E9171" w14:textId="77777777" w:rsidR="007C506F" w:rsidRPr="00E8670C" w:rsidRDefault="007C506F" w:rsidP="00970A26">
            <w:pPr>
              <w:spacing w:before="60" w:after="60"/>
              <w:jc w:val="center"/>
              <w:rPr>
                <w:rFonts w:cs="Arial"/>
                <w:sz w:val="20"/>
                <w:szCs w:val="20"/>
              </w:rPr>
            </w:pPr>
          </w:p>
        </w:tc>
        <w:tc>
          <w:tcPr>
            <w:tcW w:w="1440" w:type="dxa"/>
            <w:tcBorders>
              <w:top w:val="nil"/>
              <w:bottom w:val="single" w:sz="4" w:space="0" w:color="auto"/>
            </w:tcBorders>
            <w:shd w:val="clear" w:color="auto" w:fill="F2F2F2" w:themeFill="background1" w:themeFillShade="F2"/>
            <w:vAlign w:val="center"/>
          </w:tcPr>
          <w:p w14:paraId="3D8E8699" w14:textId="77777777" w:rsidR="007C506F" w:rsidRPr="00E8670C" w:rsidRDefault="007C506F" w:rsidP="00471494">
            <w:pPr>
              <w:spacing w:before="60" w:after="60"/>
              <w:jc w:val="center"/>
              <w:rPr>
                <w:rFonts w:cs="Arial"/>
                <w:sz w:val="20"/>
                <w:szCs w:val="20"/>
              </w:rPr>
            </w:pPr>
            <w:r w:rsidRPr="00E8670C">
              <w:rPr>
                <w:rFonts w:cs="Arial"/>
                <w:sz w:val="20"/>
                <w:szCs w:val="20"/>
              </w:rPr>
              <w:t>Second</w:t>
            </w:r>
          </w:p>
        </w:tc>
        <w:tc>
          <w:tcPr>
            <w:tcW w:w="1620" w:type="dxa"/>
            <w:tcBorders>
              <w:top w:val="nil"/>
              <w:bottom w:val="single" w:sz="4" w:space="0" w:color="auto"/>
            </w:tcBorders>
            <w:shd w:val="clear" w:color="auto" w:fill="F2F2F2" w:themeFill="background1" w:themeFillShade="F2"/>
            <w:vAlign w:val="center"/>
          </w:tcPr>
          <w:p w14:paraId="1FCE80AA" w14:textId="5024BA3C" w:rsidR="007C506F" w:rsidRPr="00E8670C" w:rsidRDefault="007C506F" w:rsidP="00471494">
            <w:pPr>
              <w:spacing w:before="60" w:after="60"/>
              <w:jc w:val="center"/>
              <w:rPr>
                <w:rFonts w:cs="Arial"/>
                <w:sz w:val="20"/>
                <w:szCs w:val="20"/>
              </w:rPr>
            </w:pPr>
            <w:r w:rsidRPr="00E8670C">
              <w:rPr>
                <w:rFonts w:cs="Arial"/>
                <w:sz w:val="20"/>
                <w:szCs w:val="20"/>
              </w:rPr>
              <w:t>N/A</w:t>
            </w:r>
          </w:p>
        </w:tc>
        <w:tc>
          <w:tcPr>
            <w:tcW w:w="2970" w:type="dxa"/>
            <w:tcBorders>
              <w:top w:val="nil"/>
              <w:bottom w:val="single" w:sz="4" w:space="0" w:color="auto"/>
            </w:tcBorders>
            <w:shd w:val="clear" w:color="auto" w:fill="F2F2F2" w:themeFill="background1" w:themeFillShade="F2"/>
            <w:vAlign w:val="center"/>
          </w:tcPr>
          <w:p w14:paraId="1A8463CC" w14:textId="7778B126" w:rsidR="007C506F" w:rsidRPr="00E8670C" w:rsidRDefault="007C506F" w:rsidP="00471494">
            <w:pPr>
              <w:spacing w:before="60" w:after="60"/>
              <w:jc w:val="center"/>
              <w:rPr>
                <w:rFonts w:cs="Arial"/>
                <w:sz w:val="20"/>
                <w:szCs w:val="20"/>
              </w:rPr>
            </w:pPr>
            <w:r w:rsidRPr="00E8670C">
              <w:rPr>
                <w:rFonts w:cs="Arial"/>
                <w:sz w:val="20"/>
                <w:szCs w:val="20"/>
              </w:rPr>
              <w:t>N/A</w:t>
            </w:r>
          </w:p>
        </w:tc>
        <w:tc>
          <w:tcPr>
            <w:tcW w:w="1620" w:type="dxa"/>
            <w:tcBorders>
              <w:top w:val="nil"/>
              <w:bottom w:val="single" w:sz="4" w:space="0" w:color="auto"/>
            </w:tcBorders>
            <w:shd w:val="clear" w:color="auto" w:fill="F2F2F2" w:themeFill="background1" w:themeFillShade="F2"/>
            <w:vAlign w:val="center"/>
          </w:tcPr>
          <w:p w14:paraId="502AAE82" w14:textId="6342F380" w:rsidR="007C506F" w:rsidRPr="00E8670C" w:rsidRDefault="007C506F" w:rsidP="00471494">
            <w:pPr>
              <w:spacing w:before="60" w:after="60"/>
              <w:jc w:val="center"/>
              <w:rPr>
                <w:rFonts w:cs="Arial"/>
                <w:sz w:val="20"/>
                <w:szCs w:val="20"/>
              </w:rPr>
            </w:pPr>
            <w:r w:rsidRPr="00E8670C">
              <w:rPr>
                <w:rFonts w:cs="Arial"/>
                <w:sz w:val="20"/>
                <w:szCs w:val="20"/>
              </w:rPr>
              <w:t>N/A</w:t>
            </w:r>
          </w:p>
        </w:tc>
      </w:tr>
      <w:tr w:rsidR="007C506F" w:rsidRPr="00E8670C" w14:paraId="294B75BB" w14:textId="77777777" w:rsidTr="00C87166">
        <w:tc>
          <w:tcPr>
            <w:tcW w:w="1345" w:type="dxa"/>
            <w:vMerge w:val="restart"/>
            <w:shd w:val="clear" w:color="auto" w:fill="auto"/>
            <w:vAlign w:val="center"/>
          </w:tcPr>
          <w:p w14:paraId="07ACE521" w14:textId="1B31AB7F" w:rsidR="007C506F" w:rsidRPr="00E8670C" w:rsidRDefault="007C506F" w:rsidP="007C506F">
            <w:pPr>
              <w:spacing w:before="60" w:after="60"/>
              <w:jc w:val="center"/>
              <w:rPr>
                <w:rFonts w:cs="Arial"/>
                <w:sz w:val="20"/>
                <w:szCs w:val="20"/>
              </w:rPr>
            </w:pPr>
            <w:r w:rsidRPr="00E8670C">
              <w:rPr>
                <w:rFonts w:cs="Arial"/>
                <w:sz w:val="20"/>
                <w:szCs w:val="20"/>
              </w:rPr>
              <w:t>NC</w:t>
            </w:r>
          </w:p>
        </w:tc>
        <w:tc>
          <w:tcPr>
            <w:tcW w:w="1440" w:type="dxa"/>
            <w:tcBorders>
              <w:bottom w:val="nil"/>
            </w:tcBorders>
            <w:shd w:val="clear" w:color="auto" w:fill="auto"/>
            <w:vAlign w:val="center"/>
          </w:tcPr>
          <w:p w14:paraId="0EDED139" w14:textId="77777777" w:rsidR="007C506F" w:rsidRPr="00E8670C" w:rsidRDefault="007C506F" w:rsidP="007C506F">
            <w:pPr>
              <w:spacing w:before="60" w:after="60"/>
              <w:jc w:val="center"/>
              <w:rPr>
                <w:rFonts w:cs="Arial"/>
                <w:sz w:val="20"/>
                <w:szCs w:val="20"/>
              </w:rPr>
            </w:pPr>
            <w:r w:rsidRPr="00E8670C">
              <w:rPr>
                <w:rFonts w:cs="Arial"/>
                <w:sz w:val="20"/>
                <w:szCs w:val="20"/>
              </w:rPr>
              <w:t>First</w:t>
            </w:r>
          </w:p>
        </w:tc>
        <w:tc>
          <w:tcPr>
            <w:tcW w:w="1620" w:type="dxa"/>
            <w:tcBorders>
              <w:bottom w:val="nil"/>
            </w:tcBorders>
            <w:shd w:val="clear" w:color="auto" w:fill="auto"/>
            <w:vAlign w:val="center"/>
          </w:tcPr>
          <w:p w14:paraId="150D2DF5" w14:textId="36402556" w:rsidR="007C506F" w:rsidRPr="00E8670C" w:rsidRDefault="007C506F" w:rsidP="007C506F">
            <w:pPr>
              <w:spacing w:before="60" w:after="60"/>
              <w:jc w:val="center"/>
              <w:rPr>
                <w:rFonts w:cs="Arial"/>
                <w:sz w:val="20"/>
                <w:szCs w:val="20"/>
              </w:rPr>
            </w:pPr>
            <w:r w:rsidRPr="00E8670C">
              <w:rPr>
                <w:rFonts w:cs="Arial"/>
                <w:sz w:val="20"/>
                <w:szCs w:val="20"/>
              </w:rPr>
              <w:t>Code or standard</w:t>
            </w:r>
          </w:p>
        </w:tc>
        <w:tc>
          <w:tcPr>
            <w:tcW w:w="2970" w:type="dxa"/>
            <w:tcBorders>
              <w:bottom w:val="nil"/>
            </w:tcBorders>
            <w:vAlign w:val="center"/>
          </w:tcPr>
          <w:p w14:paraId="5449FF55" w14:textId="75CD0B48" w:rsidR="007C506F" w:rsidRPr="00E8670C" w:rsidRDefault="00C87166" w:rsidP="007C506F">
            <w:pPr>
              <w:spacing w:before="60" w:after="60"/>
              <w:jc w:val="center"/>
              <w:rPr>
                <w:rFonts w:cs="Arial"/>
                <w:sz w:val="20"/>
                <w:szCs w:val="20"/>
              </w:rPr>
            </w:pPr>
            <w:r>
              <w:rPr>
                <w:rFonts w:cs="Arial"/>
                <w:sz w:val="20"/>
                <w:szCs w:val="20"/>
              </w:rPr>
              <w:t>(Measure equipment cost + labor cost) – (Code/standard cost + labor cost)</w:t>
            </w:r>
          </w:p>
        </w:tc>
        <w:tc>
          <w:tcPr>
            <w:tcW w:w="1620" w:type="dxa"/>
            <w:tcBorders>
              <w:bottom w:val="nil"/>
            </w:tcBorders>
            <w:shd w:val="clear" w:color="auto" w:fill="auto"/>
            <w:vAlign w:val="center"/>
          </w:tcPr>
          <w:p w14:paraId="35A8D6F6" w14:textId="63F54AF8" w:rsidR="007C506F" w:rsidRPr="00E8670C" w:rsidRDefault="007C506F" w:rsidP="007C506F">
            <w:pPr>
              <w:spacing w:before="60" w:after="60"/>
              <w:jc w:val="center"/>
              <w:rPr>
                <w:rFonts w:cs="Arial"/>
                <w:sz w:val="20"/>
                <w:szCs w:val="20"/>
              </w:rPr>
            </w:pPr>
            <w:r w:rsidRPr="00E8670C">
              <w:rPr>
                <w:rFonts w:cs="Arial"/>
                <w:sz w:val="20"/>
                <w:szCs w:val="20"/>
              </w:rPr>
              <w:t>Full EUL</w:t>
            </w:r>
          </w:p>
        </w:tc>
      </w:tr>
      <w:tr w:rsidR="007C506F" w:rsidRPr="00E8670C" w14:paraId="1C1F174A" w14:textId="77777777" w:rsidTr="00C87166">
        <w:trPr>
          <w:trHeight w:val="188"/>
        </w:trPr>
        <w:tc>
          <w:tcPr>
            <w:tcW w:w="1345" w:type="dxa"/>
            <w:vMerge/>
            <w:vAlign w:val="center"/>
          </w:tcPr>
          <w:p w14:paraId="4EF06305" w14:textId="77777777" w:rsidR="007C506F" w:rsidRPr="00E8670C" w:rsidRDefault="007C506F" w:rsidP="007C506F">
            <w:pPr>
              <w:spacing w:before="60" w:after="60"/>
              <w:jc w:val="center"/>
              <w:rPr>
                <w:rFonts w:cs="Arial"/>
                <w:sz w:val="20"/>
                <w:szCs w:val="20"/>
              </w:rPr>
            </w:pPr>
          </w:p>
        </w:tc>
        <w:tc>
          <w:tcPr>
            <w:tcW w:w="1440" w:type="dxa"/>
            <w:tcBorders>
              <w:top w:val="nil"/>
            </w:tcBorders>
            <w:shd w:val="clear" w:color="auto" w:fill="F2F2F2" w:themeFill="background1" w:themeFillShade="F2"/>
            <w:vAlign w:val="center"/>
          </w:tcPr>
          <w:p w14:paraId="771399B8" w14:textId="77777777" w:rsidR="007C506F" w:rsidRPr="00E8670C" w:rsidRDefault="007C506F" w:rsidP="007C506F">
            <w:pPr>
              <w:spacing w:before="60" w:after="60"/>
              <w:jc w:val="center"/>
              <w:rPr>
                <w:rFonts w:cs="Arial"/>
                <w:sz w:val="20"/>
                <w:szCs w:val="20"/>
              </w:rPr>
            </w:pPr>
            <w:r w:rsidRPr="00E8670C">
              <w:rPr>
                <w:rFonts w:cs="Arial"/>
                <w:sz w:val="20"/>
                <w:szCs w:val="20"/>
              </w:rPr>
              <w:t>Second</w:t>
            </w:r>
          </w:p>
        </w:tc>
        <w:tc>
          <w:tcPr>
            <w:tcW w:w="1620" w:type="dxa"/>
            <w:tcBorders>
              <w:top w:val="nil"/>
            </w:tcBorders>
            <w:shd w:val="clear" w:color="auto" w:fill="F2F2F2" w:themeFill="background1" w:themeFillShade="F2"/>
            <w:vAlign w:val="center"/>
          </w:tcPr>
          <w:p w14:paraId="45FD1F0E" w14:textId="53903406" w:rsidR="007C506F" w:rsidRPr="00E8670C" w:rsidRDefault="007C506F" w:rsidP="007C506F">
            <w:pPr>
              <w:spacing w:before="60" w:after="60"/>
              <w:jc w:val="center"/>
              <w:rPr>
                <w:rFonts w:cs="Arial"/>
                <w:sz w:val="20"/>
                <w:szCs w:val="20"/>
              </w:rPr>
            </w:pPr>
            <w:r w:rsidRPr="00E8670C">
              <w:rPr>
                <w:rFonts w:cs="Arial"/>
                <w:sz w:val="20"/>
                <w:szCs w:val="20"/>
              </w:rPr>
              <w:t>N/A</w:t>
            </w:r>
          </w:p>
        </w:tc>
        <w:tc>
          <w:tcPr>
            <w:tcW w:w="2970" w:type="dxa"/>
            <w:tcBorders>
              <w:top w:val="nil"/>
            </w:tcBorders>
            <w:shd w:val="clear" w:color="auto" w:fill="F2F2F2" w:themeFill="background1" w:themeFillShade="F2"/>
            <w:vAlign w:val="center"/>
          </w:tcPr>
          <w:p w14:paraId="522AC176" w14:textId="6C30E65B" w:rsidR="007C506F" w:rsidRPr="00E8670C" w:rsidRDefault="007C506F" w:rsidP="007C506F">
            <w:pPr>
              <w:spacing w:before="60" w:after="60"/>
              <w:jc w:val="center"/>
              <w:rPr>
                <w:rFonts w:cs="Arial"/>
                <w:sz w:val="20"/>
                <w:szCs w:val="20"/>
              </w:rPr>
            </w:pPr>
            <w:r w:rsidRPr="00E8670C">
              <w:rPr>
                <w:rFonts w:cs="Arial"/>
                <w:sz w:val="20"/>
                <w:szCs w:val="20"/>
              </w:rPr>
              <w:t>N/A</w:t>
            </w:r>
          </w:p>
        </w:tc>
        <w:tc>
          <w:tcPr>
            <w:tcW w:w="1620" w:type="dxa"/>
            <w:tcBorders>
              <w:top w:val="nil"/>
            </w:tcBorders>
            <w:shd w:val="clear" w:color="auto" w:fill="F2F2F2" w:themeFill="background1" w:themeFillShade="F2"/>
            <w:vAlign w:val="center"/>
          </w:tcPr>
          <w:p w14:paraId="1A9D35A1" w14:textId="35D547A8" w:rsidR="007C506F" w:rsidRPr="00E8670C" w:rsidRDefault="007C506F" w:rsidP="007C506F">
            <w:pPr>
              <w:spacing w:before="60" w:after="60"/>
              <w:jc w:val="center"/>
              <w:rPr>
                <w:rFonts w:cs="Arial"/>
                <w:sz w:val="20"/>
                <w:szCs w:val="20"/>
              </w:rPr>
            </w:pPr>
            <w:r w:rsidRPr="00E8670C">
              <w:rPr>
                <w:rFonts w:cs="Arial"/>
                <w:sz w:val="20"/>
                <w:szCs w:val="20"/>
              </w:rPr>
              <w:t>N/A</w:t>
            </w:r>
          </w:p>
        </w:tc>
      </w:tr>
    </w:tbl>
    <w:p w14:paraId="705526C5" w14:textId="77777777" w:rsidR="007C506F" w:rsidRDefault="007C506F" w:rsidP="004D0438">
      <w:pPr>
        <w:rPr>
          <w:rFonts w:cs="Arial"/>
          <w:sz w:val="20"/>
          <w:szCs w:val="20"/>
        </w:rPr>
      </w:pPr>
    </w:p>
    <w:p w14:paraId="473B4542" w14:textId="47DCC3F4" w:rsidR="004D0438" w:rsidRPr="00E8670C" w:rsidRDefault="004D0438" w:rsidP="004D0438">
      <w:pPr>
        <w:rPr>
          <w:rFonts w:cs="Arial"/>
          <w:sz w:val="20"/>
          <w:szCs w:val="20"/>
        </w:rPr>
      </w:pPr>
      <w:r>
        <w:rPr>
          <w:rFonts w:cs="Arial"/>
          <w:sz w:val="20"/>
          <w:szCs w:val="20"/>
        </w:rPr>
        <w:t>Measure cost overview developed by SCE:</w:t>
      </w:r>
    </w:p>
    <w:bookmarkStart w:id="100" w:name="_MON_1452319912"/>
    <w:bookmarkEnd w:id="100"/>
    <w:p w14:paraId="2D9437C5" w14:textId="77777777" w:rsidR="00072D35" w:rsidRDefault="004D0438" w:rsidP="004D0438">
      <w:pPr>
        <w:rPr>
          <w:rFonts w:asciiTheme="minorHAnsi" w:hAnsiTheme="minorHAnsi" w:cstheme="minorHAnsi"/>
          <w:i/>
          <w:color w:val="FF0000"/>
          <w:szCs w:val="22"/>
        </w:rPr>
      </w:pPr>
      <w:r>
        <w:rPr>
          <w:rFonts w:asciiTheme="minorHAnsi" w:hAnsiTheme="minorHAnsi" w:cstheme="minorHAnsi"/>
          <w:i/>
          <w:color w:val="FF0000"/>
          <w:szCs w:val="22"/>
        </w:rPr>
        <w:object w:dxaOrig="1531" w:dyaOrig="990" w14:anchorId="3A40E930">
          <v:shape id="_x0000_i1027" type="#_x0000_t75" style="width:76.2pt;height:49.8pt" o:ole="">
            <v:imagedata r:id="rId32" o:title=""/>
          </v:shape>
          <o:OLEObject Type="Embed" ProgID="Word.Document.12" ShapeID="_x0000_i1027" DrawAspect="Icon" ObjectID="_1497086316" r:id="rId33">
            <o:FieldCodes>\s</o:FieldCodes>
          </o:OLEObject>
        </w:object>
      </w:r>
    </w:p>
    <w:p w14:paraId="0E139B15" w14:textId="03D1BE7C" w:rsidR="00072D35" w:rsidRDefault="00072D35" w:rsidP="009301A2">
      <w:pPr>
        <w:pStyle w:val="Heading1"/>
      </w:pPr>
      <w:r>
        <w:rPr>
          <w:rFonts w:asciiTheme="minorHAnsi" w:hAnsiTheme="minorHAnsi" w:cstheme="minorHAnsi"/>
          <w:i/>
          <w:color w:val="FF0000"/>
          <w:szCs w:val="22"/>
        </w:rPr>
        <w:br w:type="page"/>
      </w:r>
      <w:bookmarkStart w:id="101" w:name="_Toc385593005"/>
      <w:r w:rsidRPr="00276CD0">
        <w:lastRenderedPageBreak/>
        <w:t>Appendi</w:t>
      </w:r>
      <w:r w:rsidR="00B20507">
        <w:t>x 4</w:t>
      </w:r>
      <w:r>
        <w:t xml:space="preserve"> – CPUC Quality Metrics</w:t>
      </w:r>
      <w:bookmarkEnd w:id="101"/>
    </w:p>
    <w:p w14:paraId="7D5B6948" w14:textId="6A0C7797" w:rsidR="00072D35" w:rsidRDefault="00072D35" w:rsidP="00072D35">
      <w:pPr>
        <w:spacing w:before="300" w:after="100"/>
        <w:rPr>
          <w:sz w:val="20"/>
          <w:szCs w:val="20"/>
        </w:rPr>
      </w:pPr>
      <w:r w:rsidRPr="00062208">
        <w:rPr>
          <w:sz w:val="20"/>
          <w:szCs w:val="20"/>
        </w:rPr>
        <w:t>CPUC workpaper development actions to ensure quality</w:t>
      </w:r>
      <w:r w:rsidR="00062208">
        <w:rPr>
          <w:sz w:val="20"/>
          <w:szCs w:val="20"/>
        </w:rPr>
        <w:t xml:space="preserve"> are listed below, adapted from ex ante implementation scoring metrics described in Attachment 7 of Decision (D).13-09-023.  The corresponding scoring metrics are shown below.</w:t>
      </w:r>
    </w:p>
    <w:tbl>
      <w:tblPr>
        <w:tblStyle w:val="TableGrid1"/>
        <w:tblW w:w="9270" w:type="dxa"/>
        <w:tblInd w:w="-5" w:type="dxa"/>
        <w:tblLook w:val="04A0" w:firstRow="1" w:lastRow="0" w:firstColumn="1" w:lastColumn="0" w:noHBand="0" w:noVBand="1"/>
      </w:tblPr>
      <w:tblGrid>
        <w:gridCol w:w="1170"/>
        <w:gridCol w:w="8100"/>
      </w:tblGrid>
      <w:tr w:rsidR="00062208" w:rsidRPr="00062208" w14:paraId="1F47F3C7" w14:textId="77777777" w:rsidTr="009F0DDC">
        <w:tc>
          <w:tcPr>
            <w:tcW w:w="1170" w:type="dxa"/>
            <w:shd w:val="clear" w:color="auto" w:fill="D9D9D9" w:themeFill="background1" w:themeFillShade="D9"/>
            <w:vAlign w:val="center"/>
          </w:tcPr>
          <w:p w14:paraId="0D33B136" w14:textId="77777777" w:rsidR="00062208" w:rsidRPr="00062208" w:rsidRDefault="00062208" w:rsidP="009F0DDC">
            <w:pPr>
              <w:spacing w:before="60" w:after="60"/>
              <w:jc w:val="center"/>
              <w:rPr>
                <w:rFonts w:cs="Arial"/>
                <w:b/>
                <w:sz w:val="20"/>
                <w:szCs w:val="20"/>
              </w:rPr>
            </w:pPr>
            <w:r w:rsidRPr="00062208">
              <w:rPr>
                <w:rFonts w:cs="Arial"/>
                <w:b/>
                <w:sz w:val="20"/>
                <w:szCs w:val="20"/>
              </w:rPr>
              <w:t>Metric</w:t>
            </w:r>
          </w:p>
        </w:tc>
        <w:tc>
          <w:tcPr>
            <w:tcW w:w="8100" w:type="dxa"/>
            <w:shd w:val="clear" w:color="auto" w:fill="D9D9D9" w:themeFill="background1" w:themeFillShade="D9"/>
            <w:vAlign w:val="center"/>
          </w:tcPr>
          <w:p w14:paraId="13222090" w14:textId="77777777" w:rsidR="00062208" w:rsidRPr="00062208" w:rsidRDefault="00062208" w:rsidP="009F0DDC">
            <w:pPr>
              <w:spacing w:before="60" w:after="60"/>
              <w:jc w:val="center"/>
              <w:rPr>
                <w:rFonts w:cs="Arial"/>
                <w:b/>
                <w:sz w:val="20"/>
                <w:szCs w:val="20"/>
              </w:rPr>
            </w:pPr>
            <w:r w:rsidRPr="00062208">
              <w:rPr>
                <w:rFonts w:cs="Arial"/>
                <w:b/>
                <w:sz w:val="20"/>
                <w:szCs w:val="20"/>
              </w:rPr>
              <w:t>Workpaper Development Action to Ensure Quality</w:t>
            </w:r>
          </w:p>
        </w:tc>
      </w:tr>
      <w:tr w:rsidR="00062208" w:rsidRPr="00062208" w14:paraId="32DAB2FD" w14:textId="77777777" w:rsidTr="009F0DDC">
        <w:tc>
          <w:tcPr>
            <w:tcW w:w="1170" w:type="dxa"/>
            <w:vAlign w:val="center"/>
          </w:tcPr>
          <w:p w14:paraId="265FED5D" w14:textId="77777777" w:rsidR="00062208" w:rsidRPr="00062208" w:rsidRDefault="00062208" w:rsidP="009F0DDC">
            <w:pPr>
              <w:spacing w:before="60" w:after="60"/>
              <w:jc w:val="center"/>
              <w:rPr>
                <w:rFonts w:cs="Arial"/>
                <w:sz w:val="20"/>
                <w:szCs w:val="20"/>
              </w:rPr>
            </w:pPr>
            <w:r w:rsidRPr="00062208">
              <w:rPr>
                <w:rFonts w:cs="Arial"/>
                <w:sz w:val="20"/>
                <w:szCs w:val="20"/>
              </w:rPr>
              <w:t>2</w:t>
            </w:r>
          </w:p>
        </w:tc>
        <w:tc>
          <w:tcPr>
            <w:tcW w:w="8100" w:type="dxa"/>
            <w:vAlign w:val="center"/>
          </w:tcPr>
          <w:p w14:paraId="4921DAFB" w14:textId="77777777" w:rsidR="00062208" w:rsidRPr="00062208" w:rsidRDefault="00062208" w:rsidP="009F0DDC">
            <w:pPr>
              <w:spacing w:before="60" w:after="60"/>
              <w:rPr>
                <w:rFonts w:cs="Arial"/>
                <w:sz w:val="20"/>
                <w:szCs w:val="20"/>
              </w:rPr>
            </w:pPr>
            <w:r w:rsidRPr="00062208">
              <w:rPr>
                <w:rFonts w:cs="Arial"/>
                <w:sz w:val="20"/>
                <w:szCs w:val="20"/>
              </w:rPr>
              <w:t>Address all aspects of the Uniform Workpaper Template</w:t>
            </w:r>
            <w:r w:rsidRPr="00062208">
              <w:rPr>
                <w:rStyle w:val="FootnoteReference"/>
                <w:rFonts w:cs="Arial"/>
                <w:sz w:val="20"/>
                <w:szCs w:val="20"/>
              </w:rPr>
              <w:footnoteReference w:id="7"/>
            </w:r>
          </w:p>
        </w:tc>
      </w:tr>
      <w:tr w:rsidR="00062208" w:rsidRPr="00062208" w14:paraId="7716E3AF" w14:textId="77777777" w:rsidTr="009F0DDC">
        <w:tc>
          <w:tcPr>
            <w:tcW w:w="1170" w:type="dxa"/>
            <w:vAlign w:val="center"/>
          </w:tcPr>
          <w:p w14:paraId="0B116BA8" w14:textId="77777777" w:rsidR="00062208" w:rsidRPr="00062208" w:rsidRDefault="00062208" w:rsidP="009F0DDC">
            <w:pPr>
              <w:spacing w:before="60" w:after="60"/>
              <w:jc w:val="center"/>
              <w:rPr>
                <w:rFonts w:cs="Arial"/>
                <w:sz w:val="20"/>
                <w:szCs w:val="20"/>
              </w:rPr>
            </w:pPr>
            <w:r w:rsidRPr="00062208">
              <w:rPr>
                <w:rFonts w:cs="Arial"/>
                <w:sz w:val="20"/>
                <w:szCs w:val="20"/>
              </w:rPr>
              <w:t>3a</w:t>
            </w:r>
            <w:r w:rsidRPr="00062208">
              <w:rPr>
                <w:rStyle w:val="FootnoteReference"/>
                <w:rFonts w:cs="Arial"/>
                <w:sz w:val="20"/>
                <w:szCs w:val="20"/>
              </w:rPr>
              <w:footnoteReference w:id="8"/>
            </w:r>
          </w:p>
        </w:tc>
        <w:tc>
          <w:tcPr>
            <w:tcW w:w="8100" w:type="dxa"/>
            <w:vAlign w:val="center"/>
          </w:tcPr>
          <w:p w14:paraId="365BB40B" w14:textId="77777777" w:rsidR="00062208" w:rsidRPr="00062208" w:rsidRDefault="00062208" w:rsidP="009F0DDC">
            <w:pPr>
              <w:spacing w:before="60" w:after="60"/>
              <w:rPr>
                <w:rFonts w:cs="Arial"/>
                <w:sz w:val="20"/>
                <w:szCs w:val="20"/>
              </w:rPr>
            </w:pPr>
            <w:r w:rsidRPr="00062208">
              <w:rPr>
                <w:rFonts w:cs="Arial"/>
                <w:sz w:val="20"/>
                <w:szCs w:val="20"/>
              </w:rPr>
              <w:t>Include appropriate program implementation background</w:t>
            </w:r>
          </w:p>
        </w:tc>
      </w:tr>
      <w:tr w:rsidR="00062208" w:rsidRPr="00062208" w14:paraId="56683E60" w14:textId="77777777" w:rsidTr="009F0DDC">
        <w:tc>
          <w:tcPr>
            <w:tcW w:w="1170" w:type="dxa"/>
            <w:vAlign w:val="center"/>
          </w:tcPr>
          <w:p w14:paraId="44299AAC" w14:textId="77777777" w:rsidR="00062208" w:rsidRPr="00062208" w:rsidRDefault="00062208" w:rsidP="009F0DDC">
            <w:pPr>
              <w:spacing w:before="60" w:after="60"/>
              <w:jc w:val="center"/>
              <w:rPr>
                <w:rFonts w:cs="Arial"/>
                <w:sz w:val="20"/>
                <w:szCs w:val="20"/>
              </w:rPr>
            </w:pPr>
            <w:r w:rsidRPr="00062208">
              <w:rPr>
                <w:rFonts w:cs="Arial"/>
                <w:sz w:val="20"/>
                <w:szCs w:val="20"/>
              </w:rPr>
              <w:t>3b</w:t>
            </w:r>
          </w:p>
        </w:tc>
        <w:tc>
          <w:tcPr>
            <w:tcW w:w="8100" w:type="dxa"/>
            <w:vAlign w:val="center"/>
          </w:tcPr>
          <w:p w14:paraId="0B1F9A1F" w14:textId="77777777" w:rsidR="00062208" w:rsidRPr="00062208" w:rsidRDefault="00062208" w:rsidP="009F0DDC">
            <w:pPr>
              <w:spacing w:before="60" w:after="60"/>
              <w:rPr>
                <w:rFonts w:cs="Arial"/>
                <w:sz w:val="20"/>
                <w:szCs w:val="20"/>
              </w:rPr>
            </w:pPr>
            <w:r w:rsidRPr="00062208">
              <w:rPr>
                <w:rFonts w:cs="Arial"/>
                <w:sz w:val="20"/>
                <w:szCs w:val="20"/>
              </w:rPr>
              <w:t>Include analysis of how implementation approach influences development of ex ante values</w:t>
            </w:r>
          </w:p>
        </w:tc>
      </w:tr>
      <w:tr w:rsidR="00062208" w:rsidRPr="00062208" w14:paraId="5631A7D6" w14:textId="77777777" w:rsidTr="009F0DDC">
        <w:tc>
          <w:tcPr>
            <w:tcW w:w="1170" w:type="dxa"/>
            <w:vAlign w:val="center"/>
          </w:tcPr>
          <w:p w14:paraId="782DBBAB" w14:textId="77777777" w:rsidR="00062208" w:rsidRPr="00062208" w:rsidRDefault="00062208" w:rsidP="009F0DDC">
            <w:pPr>
              <w:spacing w:before="60" w:after="60"/>
              <w:jc w:val="center"/>
              <w:rPr>
                <w:rFonts w:cs="Arial"/>
                <w:sz w:val="20"/>
                <w:szCs w:val="20"/>
              </w:rPr>
            </w:pPr>
            <w:r w:rsidRPr="00062208">
              <w:rPr>
                <w:rFonts w:cs="Arial"/>
                <w:sz w:val="20"/>
                <w:szCs w:val="20"/>
              </w:rPr>
              <w:t>3c</w:t>
            </w:r>
          </w:p>
        </w:tc>
        <w:tc>
          <w:tcPr>
            <w:tcW w:w="8100" w:type="dxa"/>
            <w:vAlign w:val="center"/>
          </w:tcPr>
          <w:p w14:paraId="0D858450" w14:textId="77777777" w:rsidR="00062208" w:rsidRPr="00062208" w:rsidRDefault="00062208" w:rsidP="009F0DDC">
            <w:pPr>
              <w:spacing w:before="60" w:after="60"/>
              <w:rPr>
                <w:rFonts w:cs="Arial"/>
                <w:sz w:val="20"/>
                <w:szCs w:val="20"/>
              </w:rPr>
            </w:pPr>
            <w:r w:rsidRPr="00062208">
              <w:rPr>
                <w:rFonts w:cs="Arial"/>
                <w:sz w:val="20"/>
                <w:szCs w:val="20"/>
              </w:rPr>
              <w:t xml:space="preserve">Include all applicable supporting materials </w:t>
            </w:r>
          </w:p>
        </w:tc>
      </w:tr>
      <w:tr w:rsidR="00062208" w:rsidRPr="00062208" w14:paraId="748D0B37" w14:textId="77777777" w:rsidTr="009F0DDC">
        <w:tc>
          <w:tcPr>
            <w:tcW w:w="1170" w:type="dxa"/>
            <w:vAlign w:val="center"/>
          </w:tcPr>
          <w:p w14:paraId="4A008E1D" w14:textId="77777777" w:rsidR="00062208" w:rsidRPr="00062208" w:rsidRDefault="00062208" w:rsidP="009F0DDC">
            <w:pPr>
              <w:spacing w:before="60" w:after="60"/>
              <w:jc w:val="center"/>
              <w:rPr>
                <w:rFonts w:cs="Arial"/>
                <w:sz w:val="20"/>
                <w:szCs w:val="20"/>
              </w:rPr>
            </w:pPr>
            <w:r w:rsidRPr="00062208">
              <w:rPr>
                <w:rFonts w:cs="Arial"/>
                <w:sz w:val="20"/>
                <w:szCs w:val="20"/>
              </w:rPr>
              <w:t>3d</w:t>
            </w:r>
          </w:p>
        </w:tc>
        <w:tc>
          <w:tcPr>
            <w:tcW w:w="8100" w:type="dxa"/>
            <w:vAlign w:val="center"/>
          </w:tcPr>
          <w:p w14:paraId="1258D26B" w14:textId="77777777" w:rsidR="00062208" w:rsidRPr="00062208" w:rsidRDefault="00062208" w:rsidP="009F0DDC">
            <w:pPr>
              <w:spacing w:before="60" w:after="60"/>
              <w:rPr>
                <w:rFonts w:cs="Arial"/>
                <w:sz w:val="20"/>
                <w:szCs w:val="20"/>
              </w:rPr>
            </w:pPr>
            <w:r w:rsidRPr="00062208">
              <w:rPr>
                <w:rFonts w:cs="Arial"/>
                <w:sz w:val="20"/>
                <w:szCs w:val="20"/>
              </w:rPr>
              <w:t>Include an adequate</w:t>
            </w:r>
            <w:r w:rsidRPr="00062208">
              <w:rPr>
                <w:rStyle w:val="FootnoteReference"/>
                <w:rFonts w:cs="Arial"/>
                <w:sz w:val="20"/>
                <w:szCs w:val="20"/>
              </w:rPr>
              <w:footnoteReference w:id="9"/>
            </w:r>
            <w:r w:rsidRPr="00062208">
              <w:rPr>
                <w:rFonts w:cs="Arial"/>
                <w:sz w:val="20"/>
                <w:szCs w:val="20"/>
              </w:rPr>
              <w:t xml:space="preserve"> description of assumptions or calculation methods</w:t>
            </w:r>
          </w:p>
        </w:tc>
      </w:tr>
      <w:tr w:rsidR="00062208" w:rsidRPr="00062208" w14:paraId="07A22065" w14:textId="77777777" w:rsidTr="009F0DDC">
        <w:tc>
          <w:tcPr>
            <w:tcW w:w="1170" w:type="dxa"/>
            <w:vAlign w:val="center"/>
          </w:tcPr>
          <w:p w14:paraId="61F42D99" w14:textId="77777777" w:rsidR="00062208" w:rsidRPr="00062208" w:rsidRDefault="00062208" w:rsidP="009F0DDC">
            <w:pPr>
              <w:spacing w:before="60" w:after="60"/>
              <w:jc w:val="center"/>
              <w:rPr>
                <w:rFonts w:cs="Arial"/>
                <w:sz w:val="20"/>
                <w:szCs w:val="20"/>
              </w:rPr>
            </w:pPr>
            <w:r w:rsidRPr="00062208">
              <w:rPr>
                <w:rFonts w:cs="Arial"/>
                <w:sz w:val="20"/>
                <w:szCs w:val="20"/>
              </w:rPr>
              <w:t>4</w:t>
            </w:r>
          </w:p>
        </w:tc>
        <w:tc>
          <w:tcPr>
            <w:tcW w:w="8100" w:type="dxa"/>
            <w:vAlign w:val="center"/>
          </w:tcPr>
          <w:p w14:paraId="6F8620B8" w14:textId="77777777" w:rsidR="00062208" w:rsidRPr="00062208" w:rsidRDefault="00062208" w:rsidP="009F0DDC">
            <w:pPr>
              <w:spacing w:before="60" w:after="60"/>
              <w:rPr>
                <w:rFonts w:cs="Arial"/>
                <w:sz w:val="20"/>
                <w:szCs w:val="20"/>
              </w:rPr>
            </w:pPr>
            <w:r w:rsidRPr="00062208">
              <w:rPr>
                <w:rFonts w:cs="Arial"/>
                <w:sz w:val="20"/>
                <w:szCs w:val="20"/>
              </w:rPr>
              <w:t>Pursue up-front collaboration on high impact measures with Commission staff prior to formal submission for review</w:t>
            </w:r>
          </w:p>
        </w:tc>
      </w:tr>
      <w:tr w:rsidR="00062208" w:rsidRPr="00062208" w14:paraId="7E706C46" w14:textId="77777777" w:rsidTr="009F0DDC">
        <w:tc>
          <w:tcPr>
            <w:tcW w:w="1170" w:type="dxa"/>
            <w:vAlign w:val="center"/>
          </w:tcPr>
          <w:p w14:paraId="71C16561" w14:textId="77777777" w:rsidR="00062208" w:rsidRPr="00062208" w:rsidRDefault="00062208" w:rsidP="009F0DDC">
            <w:pPr>
              <w:spacing w:before="60" w:after="60"/>
              <w:jc w:val="center"/>
              <w:rPr>
                <w:rFonts w:cs="Arial"/>
                <w:sz w:val="20"/>
                <w:szCs w:val="20"/>
              </w:rPr>
            </w:pPr>
            <w:r w:rsidRPr="00062208">
              <w:rPr>
                <w:rFonts w:cs="Arial"/>
                <w:sz w:val="20"/>
                <w:szCs w:val="20"/>
              </w:rPr>
              <w:t>7</w:t>
            </w:r>
          </w:p>
        </w:tc>
        <w:tc>
          <w:tcPr>
            <w:tcW w:w="8100" w:type="dxa"/>
            <w:vAlign w:val="center"/>
          </w:tcPr>
          <w:p w14:paraId="235B3E44" w14:textId="77777777" w:rsidR="00062208" w:rsidRPr="00062208" w:rsidRDefault="00062208" w:rsidP="009F0DDC">
            <w:pPr>
              <w:spacing w:before="60" w:after="60"/>
              <w:rPr>
                <w:rFonts w:cs="Arial"/>
                <w:sz w:val="20"/>
                <w:szCs w:val="20"/>
              </w:rPr>
            </w:pPr>
            <w:r w:rsidRPr="00062208">
              <w:rPr>
                <w:rFonts w:cs="Arial"/>
                <w:sz w:val="20"/>
                <w:szCs w:val="20"/>
              </w:rPr>
              <w:t>Include analysis of recent and relevant existing data and projects that are applicable to workpaper technologies for parameter development that reflects professional care, expertise, and experience</w:t>
            </w:r>
          </w:p>
        </w:tc>
      </w:tr>
      <w:tr w:rsidR="00062208" w:rsidRPr="00062208" w14:paraId="299BC3EB" w14:textId="77777777" w:rsidTr="009F0DDC">
        <w:tc>
          <w:tcPr>
            <w:tcW w:w="1170" w:type="dxa"/>
            <w:vAlign w:val="center"/>
          </w:tcPr>
          <w:p w14:paraId="39F6B4C3" w14:textId="77777777" w:rsidR="00062208" w:rsidRPr="00062208" w:rsidRDefault="00062208" w:rsidP="009F0DDC">
            <w:pPr>
              <w:spacing w:before="60" w:after="60"/>
              <w:jc w:val="center"/>
              <w:rPr>
                <w:rFonts w:cs="Arial"/>
                <w:sz w:val="20"/>
                <w:szCs w:val="20"/>
              </w:rPr>
            </w:pPr>
            <w:r w:rsidRPr="00062208">
              <w:rPr>
                <w:rFonts w:cs="Arial"/>
                <w:sz w:val="20"/>
                <w:szCs w:val="20"/>
              </w:rPr>
              <w:t>9</w:t>
            </w:r>
          </w:p>
        </w:tc>
        <w:tc>
          <w:tcPr>
            <w:tcW w:w="8100" w:type="dxa"/>
            <w:vAlign w:val="center"/>
          </w:tcPr>
          <w:p w14:paraId="48817614" w14:textId="77777777" w:rsidR="00062208" w:rsidRPr="00062208" w:rsidRDefault="00062208" w:rsidP="009F0DDC">
            <w:pPr>
              <w:spacing w:before="60" w:after="60"/>
              <w:rPr>
                <w:rFonts w:cs="Arial"/>
                <w:sz w:val="20"/>
                <w:szCs w:val="20"/>
              </w:rPr>
            </w:pPr>
            <w:r w:rsidRPr="00062208">
              <w:rPr>
                <w:rFonts w:cs="Arial"/>
                <w:sz w:val="20"/>
                <w:szCs w:val="20"/>
              </w:rPr>
              <w:t>Appropriately incorporate DEER assumptions, methods, and values for new or modified existing measures using professional care and expertise</w:t>
            </w:r>
          </w:p>
        </w:tc>
      </w:tr>
      <w:tr w:rsidR="00062208" w:rsidRPr="00062208" w14:paraId="307F79CD" w14:textId="77777777" w:rsidTr="009F0DDC">
        <w:tc>
          <w:tcPr>
            <w:tcW w:w="1170" w:type="dxa"/>
            <w:vAlign w:val="center"/>
          </w:tcPr>
          <w:p w14:paraId="57B7E25D" w14:textId="77777777" w:rsidR="00062208" w:rsidRPr="00062208" w:rsidRDefault="00062208" w:rsidP="009F0DDC">
            <w:pPr>
              <w:spacing w:before="60" w:after="60"/>
              <w:jc w:val="center"/>
              <w:rPr>
                <w:rFonts w:cs="Arial"/>
                <w:sz w:val="20"/>
                <w:szCs w:val="20"/>
              </w:rPr>
            </w:pPr>
            <w:r w:rsidRPr="00062208">
              <w:rPr>
                <w:rFonts w:cs="Arial"/>
                <w:sz w:val="20"/>
                <w:szCs w:val="20"/>
              </w:rPr>
              <w:t>10</w:t>
            </w:r>
          </w:p>
        </w:tc>
        <w:tc>
          <w:tcPr>
            <w:tcW w:w="8100" w:type="dxa"/>
            <w:vAlign w:val="center"/>
          </w:tcPr>
          <w:p w14:paraId="4473FB60" w14:textId="77777777" w:rsidR="00062208" w:rsidRPr="00062208" w:rsidRDefault="00062208" w:rsidP="009F0DDC">
            <w:pPr>
              <w:spacing w:before="60" w:after="60"/>
              <w:rPr>
                <w:rFonts w:cs="Arial"/>
                <w:sz w:val="20"/>
                <w:szCs w:val="20"/>
              </w:rPr>
            </w:pPr>
            <w:r w:rsidRPr="00062208">
              <w:rPr>
                <w:rFonts w:cs="Arial"/>
                <w:sz w:val="20"/>
                <w:szCs w:val="20"/>
              </w:rPr>
              <w:t>Incorporate cumulative experience into workpaper through inclusion of an analysis of previous activities, reviews, and direction.  (ED expects IOUs to immediately incorporate disposition guidance into workpapers to be submitted for formal review)</w:t>
            </w:r>
          </w:p>
        </w:tc>
      </w:tr>
    </w:tbl>
    <w:p w14:paraId="7E15288D" w14:textId="77777777" w:rsidR="00F372E4" w:rsidRPr="00062208" w:rsidRDefault="00F372E4" w:rsidP="004D0438">
      <w:pPr>
        <w:rPr>
          <w:sz w:val="20"/>
          <w:szCs w:val="20"/>
        </w:rPr>
      </w:pPr>
    </w:p>
    <w:p w14:paraId="7BB03660" w14:textId="77777777" w:rsidR="00F372E4" w:rsidRDefault="00F372E4">
      <w:r>
        <w:br w:type="page"/>
      </w:r>
    </w:p>
    <w:p w14:paraId="01C2670D" w14:textId="351C7C9C" w:rsidR="00F372E4" w:rsidRDefault="00F372E4" w:rsidP="00F372E4">
      <w:pPr>
        <w:pStyle w:val="Heading1"/>
      </w:pPr>
      <w:r w:rsidRPr="00276CD0">
        <w:lastRenderedPageBreak/>
        <w:t>Appendi</w:t>
      </w:r>
      <w:r w:rsidR="00B20507">
        <w:t>x 5</w:t>
      </w:r>
      <w:r>
        <w:t xml:space="preserve"> – DEER Resources Flow Chart</w:t>
      </w:r>
    </w:p>
    <w:bookmarkStart w:id="102" w:name="_MON_1461829007"/>
    <w:bookmarkEnd w:id="102"/>
    <w:p w14:paraId="47C25A9D" w14:textId="1CD34840" w:rsidR="00F372E4" w:rsidRPr="00F372E4" w:rsidRDefault="00EB141D" w:rsidP="00F372E4">
      <w:r>
        <w:object w:dxaOrig="1531" w:dyaOrig="990" w14:anchorId="188F40FE">
          <v:shape id="_x0000_i1028" type="#_x0000_t75" style="width:76.8pt;height:49.8pt" o:ole="">
            <v:imagedata r:id="rId34" o:title=""/>
          </v:shape>
          <o:OLEObject Type="Embed" ProgID="Word.Document.12" ShapeID="_x0000_i1028" DrawAspect="Icon" ObjectID="_1497086317" r:id="rId35">
            <o:FieldCodes>\s</o:FieldCodes>
          </o:OLEObject>
        </w:object>
      </w:r>
    </w:p>
    <w:p w14:paraId="46F97CF9" w14:textId="0CC1A3A9" w:rsidR="00A037B0" w:rsidRDefault="00A037B0" w:rsidP="004D0438">
      <w:pPr>
        <w:rPr>
          <w:rFonts w:cs="Arial"/>
          <w:b/>
          <w:bCs/>
          <w:kern w:val="32"/>
          <w:sz w:val="32"/>
          <w:szCs w:val="32"/>
        </w:rPr>
      </w:pPr>
      <w:r>
        <w:br w:type="page"/>
      </w:r>
    </w:p>
    <w:p w14:paraId="393A157E" w14:textId="6974C7A9" w:rsidR="00062208" w:rsidRDefault="000966CC" w:rsidP="003E2A8B">
      <w:pPr>
        <w:pStyle w:val="Heading1"/>
      </w:pPr>
      <w:bookmarkStart w:id="103" w:name="_Toc385593006"/>
      <w:r>
        <w:lastRenderedPageBreak/>
        <w:t>References</w:t>
      </w:r>
      <w:bookmarkEnd w:id="94"/>
      <w:bookmarkEnd w:id="95"/>
      <w:bookmarkEnd w:id="103"/>
      <w:r w:rsidR="00844B27">
        <w:t xml:space="preserve"> </w:t>
      </w:r>
      <w:bookmarkEnd w:id="96"/>
    </w:p>
    <w:sectPr w:rsidR="00062208" w:rsidSect="00FA65D5">
      <w:endnotePr>
        <w:numFmt w:val="decimal"/>
      </w:endnotePr>
      <w:pgSz w:w="12240" w:h="15840"/>
      <w:pgMar w:top="1440" w:right="171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3B9A" w14:textId="77777777" w:rsidR="004B65BD" w:rsidRDefault="004B65BD">
      <w:r>
        <w:separator/>
      </w:r>
    </w:p>
    <w:p w14:paraId="2C2C5B83" w14:textId="77777777" w:rsidR="004B65BD" w:rsidRDefault="004B65BD"/>
  </w:endnote>
  <w:endnote w:type="continuationSeparator" w:id="0">
    <w:p w14:paraId="1973C38D" w14:textId="77777777" w:rsidR="004B65BD" w:rsidRDefault="004B65BD">
      <w:r>
        <w:continuationSeparator/>
      </w:r>
    </w:p>
    <w:p w14:paraId="0921C015" w14:textId="77777777" w:rsidR="004B65BD" w:rsidRDefault="004B65BD"/>
  </w:endnote>
  <w:endnote w:id="1">
    <w:p w14:paraId="64466A8F" w14:textId="77777777" w:rsidR="002C57D3" w:rsidRPr="00BD6EA0" w:rsidRDefault="002C57D3" w:rsidP="00DC00F3">
      <w:pPr>
        <w:pStyle w:val="EndnoteText"/>
        <w:rPr>
          <w:rFonts w:cs="Arial"/>
        </w:rPr>
      </w:pPr>
      <w:r w:rsidRPr="00BD6EA0">
        <w:rPr>
          <w:rStyle w:val="EndnoteReference"/>
          <w:rFonts w:cs="Arial"/>
        </w:rPr>
        <w:endnoteRef/>
      </w:r>
      <w:r w:rsidRPr="00BD6EA0">
        <w:rPr>
          <w:rFonts w:cs="Arial"/>
        </w:rPr>
        <w:t xml:space="preserve"> American Water Works Association Research Foundation, “Residential End Uses of Water,” 1999, available at </w:t>
      </w:r>
      <w:hyperlink r:id="rId1" w:history="1">
        <w:r w:rsidRPr="00BD6EA0">
          <w:rPr>
            <w:rStyle w:val="Hyperlink"/>
            <w:rFonts w:cs="Arial"/>
          </w:rPr>
          <w:t>http://www.waterrf.org/PublicReportLibrary/RFR90781_1999_241A.pdf</w:t>
        </w:r>
      </w:hyperlink>
      <w:r w:rsidRPr="00BD6EA0">
        <w:rPr>
          <w:rFonts w:cs="Arial"/>
        </w:rPr>
        <w:t xml:space="preserve">. </w:t>
      </w:r>
    </w:p>
  </w:endnote>
  <w:endnote w:id="2">
    <w:p w14:paraId="7C72EA0B" w14:textId="77777777" w:rsidR="002C57D3" w:rsidRPr="00BD6EA0" w:rsidRDefault="002C57D3" w:rsidP="00DC00F3">
      <w:pPr>
        <w:pStyle w:val="EndnoteText"/>
        <w:rPr>
          <w:rFonts w:cs="Arial"/>
        </w:rPr>
      </w:pPr>
      <w:r w:rsidRPr="00BD6EA0">
        <w:rPr>
          <w:rStyle w:val="EndnoteReference"/>
          <w:rFonts w:cs="Arial"/>
        </w:rPr>
        <w:endnoteRef/>
      </w:r>
      <w:r w:rsidRPr="00BD6EA0">
        <w:rPr>
          <w:rFonts w:cs="Arial"/>
        </w:rPr>
        <w:t xml:space="preserve"> KEMA, Inc., “4.6 Clothes Washers,” </w:t>
      </w:r>
      <w:r w:rsidRPr="00BD6EA0">
        <w:rPr>
          <w:rFonts w:cs="Arial"/>
          <w:i/>
        </w:rPr>
        <w:t>WO21: Residential On-site Study: California Lighting and Appliance Saturation Study (CLASS 2012)</w:t>
      </w:r>
      <w:r w:rsidRPr="00BD6EA0">
        <w:rPr>
          <w:rFonts w:cs="Arial"/>
        </w:rPr>
        <w:t xml:space="preserve">, November 2014, available at </w:t>
      </w:r>
      <w:hyperlink r:id="rId2" w:history="1">
        <w:r w:rsidRPr="00BD6EA0">
          <w:rPr>
            <w:rStyle w:val="Hyperlink"/>
            <w:rFonts w:cs="Arial"/>
          </w:rPr>
          <w:t>http://www.calmac.org/publications/2014.11_24_WO21_CLASS_Final_Report_Clean.pdf</w:t>
        </w:r>
      </w:hyperlink>
      <w:r w:rsidRPr="00BD6EA0">
        <w:rPr>
          <w:rFonts w:cs="Arial"/>
        </w:rPr>
        <w:t xml:space="preserve">. </w:t>
      </w:r>
    </w:p>
  </w:endnote>
  <w:endnote w:id="3">
    <w:p w14:paraId="7A47748A" w14:textId="11D90AEB" w:rsidR="002C57D3" w:rsidRPr="00BD6EA0" w:rsidRDefault="002C57D3" w:rsidP="00DC00F3">
      <w:pPr>
        <w:pStyle w:val="EndnoteText"/>
        <w:rPr>
          <w:rFonts w:cs="Arial"/>
        </w:rPr>
      </w:pPr>
      <w:r w:rsidRPr="00BD6EA0">
        <w:rPr>
          <w:rStyle w:val="EndnoteReference"/>
          <w:rFonts w:cs="Arial"/>
        </w:rPr>
        <w:endnoteRef/>
      </w:r>
      <w:r w:rsidRPr="00BD6EA0">
        <w:rPr>
          <w:rFonts w:cs="Arial"/>
        </w:rPr>
        <w:t xml:space="preserve"> Research surveys conducted by the Association of Home Appliance Manufacturers (AHAM) indicate that 22 percent of households purchasing a new clothes washer dispose of their old top-loading clothes washer by giving it away. Other common disposal practices include leaving it at a previous home (16 percent), selling it (11 percent), allowing the retailer to take it (15 percent), and dropping off at a recycling center (10 percent).  Association of Home Appliance Manufacturers. “2010 Major Appliance Consumer Research,” December 7, 2010. Research Conducted by Bellomy Research. Industry interviews suggest that recyclers re-sell approximately 25 percent of used clothes washers received from residential owners and retailers. Energy Solutions, “Clothes Washer Market Characterization Summary: Task 1 of 3,” Prepared for NRDC, December 2010.  </w:t>
      </w:r>
    </w:p>
  </w:endnote>
  <w:endnote w:id="4">
    <w:p w14:paraId="567C96C0" w14:textId="77777777" w:rsidR="002C57D3" w:rsidRPr="00BD6EA0" w:rsidRDefault="002C57D3" w:rsidP="00E912AE">
      <w:pPr>
        <w:pStyle w:val="EndnoteText"/>
        <w:rPr>
          <w:rFonts w:cs="Arial"/>
        </w:rPr>
      </w:pPr>
      <w:r w:rsidRPr="00BD6EA0">
        <w:rPr>
          <w:rStyle w:val="EndnoteReference"/>
          <w:rFonts w:cs="Arial"/>
        </w:rPr>
        <w:endnoteRef/>
      </w:r>
      <w:r w:rsidRPr="00BD6EA0">
        <w:rPr>
          <w:rFonts w:cs="Arial"/>
        </w:rPr>
        <w:t xml:space="preserve"> Pg. 11. Energy Solutions, “Clothes Washer Market Characterization Summary: Task 1 of 3,” Prepared for NRDC, December 2010.  </w:t>
      </w:r>
    </w:p>
  </w:endnote>
  <w:endnote w:id="5">
    <w:p w14:paraId="3A82E4FC" w14:textId="63E25614" w:rsidR="002C57D3" w:rsidRPr="00BD6EA0" w:rsidRDefault="002C57D3">
      <w:pPr>
        <w:pStyle w:val="EndnoteText"/>
        <w:rPr>
          <w:rFonts w:cs="Arial"/>
        </w:rPr>
      </w:pPr>
      <w:r w:rsidRPr="00BD6EA0">
        <w:rPr>
          <w:rStyle w:val="EndnoteReference"/>
          <w:rFonts w:cs="Arial"/>
        </w:rPr>
        <w:endnoteRef/>
      </w:r>
      <w:r w:rsidRPr="00BD6EA0">
        <w:rPr>
          <w:rFonts w:cs="Arial"/>
        </w:rPr>
        <w:t xml:space="preserve"> Pg. 3-7. RW Beck and Weston Solutions, </w:t>
      </w:r>
      <w:r w:rsidRPr="00BD6EA0">
        <w:rPr>
          <w:rFonts w:cs="Arial"/>
          <w:i/>
        </w:rPr>
        <w:t xml:space="preserve">Recycling, Waste Stream Management, and Material Composition of Major Home Appliances </w:t>
      </w:r>
      <w:r w:rsidRPr="00BD6EA0">
        <w:rPr>
          <w:rFonts w:cs="Arial"/>
        </w:rPr>
        <w:t xml:space="preserve">(2005), prepared for Association of Home Appliance Manufacturers (AHAM). </w:t>
      </w:r>
    </w:p>
  </w:endnote>
  <w:endnote w:id="6">
    <w:p w14:paraId="45E85093" w14:textId="386F408E" w:rsidR="002C57D3" w:rsidRPr="00BD6EA0" w:rsidRDefault="002C57D3" w:rsidP="000A18A7">
      <w:pPr>
        <w:pStyle w:val="EndnoteText"/>
        <w:rPr>
          <w:rFonts w:cs="Arial"/>
        </w:rPr>
      </w:pPr>
      <w:r w:rsidRPr="00BD6EA0">
        <w:rPr>
          <w:rStyle w:val="EndnoteReference"/>
          <w:rFonts w:cs="Arial"/>
        </w:rPr>
        <w:endnoteRef/>
      </w:r>
      <w:r w:rsidRPr="00BD6EA0">
        <w:rPr>
          <w:rFonts w:cs="Arial"/>
        </w:rPr>
        <w:t xml:space="preserve"> KEMA, </w:t>
      </w:r>
      <w:r>
        <w:rPr>
          <w:rFonts w:cs="Arial"/>
        </w:rPr>
        <w:t xml:space="preserve">Inc., </w:t>
      </w:r>
      <w:r w:rsidRPr="00BD6EA0">
        <w:rPr>
          <w:rFonts w:cs="Arial"/>
          <w:i/>
        </w:rPr>
        <w:t>Appliance Recycling Program Impact Evaluation, Volume 1: Report, Work Order 35</w:t>
      </w:r>
      <w:r w:rsidRPr="00BD6EA0">
        <w:rPr>
          <w:rFonts w:cs="Arial"/>
        </w:rPr>
        <w:t xml:space="preserve"> (2014), available at </w:t>
      </w:r>
      <w:hyperlink r:id="rId3" w:history="1">
        <w:r w:rsidRPr="00BD6EA0">
          <w:rPr>
            <w:rStyle w:val="Hyperlink"/>
            <w:rFonts w:cs="Arial"/>
          </w:rPr>
          <w:t>http://www.calmac.org/publications/2010-2012_ARP_Impact_Evaluation_Final_Report.pdf</w:t>
        </w:r>
      </w:hyperlink>
      <w:r w:rsidRPr="00BD6EA0">
        <w:rPr>
          <w:rFonts w:cs="Arial"/>
        </w:rPr>
        <w:t>; and National Renewable Energy Laboratory</w:t>
      </w:r>
      <w:r>
        <w:rPr>
          <w:rFonts w:cs="Arial"/>
        </w:rPr>
        <w:t xml:space="preserve"> (NREL)</w:t>
      </w:r>
      <w:r w:rsidRPr="00BD6EA0">
        <w:rPr>
          <w:rFonts w:cs="Arial"/>
        </w:rPr>
        <w:t xml:space="preserve">, </w:t>
      </w:r>
      <w:r w:rsidRPr="00BD6EA0">
        <w:rPr>
          <w:rFonts w:cs="Arial"/>
          <w:i/>
        </w:rPr>
        <w:t>Chapter 7. Refrigerator Recycling Evaluation Protocol</w:t>
      </w:r>
      <w:r w:rsidRPr="00BD6EA0">
        <w:rPr>
          <w:rFonts w:cs="Arial"/>
        </w:rPr>
        <w:t xml:space="preserve"> (2013), available at </w:t>
      </w:r>
      <w:hyperlink r:id="rId4" w:history="1">
        <w:r w:rsidRPr="00BD6EA0">
          <w:rPr>
            <w:rStyle w:val="Hyperlink"/>
            <w:rFonts w:cs="Arial"/>
          </w:rPr>
          <w:t>http://energy.gov/sites/prod/files/2013/11/f5/53827-7.pdf</w:t>
        </w:r>
      </w:hyperlink>
      <w:r w:rsidRPr="00BD6EA0">
        <w:rPr>
          <w:rFonts w:cs="Arial"/>
        </w:rPr>
        <w:t xml:space="preserve">. </w:t>
      </w:r>
    </w:p>
  </w:endnote>
  <w:endnote w:id="7">
    <w:p w14:paraId="2FBA7050" w14:textId="58DE706B" w:rsidR="002C57D3" w:rsidRPr="00BD6EA0" w:rsidRDefault="002C57D3">
      <w:pPr>
        <w:pStyle w:val="EndnoteText"/>
        <w:rPr>
          <w:rFonts w:cs="Arial"/>
        </w:rPr>
      </w:pPr>
      <w:r w:rsidRPr="00BD6EA0">
        <w:rPr>
          <w:rStyle w:val="EndnoteReference"/>
          <w:rFonts w:cs="Arial"/>
        </w:rPr>
        <w:endnoteRef/>
      </w:r>
      <w:r w:rsidRPr="00BD6EA0">
        <w:rPr>
          <w:rFonts w:cs="Arial"/>
        </w:rPr>
        <w:t xml:space="preserve"> Appendix J2 to Subpart B of Part 430—Uniform Test Method of Measuring the Energy Consumption of Automatic and Semi-automatic Clothes Washers. 10 CFR Ch. II, Subchapter D. </w:t>
      </w:r>
    </w:p>
  </w:endnote>
  <w:endnote w:id="8">
    <w:p w14:paraId="066DBE91" w14:textId="502442C6" w:rsidR="002C57D3" w:rsidRPr="00BD6EA0" w:rsidRDefault="002C57D3">
      <w:pPr>
        <w:pStyle w:val="EndnoteText"/>
        <w:rPr>
          <w:rFonts w:cs="Arial"/>
        </w:rPr>
      </w:pPr>
      <w:r w:rsidRPr="00BD6EA0">
        <w:rPr>
          <w:rStyle w:val="EndnoteReference"/>
          <w:rFonts w:cs="Arial"/>
        </w:rPr>
        <w:endnoteRef/>
      </w:r>
      <w:r w:rsidRPr="00BD6EA0">
        <w:rPr>
          <w:rFonts w:cs="Arial"/>
        </w:rPr>
        <w:t xml:space="preserve"> Table P-2. California Energy Commission, </w:t>
      </w:r>
      <w:r w:rsidRPr="00BD6EA0">
        <w:rPr>
          <w:rFonts w:cs="Arial"/>
          <w:i/>
        </w:rPr>
        <w:t xml:space="preserve">2014 Appliance Efficiency Regulations </w:t>
      </w:r>
      <w:r w:rsidRPr="00BD6EA0">
        <w:rPr>
          <w:rFonts w:cs="Arial"/>
        </w:rPr>
        <w:t xml:space="preserve">(2014), available at </w:t>
      </w:r>
      <w:hyperlink r:id="rId5" w:history="1">
        <w:r w:rsidRPr="00BD6EA0">
          <w:rPr>
            <w:rStyle w:val="Hyperlink"/>
            <w:rFonts w:cs="Arial"/>
          </w:rPr>
          <w:t>http://www.energy.ca.gov/2014publications/CEC-400-2014-009/CEC-400-2014-009-CMF.pdf</w:t>
        </w:r>
      </w:hyperlink>
      <w:r w:rsidRPr="00BD6EA0">
        <w:rPr>
          <w:rFonts w:cs="Arial"/>
        </w:rPr>
        <w:t xml:space="preserve">. </w:t>
      </w:r>
    </w:p>
  </w:endnote>
  <w:endnote w:id="9">
    <w:p w14:paraId="12F63686" w14:textId="427CD252" w:rsidR="002C57D3" w:rsidRPr="00BD6EA0" w:rsidRDefault="002C57D3" w:rsidP="00080785">
      <w:pPr>
        <w:pStyle w:val="EndnoteText"/>
        <w:rPr>
          <w:rFonts w:cs="Arial"/>
          <w:i/>
        </w:rPr>
      </w:pPr>
      <w:r w:rsidRPr="00BD6EA0">
        <w:rPr>
          <w:rStyle w:val="EndnoteReference"/>
          <w:rFonts w:cs="Arial"/>
        </w:rPr>
        <w:endnoteRef/>
      </w:r>
      <w:r w:rsidRPr="00BD6EA0">
        <w:rPr>
          <w:rFonts w:cs="Arial"/>
        </w:rPr>
        <w:t xml:space="preserve"> Pgs. 14-17. </w:t>
      </w:r>
      <w:r>
        <w:rPr>
          <w:rFonts w:cs="Arial"/>
        </w:rPr>
        <w:t>KEMA 2014.</w:t>
      </w:r>
      <w:r w:rsidRPr="00BD6EA0">
        <w:rPr>
          <w:rFonts w:cs="Arial"/>
        </w:rPr>
        <w:t xml:space="preserve">  </w:t>
      </w:r>
    </w:p>
  </w:endnote>
  <w:endnote w:id="10">
    <w:p w14:paraId="5BC7D122" w14:textId="1D343E4F" w:rsidR="002C57D3" w:rsidRPr="00BD6EA0" w:rsidRDefault="002C57D3">
      <w:pPr>
        <w:pStyle w:val="EndnoteText"/>
        <w:rPr>
          <w:rFonts w:cs="Arial"/>
        </w:rPr>
      </w:pPr>
      <w:r w:rsidRPr="00BD6EA0">
        <w:rPr>
          <w:rStyle w:val="EndnoteReference"/>
          <w:rFonts w:cs="Arial"/>
        </w:rPr>
        <w:endnoteRef/>
      </w:r>
      <w:r w:rsidRPr="00BD6EA0">
        <w:rPr>
          <w:rFonts w:cs="Arial"/>
        </w:rPr>
        <w:t xml:space="preserve"> Pg. 46. </w:t>
      </w:r>
      <w:r>
        <w:rPr>
          <w:rFonts w:cs="Arial"/>
        </w:rPr>
        <w:t xml:space="preserve">The Cadmus Group, Inc., </w:t>
      </w:r>
      <w:r>
        <w:rPr>
          <w:rFonts w:cs="Arial"/>
          <w:i/>
        </w:rPr>
        <w:t xml:space="preserve">Residential Retrofit High Impact Measure Evaluation Report </w:t>
      </w:r>
      <w:r>
        <w:rPr>
          <w:rFonts w:cs="Arial"/>
        </w:rPr>
        <w:t>(2010), a</w:t>
      </w:r>
      <w:r w:rsidRPr="00BD6EA0">
        <w:rPr>
          <w:rFonts w:cs="Arial"/>
        </w:rPr>
        <w:t xml:space="preserve">vailable at </w:t>
      </w:r>
      <w:hyperlink r:id="rId6" w:history="1">
        <w:r w:rsidRPr="00BD6EA0">
          <w:rPr>
            <w:rStyle w:val="Hyperlink"/>
            <w:rFonts w:cs="Arial"/>
          </w:rPr>
          <w:t>http://www.calmac.org/publications/FinalResidentialRetroEvaluationReport_11.pdf</w:t>
        </w:r>
      </w:hyperlink>
      <w:r w:rsidRPr="00BD6EA0">
        <w:rPr>
          <w:rFonts w:cs="Arial"/>
        </w:rPr>
        <w:t xml:space="preserve">. </w:t>
      </w:r>
    </w:p>
  </w:endnote>
  <w:endnote w:id="11">
    <w:p w14:paraId="759EC785" w14:textId="7A212E87" w:rsidR="002C57D3" w:rsidRDefault="002C57D3">
      <w:pPr>
        <w:pStyle w:val="EndnoteText"/>
      </w:pPr>
      <w:r>
        <w:rPr>
          <w:rStyle w:val="EndnoteReference"/>
        </w:rPr>
        <w:endnoteRef/>
      </w:r>
      <w:r>
        <w:t xml:space="preserve"> </w:t>
      </w:r>
      <w:r w:rsidRPr="00D90C8C">
        <w:t xml:space="preserve">ADM Associates et al., </w:t>
      </w:r>
      <w:r w:rsidRPr="00D90C8C">
        <w:rPr>
          <w:i/>
        </w:rPr>
        <w:t>Evaluation Study of the 2004-05 Statewide Appliance Recycling Program</w:t>
      </w:r>
      <w:r w:rsidRPr="00D90C8C">
        <w:t xml:space="preserve"> (2008), available at </w:t>
      </w:r>
      <w:hyperlink r:id="rId7" w:history="1">
        <w:r w:rsidRPr="007B7B5B">
          <w:rPr>
            <w:rStyle w:val="Hyperlink"/>
          </w:rPr>
          <w:t>http://www.calmac.org/publications/EM&amp;V_Study_for_2004-2005_Statewide_RARP_-_Final_Report.pdf</w:t>
        </w:r>
      </w:hyperlink>
      <w:r w:rsidRPr="00D90C8C">
        <w:t>.</w:t>
      </w:r>
      <w:r>
        <w:t xml:space="preserve"> </w:t>
      </w:r>
    </w:p>
  </w:endnote>
  <w:endnote w:id="12">
    <w:p w14:paraId="6E700799" w14:textId="5D2CB303" w:rsidR="002C57D3" w:rsidRPr="00BD6EA0" w:rsidRDefault="002C57D3">
      <w:pPr>
        <w:pStyle w:val="EndnoteText"/>
        <w:rPr>
          <w:rFonts w:cs="Arial"/>
        </w:rPr>
      </w:pPr>
      <w:r w:rsidRPr="00BD6EA0">
        <w:rPr>
          <w:rStyle w:val="EndnoteReference"/>
          <w:rFonts w:cs="Arial"/>
        </w:rPr>
        <w:endnoteRef/>
      </w:r>
      <w:r w:rsidRPr="00BD6EA0">
        <w:rPr>
          <w:rFonts w:cs="Arial"/>
        </w:rPr>
        <w:t xml:space="preserve"> </w:t>
      </w:r>
      <w:r>
        <w:rPr>
          <w:rFonts w:cs="Arial"/>
        </w:rPr>
        <w:t>NREL 2013.</w:t>
      </w:r>
    </w:p>
  </w:endnote>
  <w:endnote w:id="13">
    <w:p w14:paraId="0E244974" w14:textId="1A13F79E" w:rsidR="002C57D3" w:rsidRPr="00BD6EA0" w:rsidRDefault="002C57D3">
      <w:pPr>
        <w:pStyle w:val="EndnoteText"/>
        <w:rPr>
          <w:rFonts w:cs="Arial"/>
        </w:rPr>
      </w:pPr>
      <w:r w:rsidRPr="00BD6EA0">
        <w:rPr>
          <w:rStyle w:val="EndnoteReference"/>
          <w:rFonts w:cs="Arial"/>
        </w:rPr>
        <w:endnoteRef/>
      </w:r>
      <w:r w:rsidR="00737D6A">
        <w:rPr>
          <w:rFonts w:cs="Arial"/>
        </w:rPr>
        <w:t xml:space="preserve"> Pg 7-6 and Tables 7.2.1 and </w:t>
      </w:r>
      <w:r w:rsidRPr="00BD6EA0">
        <w:rPr>
          <w:rFonts w:cs="Arial"/>
        </w:rPr>
        <w:t xml:space="preserve">and 7.3.1. </w:t>
      </w:r>
      <w:r>
        <w:rPr>
          <w:rFonts w:cs="Arial"/>
        </w:rPr>
        <w:t xml:space="preserve">2012 Technical Support Document for Residential Clothes Washers, </w:t>
      </w:r>
      <w:r w:rsidRPr="00BD6EA0">
        <w:rPr>
          <w:rFonts w:cs="Arial"/>
        </w:rPr>
        <w:t>“Chapter 7. Ene</w:t>
      </w:r>
      <w:r>
        <w:rPr>
          <w:rFonts w:cs="Arial"/>
        </w:rPr>
        <w:t>rgy and Water Use Determination,” a</w:t>
      </w:r>
      <w:r w:rsidRPr="00BD6EA0">
        <w:rPr>
          <w:rFonts w:cs="Arial"/>
        </w:rPr>
        <w:t xml:space="preserve">vailable at </w:t>
      </w:r>
      <w:hyperlink r:id="rId8" w:anchor="!documentDetail;D=EERE-2008-BT-STD-0019-0047" w:history="1">
        <w:r w:rsidRPr="00BD6EA0">
          <w:rPr>
            <w:rStyle w:val="Hyperlink"/>
            <w:rFonts w:cs="Arial"/>
          </w:rPr>
          <w:t>http://www.regulations.gov/#!documentDetail;D=EERE-2008-BT-STD-0019-0047</w:t>
        </w:r>
      </w:hyperlink>
      <w:r w:rsidRPr="00BD6EA0">
        <w:rPr>
          <w:rFonts w:cs="Arial"/>
        </w:rPr>
        <w:t xml:space="preserve">.  </w:t>
      </w:r>
    </w:p>
  </w:endnote>
  <w:endnote w:id="14">
    <w:p w14:paraId="603AB9DB" w14:textId="6CBC7AE6" w:rsidR="002C57D3" w:rsidRPr="00BD6EA0" w:rsidRDefault="002C57D3">
      <w:pPr>
        <w:pStyle w:val="EndnoteText"/>
        <w:rPr>
          <w:rFonts w:cs="Arial"/>
        </w:rPr>
      </w:pPr>
      <w:r w:rsidRPr="00BD6EA0">
        <w:rPr>
          <w:rStyle w:val="EndnoteReference"/>
          <w:rFonts w:cs="Arial"/>
        </w:rPr>
        <w:endnoteRef/>
      </w:r>
      <w:r w:rsidRPr="00BD6EA0">
        <w:rPr>
          <w:rFonts w:cs="Arial"/>
        </w:rPr>
        <w:t xml:space="preserve"> Pg. 6-8. </w:t>
      </w:r>
      <w:r>
        <w:rPr>
          <w:rFonts w:cs="Arial"/>
        </w:rPr>
        <w:t>20</w:t>
      </w:r>
      <w:r w:rsidR="008B1C4A">
        <w:rPr>
          <w:rFonts w:cs="Arial"/>
        </w:rPr>
        <w:t>10</w:t>
      </w:r>
      <w:r>
        <w:rPr>
          <w:rFonts w:cs="Arial"/>
        </w:rPr>
        <w:t xml:space="preserve"> Technical Support Document for Commercial Clothes Washers, </w:t>
      </w:r>
      <w:r w:rsidRPr="00BD6EA0">
        <w:rPr>
          <w:rFonts w:cs="Arial"/>
        </w:rPr>
        <w:t>“Chapter 6. Ene</w:t>
      </w:r>
      <w:r>
        <w:rPr>
          <w:rFonts w:cs="Arial"/>
        </w:rPr>
        <w:t>rgy and Water use Determination,</w:t>
      </w:r>
      <w:r w:rsidRPr="00BD6EA0">
        <w:rPr>
          <w:rFonts w:cs="Arial"/>
        </w:rPr>
        <w:t xml:space="preserve">” </w:t>
      </w:r>
      <w:r>
        <w:rPr>
          <w:rFonts w:cs="Arial"/>
        </w:rPr>
        <w:t>a</w:t>
      </w:r>
      <w:r w:rsidRPr="00BD6EA0">
        <w:rPr>
          <w:rFonts w:cs="Arial"/>
        </w:rPr>
        <w:t xml:space="preserve">vailable at </w:t>
      </w:r>
      <w:hyperlink r:id="rId9" w:history="1">
        <w:r w:rsidRPr="00BD6EA0">
          <w:rPr>
            <w:rStyle w:val="Hyperlink"/>
            <w:rFonts w:cs="Arial"/>
          </w:rPr>
          <w:t>http://www1.eere.energy.gov/buildings/appliance_standards/commercial/pdfs/ccw_finalrule_ch6.pdf</w:t>
        </w:r>
      </w:hyperlink>
      <w:r w:rsidRPr="00BD6EA0">
        <w:rPr>
          <w:rFonts w:cs="Arial"/>
        </w:rPr>
        <w:t xml:space="preserve">. </w:t>
      </w:r>
    </w:p>
  </w:endnote>
  <w:endnote w:id="15">
    <w:p w14:paraId="044B6982" w14:textId="2E059860" w:rsidR="002C57D3" w:rsidRPr="00BD6EA0" w:rsidRDefault="002C57D3">
      <w:pPr>
        <w:pStyle w:val="EndnoteText"/>
        <w:rPr>
          <w:rFonts w:cs="Arial"/>
        </w:rPr>
      </w:pPr>
      <w:r w:rsidRPr="00BD6EA0">
        <w:rPr>
          <w:rStyle w:val="EndnoteReference"/>
          <w:rFonts w:cs="Arial"/>
        </w:rPr>
        <w:endnoteRef/>
      </w:r>
      <w:r w:rsidRPr="00BD6EA0">
        <w:rPr>
          <w:rFonts w:cs="Arial"/>
        </w:rPr>
        <w:t xml:space="preserve"> Available at </w:t>
      </w:r>
      <w:hyperlink r:id="rId10" w:history="1">
        <w:r w:rsidRPr="00BD6EA0">
          <w:rPr>
            <w:rStyle w:val="Hyperlink"/>
            <w:rFonts w:cs="Arial"/>
          </w:rPr>
          <w:t>http://websafe.kemainc.com/rass2009/Query.aspx?QType=1&amp;tabid=1</w:t>
        </w:r>
      </w:hyperlink>
      <w:r w:rsidRPr="00BD6EA0">
        <w:rPr>
          <w:rFonts w:cs="Arial"/>
        </w:rPr>
        <w:t xml:space="preserve">. </w:t>
      </w:r>
    </w:p>
  </w:endnote>
  <w:endnote w:id="16">
    <w:p w14:paraId="25BE33BF" w14:textId="06B1E85E" w:rsidR="002C57D3" w:rsidRPr="00BD6EA0" w:rsidRDefault="002C57D3">
      <w:pPr>
        <w:pStyle w:val="EndnoteText"/>
        <w:rPr>
          <w:rFonts w:cs="Arial"/>
        </w:rPr>
      </w:pPr>
      <w:r w:rsidRPr="00BD6EA0">
        <w:rPr>
          <w:rStyle w:val="EndnoteReference"/>
          <w:rFonts w:cs="Arial"/>
        </w:rPr>
        <w:endnoteRef/>
      </w:r>
      <w:r w:rsidRPr="00BD6EA0">
        <w:rPr>
          <w:rFonts w:cs="Arial"/>
        </w:rPr>
        <w:t xml:space="preserve"> Pg. 7-20. NREL 2013. </w:t>
      </w:r>
    </w:p>
  </w:endnote>
  <w:endnote w:id="17">
    <w:p w14:paraId="2CA6387C" w14:textId="77777777" w:rsidR="009D265E" w:rsidRPr="00BD6EA0" w:rsidRDefault="009D265E" w:rsidP="009D265E">
      <w:pPr>
        <w:pStyle w:val="EndnoteText"/>
        <w:rPr>
          <w:rFonts w:cs="Arial"/>
        </w:rPr>
      </w:pPr>
      <w:r w:rsidRPr="00BD6EA0">
        <w:rPr>
          <w:rStyle w:val="EndnoteReference"/>
          <w:rFonts w:cs="Arial"/>
        </w:rPr>
        <w:endnoteRef/>
      </w:r>
      <w:r w:rsidRPr="00BD6EA0">
        <w:rPr>
          <w:rFonts w:cs="Arial"/>
        </w:rPr>
        <w:t xml:space="preserve"> Adapted from Table 10. KEMA</w:t>
      </w:r>
      <w:r>
        <w:rPr>
          <w:rFonts w:cs="Arial"/>
        </w:rPr>
        <w:t>, Inc.</w:t>
      </w:r>
      <w:r w:rsidRPr="00BD6EA0">
        <w:rPr>
          <w:rFonts w:cs="Arial"/>
        </w:rPr>
        <w:t xml:space="preserve"> 2014.  </w:t>
      </w:r>
    </w:p>
  </w:endnote>
  <w:endnote w:id="18">
    <w:p w14:paraId="1C3D9FEA" w14:textId="0CAEDFC9" w:rsidR="004F0B0A" w:rsidRPr="004F0B0A" w:rsidRDefault="004F0B0A" w:rsidP="004F0B0A">
      <w:pPr>
        <w:autoSpaceDE w:val="0"/>
        <w:autoSpaceDN w:val="0"/>
        <w:adjustRightInd w:val="0"/>
        <w:rPr>
          <w:rFonts w:cs="Arial"/>
          <w:sz w:val="20"/>
          <w:szCs w:val="20"/>
        </w:rPr>
      </w:pPr>
      <w:r>
        <w:rPr>
          <w:rStyle w:val="EndnoteReference"/>
        </w:rPr>
        <w:endnoteRef/>
      </w:r>
      <w:r>
        <w:t xml:space="preserve"> </w:t>
      </w:r>
      <w:r w:rsidRPr="004F0B0A">
        <w:rPr>
          <w:rFonts w:cs="Arial"/>
          <w:sz w:val="20"/>
          <w:szCs w:val="20"/>
        </w:rPr>
        <w:t>Appendix A. of Decision D. 11-07-030: “</w:t>
      </w:r>
      <w:r w:rsidRPr="004F0B0A">
        <w:rPr>
          <w:rFonts w:cs="Arial"/>
          <w:i/>
          <w:iCs/>
          <w:sz w:val="20"/>
          <w:szCs w:val="20"/>
        </w:rPr>
        <w:t>Energy Division believes that gross saving must be established based upon the difference between</w:t>
      </w:r>
      <w:r>
        <w:rPr>
          <w:rFonts w:cs="Arial"/>
          <w:i/>
          <w:iCs/>
          <w:sz w:val="20"/>
          <w:szCs w:val="20"/>
        </w:rPr>
        <w:t xml:space="preserve"> </w:t>
      </w:r>
      <w:r w:rsidRPr="004F0B0A">
        <w:rPr>
          <w:rFonts w:cs="Arial"/>
          <w:i/>
          <w:iCs/>
          <w:sz w:val="20"/>
          <w:szCs w:val="20"/>
        </w:rPr>
        <w:t>the recycled unit energy use, if left on the grid rather than being recycled, and any unit that is</w:t>
      </w:r>
      <w:r>
        <w:rPr>
          <w:rFonts w:cs="Arial"/>
          <w:i/>
          <w:iCs/>
          <w:sz w:val="20"/>
          <w:szCs w:val="20"/>
        </w:rPr>
        <w:t xml:space="preserve"> </w:t>
      </w:r>
      <w:r w:rsidRPr="004F0B0A">
        <w:rPr>
          <w:rFonts w:cs="Arial"/>
          <w:i/>
          <w:iCs/>
          <w:sz w:val="20"/>
          <w:szCs w:val="20"/>
        </w:rPr>
        <w:t>placed into service in place of the recycled unit. Energy Division believes that in some situations no</w:t>
      </w:r>
      <w:r>
        <w:rPr>
          <w:rFonts w:cs="Arial"/>
          <w:i/>
          <w:iCs/>
          <w:sz w:val="20"/>
          <w:szCs w:val="20"/>
        </w:rPr>
        <w:t xml:space="preserve"> </w:t>
      </w:r>
      <w:r w:rsidRPr="004F0B0A">
        <w:rPr>
          <w:rFonts w:cs="Arial"/>
          <w:i/>
          <w:iCs/>
          <w:sz w:val="20"/>
          <w:szCs w:val="20"/>
        </w:rPr>
        <w:t>unit is placed into service in place of the recycled unit and thus the recycled unit UEC equals the</w:t>
      </w:r>
      <w:r>
        <w:rPr>
          <w:rFonts w:cs="Arial"/>
          <w:i/>
          <w:iCs/>
          <w:sz w:val="20"/>
          <w:szCs w:val="20"/>
        </w:rPr>
        <w:t xml:space="preserve"> </w:t>
      </w:r>
      <w:r w:rsidRPr="004F0B0A">
        <w:rPr>
          <w:rFonts w:cs="Arial"/>
          <w:i/>
          <w:iCs/>
          <w:sz w:val="20"/>
          <w:szCs w:val="20"/>
        </w:rPr>
        <w:t>savings, UES. The utilities believe the only probable case that should be considered is the case where</w:t>
      </w:r>
      <w:r>
        <w:rPr>
          <w:rFonts w:cs="Arial"/>
          <w:i/>
          <w:iCs/>
          <w:sz w:val="20"/>
          <w:szCs w:val="20"/>
        </w:rPr>
        <w:t xml:space="preserve"> </w:t>
      </w:r>
      <w:r w:rsidRPr="004F0B0A">
        <w:rPr>
          <w:rFonts w:cs="Arial"/>
          <w:i/>
          <w:iCs/>
          <w:sz w:val="20"/>
          <w:szCs w:val="20"/>
        </w:rPr>
        <w:t>UEC and UES are equal and that all other cases should not be considered. However, Energy</w:t>
      </w:r>
      <w:r>
        <w:rPr>
          <w:rFonts w:cs="Arial"/>
          <w:i/>
          <w:iCs/>
          <w:sz w:val="20"/>
          <w:szCs w:val="20"/>
        </w:rPr>
        <w:t xml:space="preserve"> </w:t>
      </w:r>
      <w:r w:rsidRPr="004F0B0A">
        <w:rPr>
          <w:rFonts w:cs="Arial"/>
          <w:i/>
          <w:iCs/>
          <w:sz w:val="20"/>
          <w:szCs w:val="20"/>
        </w:rPr>
        <w:t>Division believes that in many instances another unit is placed into service in place of the recycled</w:t>
      </w:r>
      <w:r>
        <w:rPr>
          <w:rFonts w:cs="Arial"/>
          <w:i/>
          <w:iCs/>
          <w:sz w:val="20"/>
          <w:szCs w:val="20"/>
        </w:rPr>
        <w:t xml:space="preserve"> </w:t>
      </w:r>
      <w:r w:rsidRPr="004F0B0A">
        <w:rPr>
          <w:rFonts w:cs="Arial"/>
          <w:i/>
          <w:iCs/>
          <w:sz w:val="20"/>
          <w:szCs w:val="20"/>
        </w:rPr>
        <w:t>unit thus causing a reduction in the savings from preventing the recycled unit from staying in</w:t>
      </w:r>
      <w:r>
        <w:rPr>
          <w:rFonts w:cs="Arial"/>
          <w:i/>
          <w:iCs/>
          <w:sz w:val="20"/>
          <w:szCs w:val="20"/>
        </w:rPr>
        <w:t xml:space="preserve"> </w:t>
      </w:r>
      <w:r w:rsidRPr="004F0B0A">
        <w:rPr>
          <w:rFonts w:cs="Arial"/>
          <w:i/>
          <w:iCs/>
          <w:sz w:val="20"/>
          <w:szCs w:val="20"/>
        </w:rPr>
        <w:t>service. The overall effect of the recommended Energy Division gross savings adjustment is</w:t>
      </w:r>
      <w:r>
        <w:rPr>
          <w:rFonts w:cs="Arial"/>
          <w:i/>
          <w:iCs/>
          <w:sz w:val="20"/>
          <w:szCs w:val="20"/>
        </w:rPr>
        <w:t xml:space="preserve"> </w:t>
      </w:r>
      <w:r w:rsidRPr="004F0B0A">
        <w:rPr>
          <w:rFonts w:cs="Arial"/>
          <w:i/>
          <w:iCs/>
          <w:sz w:val="20"/>
          <w:szCs w:val="20"/>
        </w:rPr>
        <w:t>approximately a 40% reduction in savings.)</w:t>
      </w:r>
      <w:r>
        <w:rPr>
          <w:rFonts w:cs="Arial"/>
          <w:iCs/>
          <w:sz w:val="20"/>
          <w:szCs w:val="20"/>
        </w:rPr>
        <w:t>”</w:t>
      </w:r>
    </w:p>
  </w:endnote>
  <w:endnote w:id="19">
    <w:p w14:paraId="5D818BF1" w14:textId="7839BEB2" w:rsidR="002C57D3" w:rsidRPr="00BD6EA0" w:rsidRDefault="002C57D3">
      <w:pPr>
        <w:pStyle w:val="EndnoteText"/>
        <w:rPr>
          <w:rFonts w:cs="Arial"/>
        </w:rPr>
      </w:pPr>
      <w:r w:rsidRPr="00BD6EA0">
        <w:rPr>
          <w:rStyle w:val="EndnoteReference"/>
          <w:rFonts w:cs="Arial"/>
        </w:rPr>
        <w:endnoteRef/>
      </w:r>
      <w:r w:rsidRPr="00BD6EA0">
        <w:rPr>
          <w:rFonts w:cs="Arial"/>
        </w:rPr>
        <w:t xml:space="preserve"> Pg. 46. </w:t>
      </w:r>
      <w:r>
        <w:rPr>
          <w:rFonts w:cs="Arial"/>
        </w:rPr>
        <w:t>The Cadmus Group, Inc. 2010.</w:t>
      </w:r>
    </w:p>
  </w:endnote>
  <w:endnote w:id="20">
    <w:p w14:paraId="02DDB8B7" w14:textId="11B8A0BC" w:rsidR="002C57D3" w:rsidRDefault="002C57D3">
      <w:pPr>
        <w:pStyle w:val="EndnoteText"/>
      </w:pPr>
      <w:r>
        <w:rPr>
          <w:rStyle w:val="EndnoteReference"/>
        </w:rPr>
        <w:endnoteRef/>
      </w:r>
      <w:r>
        <w:t xml:space="preserve"> Pg. 7-6. </w:t>
      </w:r>
      <w:r>
        <w:rPr>
          <w:rFonts w:cs="Arial"/>
        </w:rPr>
        <w:t>2012 Technical Support Document for Residential Clothes Washers.</w:t>
      </w:r>
    </w:p>
  </w:endnote>
  <w:endnote w:id="21">
    <w:p w14:paraId="330F402D" w14:textId="0FFB0D70" w:rsidR="002C57D3" w:rsidRDefault="002C57D3">
      <w:pPr>
        <w:pStyle w:val="EndnoteText"/>
      </w:pPr>
      <w:r>
        <w:rPr>
          <w:rStyle w:val="EndnoteReference"/>
        </w:rPr>
        <w:endnoteRef/>
      </w:r>
      <w:r>
        <w:t xml:space="preserve"> Pg. 6-8. </w:t>
      </w:r>
      <w:r>
        <w:rPr>
          <w:rFonts w:cs="Arial"/>
        </w:rPr>
        <w:t>20</w:t>
      </w:r>
      <w:r w:rsidR="008B1C4A">
        <w:rPr>
          <w:rFonts w:cs="Arial"/>
        </w:rPr>
        <w:t>10</w:t>
      </w:r>
      <w:r>
        <w:rPr>
          <w:rFonts w:cs="Arial"/>
        </w:rPr>
        <w:t xml:space="preserve"> Technical Support Document for Commercial Clothes Washers.</w:t>
      </w:r>
    </w:p>
  </w:endnote>
  <w:endnote w:id="22">
    <w:p w14:paraId="142509B7" w14:textId="6246C560" w:rsidR="002C57D3" w:rsidRDefault="002C57D3">
      <w:pPr>
        <w:pStyle w:val="EndnoteText"/>
      </w:pPr>
      <w:r>
        <w:rPr>
          <w:rStyle w:val="EndnoteReference"/>
        </w:rPr>
        <w:endnoteRef/>
      </w:r>
      <w:r>
        <w:t xml:space="preserve"> Pg. 7-6. </w:t>
      </w:r>
      <w:r>
        <w:rPr>
          <w:rFonts w:cs="Arial"/>
        </w:rPr>
        <w:t>2012 Technical Support Document for Residential Clothes Washers.</w:t>
      </w:r>
      <w:r w:rsidRPr="00BD6EA0">
        <w:rPr>
          <w:rFonts w:cs="Arial"/>
        </w:rPr>
        <w:t xml:space="preserve">  </w:t>
      </w:r>
    </w:p>
  </w:endnote>
  <w:endnote w:id="23">
    <w:p w14:paraId="6A89963E" w14:textId="001BFBE3" w:rsidR="00030B1D" w:rsidRDefault="00030B1D">
      <w:pPr>
        <w:pStyle w:val="EndnoteText"/>
      </w:pPr>
      <w:r>
        <w:rPr>
          <w:rStyle w:val="EndnoteReference"/>
        </w:rPr>
        <w:endnoteRef/>
      </w:r>
      <w:r>
        <w:t xml:space="preserve"> Pg. 7-2. </w:t>
      </w:r>
      <w:r>
        <w:rPr>
          <w:rFonts w:cs="Arial"/>
        </w:rPr>
        <w:t>2012 Technical Support Document for Residential Clothes Washers.</w:t>
      </w:r>
      <w:r w:rsidRPr="00BD6EA0">
        <w:rPr>
          <w:rFonts w:cs="Arial"/>
        </w:rPr>
        <w:t xml:space="preserve">  </w:t>
      </w:r>
    </w:p>
  </w:endnote>
  <w:endnote w:id="24">
    <w:p w14:paraId="12A9DD61" w14:textId="2B79D411" w:rsidR="002C57D3" w:rsidRDefault="002C57D3" w:rsidP="00D1108A">
      <w:pPr>
        <w:pStyle w:val="EndnoteText"/>
      </w:pPr>
      <w:r>
        <w:rPr>
          <w:rStyle w:val="EndnoteReference"/>
        </w:rPr>
        <w:endnoteRef/>
      </w:r>
      <w:r>
        <w:t xml:space="preserve"> Pg. 7-6. </w:t>
      </w:r>
      <w:r>
        <w:rPr>
          <w:rFonts w:cs="Arial"/>
        </w:rPr>
        <w:t>2012 Technical Support Document for Residential Clothes Washers.</w:t>
      </w:r>
    </w:p>
  </w:endnote>
  <w:endnote w:id="25">
    <w:p w14:paraId="199E9BF8" w14:textId="6E546D81" w:rsidR="002C57D3" w:rsidRDefault="002C57D3" w:rsidP="00D1108A">
      <w:pPr>
        <w:pStyle w:val="EndnoteText"/>
      </w:pPr>
      <w:r>
        <w:rPr>
          <w:rStyle w:val="EndnoteReference"/>
        </w:rPr>
        <w:endnoteRef/>
      </w:r>
      <w:r>
        <w:t xml:space="preserve"> Pg. 6-8. </w:t>
      </w:r>
      <w:r>
        <w:rPr>
          <w:rFonts w:cs="Arial"/>
        </w:rPr>
        <w:t>20</w:t>
      </w:r>
      <w:r w:rsidR="008B1C4A">
        <w:rPr>
          <w:rFonts w:cs="Arial"/>
        </w:rPr>
        <w:t>10</w:t>
      </w:r>
      <w:r>
        <w:rPr>
          <w:rFonts w:cs="Arial"/>
        </w:rPr>
        <w:t xml:space="preserve"> Technical Support Document for Commercial Clothes Washers.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6" w14:textId="77777777" w:rsidR="002C57D3" w:rsidRDefault="002C57D3"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A15A7" w14:textId="77777777" w:rsidR="002C57D3" w:rsidRDefault="002C5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8" w14:textId="77777777" w:rsidR="002C57D3" w:rsidRPr="00846195" w:rsidRDefault="002C57D3" w:rsidP="00E57743">
    <w:pPr>
      <w:pStyle w:val="Footer"/>
      <w:framePr w:wrap="around" w:vAnchor="text" w:hAnchor="margin" w:xAlign="center" w:y="1"/>
      <w:rPr>
        <w:rStyle w:val="PageNumber"/>
        <w:b/>
        <w:sz w:val="20"/>
        <w:szCs w:val="20"/>
      </w:rPr>
    </w:pPr>
    <w:r w:rsidRPr="00846195">
      <w:rPr>
        <w:rStyle w:val="PageNumber"/>
        <w:b/>
        <w:sz w:val="20"/>
        <w:szCs w:val="20"/>
      </w:rPr>
      <w:fldChar w:fldCharType="begin"/>
    </w:r>
    <w:r w:rsidRPr="00846195">
      <w:rPr>
        <w:rStyle w:val="PageNumber"/>
        <w:b/>
        <w:sz w:val="20"/>
        <w:szCs w:val="20"/>
      </w:rPr>
      <w:instrText xml:space="preserve">PAGE  </w:instrText>
    </w:r>
    <w:r w:rsidRPr="00846195">
      <w:rPr>
        <w:rStyle w:val="PageNumber"/>
        <w:b/>
        <w:sz w:val="20"/>
        <w:szCs w:val="20"/>
      </w:rPr>
      <w:fldChar w:fldCharType="separate"/>
    </w:r>
    <w:r>
      <w:rPr>
        <w:rStyle w:val="PageNumber"/>
        <w:b/>
        <w:noProof/>
        <w:sz w:val="20"/>
        <w:szCs w:val="20"/>
      </w:rPr>
      <w:t>ii</w:t>
    </w:r>
    <w:r w:rsidRPr="00846195">
      <w:rPr>
        <w:rStyle w:val="PageNumber"/>
        <w:b/>
        <w:sz w:val="20"/>
        <w:szCs w:val="20"/>
      </w:rPr>
      <w:fldChar w:fldCharType="end"/>
    </w:r>
  </w:p>
  <w:p w14:paraId="393A15A9" w14:textId="77777777" w:rsidR="002C57D3" w:rsidRDefault="002C57D3" w:rsidP="00D7047A">
    <w:pPr>
      <w:pStyle w:val="Footer"/>
      <w:pBdr>
        <w:top w:val="single" w:sz="4" w:space="1" w:color="auto"/>
      </w:pBdr>
      <w:tabs>
        <w:tab w:val="clear" w:pos="8640"/>
        <w:tab w:val="right" w:pos="9360"/>
      </w:tabs>
      <w:rPr>
        <w:b/>
        <w:sz w:val="20"/>
        <w:szCs w:val="20"/>
      </w:rPr>
    </w:pPr>
    <w:r>
      <w:rPr>
        <w:b/>
        <w:color w:val="FF0000"/>
        <w:sz w:val="20"/>
        <w:szCs w:val="20"/>
      </w:rPr>
      <w:t>Work Paper PGE(End-Use)###</w:t>
    </w:r>
    <w:r>
      <w:rPr>
        <w:b/>
        <w:sz w:val="20"/>
        <w:szCs w:val="20"/>
      </w:rPr>
      <w:t xml:space="preserve">, Revision </w:t>
    </w:r>
    <w:r w:rsidRPr="000170B5">
      <w:rPr>
        <w:b/>
        <w:color w:val="FF0000"/>
        <w:sz w:val="20"/>
        <w:szCs w:val="20"/>
      </w:rPr>
      <w:t>X</w:t>
    </w:r>
    <w:r>
      <w:rPr>
        <w:b/>
        <w:sz w:val="20"/>
        <w:szCs w:val="20"/>
      </w:rPr>
      <w:tab/>
    </w:r>
    <w:r>
      <w:rPr>
        <w:b/>
        <w:sz w:val="20"/>
        <w:szCs w:val="20"/>
      </w:rPr>
      <w:tab/>
      <w:t>11/20/2007</w:t>
    </w:r>
  </w:p>
  <w:p w14:paraId="393A15AA" w14:textId="77777777" w:rsidR="002C57D3" w:rsidRDefault="002C57D3" w:rsidP="00D7047A">
    <w:pPr>
      <w:pStyle w:val="Footer"/>
      <w:rPr>
        <w:b/>
        <w:sz w:val="20"/>
        <w:szCs w:val="20"/>
      </w:rPr>
    </w:pPr>
    <w:r>
      <w:rPr>
        <w:b/>
        <w:sz w:val="20"/>
        <w:szCs w:val="20"/>
      </w:rPr>
      <w:t>Pacific Gas &amp; Electric Company</w:t>
    </w:r>
  </w:p>
  <w:p w14:paraId="393A15AB" w14:textId="77777777" w:rsidR="002C57D3" w:rsidRPr="00844B27" w:rsidRDefault="002C57D3" w:rsidP="00D7047A">
    <w:pPr>
      <w:pStyle w:val="Footer"/>
      <w:rPr>
        <w:b/>
        <w:color w:val="0000FF"/>
        <w:sz w:val="20"/>
        <w:szCs w:val="20"/>
      </w:rPr>
    </w:pPr>
    <w:r w:rsidRPr="00844B27">
      <w:rPr>
        <w:b/>
        <w:color w:val="0000FF"/>
        <w:sz w:val="20"/>
        <w:szCs w:val="20"/>
      </w:rPr>
      <w:fldChar w:fldCharType="begin"/>
    </w:r>
    <w:r w:rsidRPr="00844B27">
      <w:rPr>
        <w:b/>
        <w:color w:val="0000FF"/>
        <w:sz w:val="20"/>
        <w:szCs w:val="20"/>
      </w:rPr>
      <w:instrText xml:space="preserve"> FILENAME </w:instrText>
    </w:r>
    <w:r w:rsidRPr="00844B27">
      <w:rPr>
        <w:b/>
        <w:color w:val="0000FF"/>
        <w:sz w:val="20"/>
        <w:szCs w:val="20"/>
      </w:rPr>
      <w:fldChar w:fldCharType="separate"/>
    </w:r>
    <w:r>
      <w:rPr>
        <w:b/>
        <w:noProof/>
        <w:color w:val="0000FF"/>
        <w:sz w:val="20"/>
        <w:szCs w:val="20"/>
      </w:rPr>
      <w:t>PGECOAPP127 R0 Clothes Washers.docx</w:t>
    </w:r>
    <w:r w:rsidRPr="00844B27">
      <w:rPr>
        <w:b/>
        <w:color w:val="0000F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D" w14:textId="05ADC4B5" w:rsidR="002C57D3" w:rsidRPr="002E0E3F" w:rsidRDefault="002C57D3" w:rsidP="00274A7E">
    <w:pPr>
      <w:pStyle w:val="Footer"/>
      <w:jc w:val="right"/>
      <w:rPr>
        <w:rFonts w:cs="Arial"/>
        <w:b/>
        <w:sz w:val="36"/>
        <w:szCs w:val="36"/>
      </w:rPr>
    </w:pPr>
    <w:r>
      <w:rPr>
        <w:rFonts w:cs="Arial"/>
        <w:b/>
        <w:sz w:val="36"/>
        <w:szCs w:val="36"/>
      </w:rPr>
      <w:t>February 13, 2015</w:t>
    </w:r>
  </w:p>
  <w:p w14:paraId="393A15AE" w14:textId="77777777" w:rsidR="002C57D3" w:rsidRDefault="002C57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B2" w14:textId="77777777" w:rsidR="002C57D3" w:rsidRDefault="002C57D3"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A15B3" w14:textId="77777777" w:rsidR="002C57D3" w:rsidRDefault="002C57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B921" w14:textId="02A8DAB7" w:rsidR="002C57D3" w:rsidRDefault="002C57D3" w:rsidP="00EB39D0">
    <w:pPr>
      <w:pStyle w:val="Footer"/>
      <w:pBdr>
        <w:top w:val="single" w:sz="4" w:space="1" w:color="auto"/>
      </w:pBdr>
      <w:tabs>
        <w:tab w:val="clear" w:pos="4320"/>
        <w:tab w:val="clear" w:pos="8640"/>
        <w:tab w:val="right" w:pos="9360"/>
      </w:tabs>
      <w:rPr>
        <w:sz w:val="18"/>
        <w:szCs w:val="18"/>
      </w:rPr>
    </w:pPr>
    <w:r>
      <w:rPr>
        <w:sz w:val="18"/>
        <w:szCs w:val="18"/>
      </w:rPr>
      <w:t>Clothes Washer Recycling Revision 0</w:t>
    </w:r>
    <w:r w:rsidRPr="00757FCE">
      <w:rPr>
        <w:sz w:val="18"/>
        <w:szCs w:val="18"/>
      </w:rPr>
      <w:tab/>
    </w:r>
    <w:r>
      <w:rPr>
        <w:sz w:val="18"/>
        <w:szCs w:val="18"/>
      </w:rPr>
      <w:t>2/</w:t>
    </w:r>
    <w:r w:rsidR="00FA65D5">
      <w:rPr>
        <w:sz w:val="18"/>
        <w:szCs w:val="18"/>
      </w:rPr>
      <w:t>13</w:t>
    </w:r>
    <w:r>
      <w:rPr>
        <w:sz w:val="18"/>
        <w:szCs w:val="18"/>
      </w:rPr>
      <w:t>/2015</w:t>
    </w:r>
  </w:p>
  <w:p w14:paraId="153F022B" w14:textId="2D42DD60" w:rsidR="002C57D3" w:rsidRPr="00EB39D0" w:rsidRDefault="002C57D3" w:rsidP="00EB39D0">
    <w:pPr>
      <w:pStyle w:val="Footer"/>
      <w:pBdr>
        <w:top w:val="single" w:sz="4" w:space="1" w:color="auto"/>
      </w:pBdr>
      <w:tabs>
        <w:tab w:val="clear" w:pos="4320"/>
        <w:tab w:val="clear" w:pos="8640"/>
        <w:tab w:val="right" w:pos="9360"/>
      </w:tabs>
      <w:rPr>
        <w:sz w:val="18"/>
        <w:szCs w:val="18"/>
      </w:rPr>
    </w:pPr>
    <w:r>
      <w:rPr>
        <w:sz w:val="18"/>
        <w:szCs w:val="18"/>
      </w:rPr>
      <w:t>Natural Resources Defense Council</w:t>
    </w:r>
  </w:p>
  <w:p w14:paraId="6AAE9732" w14:textId="707773E7" w:rsidR="002C57D3" w:rsidRDefault="004B65BD">
    <w:pPr>
      <w:pStyle w:val="Footer"/>
      <w:jc w:val="center"/>
    </w:pPr>
    <w:sdt>
      <w:sdtPr>
        <w:id w:val="849610852"/>
        <w:docPartObj>
          <w:docPartGallery w:val="Page Numbers (Bottom of Page)"/>
          <w:docPartUnique/>
        </w:docPartObj>
      </w:sdtPr>
      <w:sdtEndPr>
        <w:rPr>
          <w:noProof/>
        </w:rPr>
      </w:sdtEndPr>
      <w:sdtContent>
        <w:r w:rsidR="002C57D3">
          <w:fldChar w:fldCharType="begin"/>
        </w:r>
        <w:r w:rsidR="002C57D3">
          <w:instrText xml:space="preserve"> PAGE   \* MERGEFORMAT </w:instrText>
        </w:r>
        <w:r w:rsidR="002C57D3">
          <w:fldChar w:fldCharType="separate"/>
        </w:r>
        <w:r w:rsidR="00AF6F1F">
          <w:rPr>
            <w:noProof/>
          </w:rPr>
          <w:t>ii</w:t>
        </w:r>
        <w:r w:rsidR="002C57D3">
          <w:rPr>
            <w:noProof/>
          </w:rPr>
          <w:fldChar w:fldCharType="end"/>
        </w:r>
      </w:sdtContent>
    </w:sdt>
  </w:p>
  <w:p w14:paraId="4E0F0775" w14:textId="77777777" w:rsidR="002C57D3" w:rsidRDefault="002C57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B8" w14:textId="77777777" w:rsidR="002C57D3" w:rsidRPr="002E0E3F" w:rsidRDefault="002C57D3" w:rsidP="00D7047A">
    <w:pPr>
      <w:pStyle w:val="Footer"/>
      <w:jc w:val="right"/>
      <w:rPr>
        <w:rFonts w:cs="Arial"/>
        <w:b/>
        <w:sz w:val="36"/>
        <w:szCs w:val="36"/>
      </w:rPr>
    </w:pPr>
    <w:r>
      <w:rPr>
        <w:rFonts w:cs="Arial"/>
        <w:b/>
        <w:sz w:val="36"/>
        <w:szCs w:val="36"/>
      </w:rPr>
      <w:t>Date of Last Revision</w:t>
    </w:r>
  </w:p>
  <w:p w14:paraId="393A15B9" w14:textId="77777777" w:rsidR="002C57D3" w:rsidRDefault="002C57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5099" w14:textId="5242FCEB" w:rsidR="002C57D3" w:rsidRDefault="002C57D3" w:rsidP="009A5A66">
    <w:pPr>
      <w:pStyle w:val="Footer"/>
      <w:pBdr>
        <w:top w:val="single" w:sz="4" w:space="1" w:color="auto"/>
      </w:pBdr>
      <w:tabs>
        <w:tab w:val="clear" w:pos="4320"/>
        <w:tab w:val="clear" w:pos="8640"/>
        <w:tab w:val="right" w:pos="9360"/>
      </w:tabs>
      <w:rPr>
        <w:sz w:val="18"/>
        <w:szCs w:val="18"/>
      </w:rPr>
    </w:pPr>
    <w:r>
      <w:rPr>
        <w:sz w:val="18"/>
        <w:szCs w:val="18"/>
      </w:rPr>
      <w:t>Clothes Washer Recycling Revision 0</w:t>
    </w:r>
    <w:r w:rsidRPr="00757FCE">
      <w:rPr>
        <w:sz w:val="18"/>
        <w:szCs w:val="18"/>
      </w:rPr>
      <w:tab/>
    </w:r>
    <w:r>
      <w:rPr>
        <w:sz w:val="18"/>
        <w:szCs w:val="18"/>
      </w:rPr>
      <w:t>2/</w:t>
    </w:r>
    <w:r w:rsidR="00FA65D5">
      <w:rPr>
        <w:sz w:val="18"/>
        <w:szCs w:val="18"/>
      </w:rPr>
      <w:t>13</w:t>
    </w:r>
    <w:r>
      <w:rPr>
        <w:sz w:val="18"/>
        <w:szCs w:val="18"/>
      </w:rPr>
      <w:t>/2015</w:t>
    </w:r>
  </w:p>
  <w:p w14:paraId="1AFFED87" w14:textId="77777777" w:rsidR="002C57D3" w:rsidRPr="00EB39D0" w:rsidRDefault="002C57D3" w:rsidP="009A5A66">
    <w:pPr>
      <w:pStyle w:val="Footer"/>
      <w:pBdr>
        <w:top w:val="single" w:sz="4" w:space="1" w:color="auto"/>
      </w:pBdr>
      <w:tabs>
        <w:tab w:val="clear" w:pos="4320"/>
        <w:tab w:val="clear" w:pos="8640"/>
        <w:tab w:val="right" w:pos="9360"/>
      </w:tabs>
      <w:rPr>
        <w:sz w:val="18"/>
        <w:szCs w:val="18"/>
      </w:rPr>
    </w:pPr>
    <w:r>
      <w:rPr>
        <w:sz w:val="18"/>
        <w:szCs w:val="18"/>
      </w:rPr>
      <w:t>Natural Resources Defense Council</w:t>
    </w:r>
  </w:p>
  <w:p w14:paraId="1A505DCD" w14:textId="77777777" w:rsidR="002C57D3" w:rsidRDefault="004B65BD">
    <w:pPr>
      <w:pStyle w:val="Footer"/>
      <w:jc w:val="center"/>
    </w:pPr>
    <w:sdt>
      <w:sdtPr>
        <w:id w:val="820230507"/>
        <w:docPartObj>
          <w:docPartGallery w:val="Page Numbers (Bottom of Page)"/>
          <w:docPartUnique/>
        </w:docPartObj>
      </w:sdtPr>
      <w:sdtEndPr>
        <w:rPr>
          <w:noProof/>
        </w:rPr>
      </w:sdtEndPr>
      <w:sdtContent>
        <w:r w:rsidR="002C57D3">
          <w:fldChar w:fldCharType="begin"/>
        </w:r>
        <w:r w:rsidR="002C57D3">
          <w:instrText xml:space="preserve"> PAGE   \* MERGEFORMAT </w:instrText>
        </w:r>
        <w:r w:rsidR="002C57D3">
          <w:fldChar w:fldCharType="separate"/>
        </w:r>
        <w:r w:rsidR="00AF6F1F">
          <w:rPr>
            <w:noProof/>
          </w:rPr>
          <w:t>iv</w:t>
        </w:r>
        <w:r w:rsidR="002C57D3">
          <w:rPr>
            <w:noProof/>
          </w:rPr>
          <w:fldChar w:fldCharType="end"/>
        </w:r>
      </w:sdtContent>
    </w:sdt>
  </w:p>
  <w:p w14:paraId="182B3B8B" w14:textId="77777777" w:rsidR="002C57D3" w:rsidRDefault="002C57D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38A6B" w14:textId="302D2A54" w:rsidR="002C57D3" w:rsidRDefault="002C57D3" w:rsidP="00E912AE">
    <w:pPr>
      <w:pStyle w:val="Footer"/>
      <w:pBdr>
        <w:top w:val="single" w:sz="4" w:space="1" w:color="auto"/>
      </w:pBdr>
      <w:tabs>
        <w:tab w:val="clear" w:pos="4320"/>
        <w:tab w:val="clear" w:pos="8640"/>
        <w:tab w:val="right" w:pos="9360"/>
      </w:tabs>
      <w:rPr>
        <w:sz w:val="18"/>
        <w:szCs w:val="18"/>
      </w:rPr>
    </w:pPr>
    <w:r>
      <w:rPr>
        <w:sz w:val="18"/>
        <w:szCs w:val="18"/>
      </w:rPr>
      <w:t>Clothes Washer Recycling Revision 0</w:t>
    </w:r>
    <w:r w:rsidRPr="00757FCE">
      <w:rPr>
        <w:sz w:val="18"/>
        <w:szCs w:val="18"/>
      </w:rPr>
      <w:tab/>
    </w:r>
    <w:r>
      <w:rPr>
        <w:sz w:val="18"/>
        <w:szCs w:val="18"/>
      </w:rPr>
      <w:t>2/</w:t>
    </w:r>
    <w:r w:rsidR="00FA65D5">
      <w:rPr>
        <w:sz w:val="18"/>
        <w:szCs w:val="18"/>
      </w:rPr>
      <w:t>13</w:t>
    </w:r>
    <w:r>
      <w:rPr>
        <w:sz w:val="18"/>
        <w:szCs w:val="18"/>
      </w:rPr>
      <w:t>/2015</w:t>
    </w:r>
  </w:p>
  <w:p w14:paraId="5E81F5B9" w14:textId="77777777" w:rsidR="002C57D3" w:rsidRPr="00EB39D0" w:rsidRDefault="002C57D3" w:rsidP="00E912AE">
    <w:pPr>
      <w:pStyle w:val="Footer"/>
      <w:pBdr>
        <w:top w:val="single" w:sz="4" w:space="1" w:color="auto"/>
      </w:pBdr>
      <w:tabs>
        <w:tab w:val="clear" w:pos="4320"/>
        <w:tab w:val="clear" w:pos="8640"/>
        <w:tab w:val="right" w:pos="9360"/>
      </w:tabs>
      <w:rPr>
        <w:sz w:val="18"/>
        <w:szCs w:val="18"/>
      </w:rPr>
    </w:pPr>
    <w:r>
      <w:rPr>
        <w:sz w:val="18"/>
        <w:szCs w:val="18"/>
      </w:rPr>
      <w:t>Natural Resources Defense Council</w:t>
    </w:r>
  </w:p>
  <w:p w14:paraId="3B29DC06" w14:textId="77777777" w:rsidR="002C57D3" w:rsidRDefault="004B65BD">
    <w:pPr>
      <w:pStyle w:val="Footer"/>
      <w:jc w:val="center"/>
    </w:pPr>
    <w:sdt>
      <w:sdtPr>
        <w:id w:val="991754316"/>
        <w:docPartObj>
          <w:docPartGallery w:val="Page Numbers (Bottom of Page)"/>
          <w:docPartUnique/>
        </w:docPartObj>
      </w:sdtPr>
      <w:sdtEndPr>
        <w:rPr>
          <w:noProof/>
        </w:rPr>
      </w:sdtEndPr>
      <w:sdtContent>
        <w:r w:rsidR="002C57D3">
          <w:fldChar w:fldCharType="begin"/>
        </w:r>
        <w:r w:rsidR="002C57D3">
          <w:instrText xml:space="preserve"> PAGE   \* MERGEFORMAT </w:instrText>
        </w:r>
        <w:r w:rsidR="002C57D3">
          <w:fldChar w:fldCharType="separate"/>
        </w:r>
        <w:r w:rsidR="00AF6F1F">
          <w:rPr>
            <w:noProof/>
          </w:rPr>
          <w:t>19</w:t>
        </w:r>
        <w:r w:rsidR="002C57D3">
          <w:rPr>
            <w:noProof/>
          </w:rPr>
          <w:fldChar w:fldCharType="end"/>
        </w:r>
      </w:sdtContent>
    </w:sdt>
  </w:p>
  <w:p w14:paraId="4FEA9E3B" w14:textId="77777777" w:rsidR="002C57D3" w:rsidRDefault="002C57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8CE50" w14:textId="77777777" w:rsidR="004B65BD" w:rsidRDefault="004B65BD">
      <w:r>
        <w:separator/>
      </w:r>
    </w:p>
    <w:p w14:paraId="6BFFC121" w14:textId="77777777" w:rsidR="004B65BD" w:rsidRDefault="004B65BD"/>
  </w:footnote>
  <w:footnote w:type="continuationSeparator" w:id="0">
    <w:p w14:paraId="35D687BA" w14:textId="77777777" w:rsidR="004B65BD" w:rsidRDefault="004B65BD">
      <w:r>
        <w:continuationSeparator/>
      </w:r>
    </w:p>
    <w:p w14:paraId="0221AADD" w14:textId="77777777" w:rsidR="004B65BD" w:rsidRDefault="004B65BD"/>
  </w:footnote>
  <w:footnote w:id="1">
    <w:p w14:paraId="3BE67B43" w14:textId="15387175" w:rsidR="002C57D3" w:rsidRDefault="002C57D3">
      <w:pPr>
        <w:pStyle w:val="FootnoteText"/>
      </w:pPr>
      <w:r>
        <w:rPr>
          <w:rStyle w:val="FootnoteReference"/>
        </w:rPr>
        <w:footnoteRef/>
      </w:r>
      <w:r>
        <w:t xml:space="preserve"> Full measure cost = measure equipment cost + measure labor cost</w:t>
      </w:r>
    </w:p>
  </w:footnote>
  <w:footnote w:id="2">
    <w:p w14:paraId="488E5CA8" w14:textId="5EDC5E8F" w:rsidR="002C57D3" w:rsidRDefault="002C57D3">
      <w:pPr>
        <w:pStyle w:val="FootnoteText"/>
        <w:rPr>
          <w:sz w:val="18"/>
          <w:szCs w:val="18"/>
        </w:rPr>
      </w:pPr>
      <w:r w:rsidRPr="001D4579">
        <w:rPr>
          <w:rStyle w:val="FootnoteReference"/>
          <w:sz w:val="18"/>
          <w:szCs w:val="18"/>
        </w:rPr>
        <w:footnoteRef/>
      </w:r>
      <w:r w:rsidRPr="001D4579">
        <w:rPr>
          <w:sz w:val="18"/>
          <w:szCs w:val="18"/>
        </w:rPr>
        <w:t xml:space="preserve"> </w:t>
      </w:r>
      <w:r>
        <w:rPr>
          <w:sz w:val="18"/>
          <w:szCs w:val="18"/>
        </w:rPr>
        <w:t>Incremental measure cost = Measure equipment cost – Baseline equipment cost</w:t>
      </w:r>
    </w:p>
    <w:p w14:paraId="1417B080" w14:textId="77777777" w:rsidR="002C57D3" w:rsidRPr="001D4579" w:rsidRDefault="002C57D3">
      <w:pPr>
        <w:pStyle w:val="FootnoteText"/>
        <w:rPr>
          <w:sz w:val="18"/>
          <w:szCs w:val="18"/>
        </w:rPr>
      </w:pPr>
    </w:p>
  </w:footnote>
  <w:footnote w:id="3">
    <w:p w14:paraId="76AF3B48" w14:textId="03DFDA57" w:rsidR="002C57D3" w:rsidRPr="002C408C" w:rsidRDefault="002C57D3">
      <w:pPr>
        <w:pStyle w:val="FootnoteText"/>
        <w:rPr>
          <w:sz w:val="18"/>
          <w:szCs w:val="18"/>
        </w:rPr>
      </w:pPr>
      <w:r w:rsidRPr="002C408C">
        <w:rPr>
          <w:rStyle w:val="FootnoteReference"/>
          <w:sz w:val="18"/>
          <w:szCs w:val="18"/>
        </w:rPr>
        <w:footnoteRef/>
      </w:r>
      <w:r w:rsidRPr="002C408C">
        <w:rPr>
          <w:sz w:val="18"/>
          <w:szCs w:val="18"/>
        </w:rPr>
        <w:t xml:space="preserve"> Full measure cost = measure equipment cost + installation cost</w:t>
      </w:r>
      <w:r>
        <w:rPr>
          <w:sz w:val="18"/>
          <w:szCs w:val="18"/>
        </w:rPr>
        <w:t>, for first baseline period</w:t>
      </w:r>
    </w:p>
  </w:footnote>
  <w:footnote w:id="4">
    <w:p w14:paraId="39674DA4" w14:textId="585727B2" w:rsidR="002C57D3" w:rsidRPr="002C408C" w:rsidRDefault="002C57D3">
      <w:pPr>
        <w:pStyle w:val="FootnoteText"/>
        <w:rPr>
          <w:sz w:val="18"/>
          <w:szCs w:val="18"/>
        </w:rPr>
      </w:pPr>
      <w:r w:rsidRPr="002C408C">
        <w:rPr>
          <w:rStyle w:val="FootnoteReference"/>
          <w:sz w:val="18"/>
          <w:szCs w:val="18"/>
        </w:rPr>
        <w:footnoteRef/>
      </w:r>
      <w:r w:rsidRPr="002C408C">
        <w:rPr>
          <w:sz w:val="18"/>
          <w:szCs w:val="18"/>
        </w:rPr>
        <w:t xml:space="preserve"> Full base cost = 2</w:t>
      </w:r>
      <w:r w:rsidRPr="002C408C">
        <w:rPr>
          <w:sz w:val="18"/>
          <w:szCs w:val="18"/>
          <w:vertAlign w:val="superscript"/>
        </w:rPr>
        <w:t>nd</w:t>
      </w:r>
      <w:r w:rsidRPr="002C408C">
        <w:rPr>
          <w:sz w:val="18"/>
          <w:szCs w:val="18"/>
        </w:rPr>
        <w:t xml:space="preserve"> baseline equipment cost + installation cost</w:t>
      </w:r>
      <w:r>
        <w:rPr>
          <w:sz w:val="18"/>
          <w:szCs w:val="18"/>
        </w:rPr>
        <w:t>, for the second baseline period</w:t>
      </w:r>
    </w:p>
  </w:footnote>
  <w:footnote w:id="5">
    <w:p w14:paraId="68227A74" w14:textId="5A63693B" w:rsidR="002C57D3" w:rsidRPr="00452747" w:rsidRDefault="002C57D3" w:rsidP="001A646D">
      <w:pPr>
        <w:pStyle w:val="FootnoteText"/>
        <w:rPr>
          <w:sz w:val="18"/>
          <w:szCs w:val="18"/>
        </w:rPr>
      </w:pPr>
      <w:r w:rsidRPr="00452747">
        <w:rPr>
          <w:rStyle w:val="FootnoteReference"/>
          <w:sz w:val="18"/>
          <w:szCs w:val="18"/>
        </w:rPr>
        <w:footnoteRef/>
      </w:r>
      <w:r w:rsidRPr="00452747">
        <w:rPr>
          <w:sz w:val="18"/>
          <w:szCs w:val="18"/>
        </w:rPr>
        <w:t xml:space="preserve"> According to the Energy Efficiency Policy Manual v.5 at page 32, the measure cost for an early-retirement case is “the full cost incurred to install the new high-efficiency measure or project, reduced by the net present value of the full cost that would have been incurred to install the standard efficiency second baseline equipment at the end of the [RUL] period”.  </w:t>
      </w:r>
      <w:r>
        <w:rPr>
          <w:sz w:val="18"/>
          <w:szCs w:val="18"/>
        </w:rPr>
        <w:t>Page 33 elaborates that</w:t>
      </w:r>
      <w:r w:rsidRPr="001A646D">
        <w:rPr>
          <w:sz w:val="18"/>
          <w:szCs w:val="18"/>
        </w:rPr>
        <w:t xml:space="preserve"> “the period between the RUL and EUL defines the second baseline calculation period…the measure cost for this period is the full cost of equipment, including installation, for the second baseline equipment measure”.</w:t>
      </w:r>
      <w:r>
        <w:rPr>
          <w:sz w:val="18"/>
          <w:szCs w:val="18"/>
        </w:rPr>
        <w:t xml:space="preserve">  </w:t>
      </w:r>
    </w:p>
  </w:footnote>
  <w:footnote w:id="6">
    <w:p w14:paraId="1BC83D63" w14:textId="77777777" w:rsidR="002C57D3" w:rsidRDefault="002C57D3" w:rsidP="00A54B8A">
      <w:pPr>
        <w:pStyle w:val="FootnoteText"/>
      </w:pPr>
      <w:r>
        <w:rPr>
          <w:rStyle w:val="FootnoteReference"/>
        </w:rPr>
        <w:footnoteRef/>
      </w:r>
      <w:r>
        <w:t xml:space="preserve"> The E</w:t>
      </w:r>
      <w:r w:rsidRPr="00452747">
        <w:rPr>
          <w:sz w:val="18"/>
          <w:szCs w:val="18"/>
        </w:rPr>
        <w:t>nergy Efficiency Policy Manual v.5 at page 3</w:t>
      </w:r>
      <w:r>
        <w:rPr>
          <w:sz w:val="18"/>
          <w:szCs w:val="18"/>
        </w:rPr>
        <w:t>3 states “the remaining useful life (RUL)…[is established by DEER] as one-third of the expected useful life (EUL) for the equipment type”.</w:t>
      </w:r>
    </w:p>
  </w:footnote>
  <w:footnote w:id="7">
    <w:p w14:paraId="257084D7" w14:textId="78110F84" w:rsidR="002C57D3" w:rsidRPr="00F54A23" w:rsidRDefault="002C57D3" w:rsidP="00062208">
      <w:pPr>
        <w:pStyle w:val="FootnoteText"/>
        <w:rPr>
          <w:sz w:val="18"/>
          <w:szCs w:val="18"/>
        </w:rPr>
      </w:pPr>
      <w:r w:rsidRPr="00F54A23">
        <w:rPr>
          <w:rStyle w:val="FootnoteReference"/>
          <w:sz w:val="18"/>
          <w:szCs w:val="18"/>
        </w:rPr>
        <w:footnoteRef/>
      </w:r>
      <w:r w:rsidRPr="00F54A23">
        <w:rPr>
          <w:sz w:val="18"/>
          <w:szCs w:val="18"/>
        </w:rPr>
        <w:t xml:space="preserve"> The Uniform Workpaper Template is not posted </w:t>
      </w:r>
      <w:r>
        <w:rPr>
          <w:sz w:val="18"/>
          <w:szCs w:val="18"/>
        </w:rPr>
        <w:t>on the DEER website as of 4/21/14</w:t>
      </w:r>
      <w:r w:rsidRPr="00F54A23">
        <w:rPr>
          <w:sz w:val="18"/>
          <w:szCs w:val="18"/>
        </w:rPr>
        <w:t>, and is currently in Microsoft Access Database format.</w:t>
      </w:r>
    </w:p>
  </w:footnote>
  <w:footnote w:id="8">
    <w:p w14:paraId="68A4FE00" w14:textId="77777777" w:rsidR="002C57D3" w:rsidRPr="00951B69" w:rsidRDefault="002C57D3" w:rsidP="00062208">
      <w:pPr>
        <w:pStyle w:val="FootnoteText"/>
        <w:rPr>
          <w:sz w:val="18"/>
          <w:szCs w:val="18"/>
        </w:rPr>
      </w:pPr>
      <w:r w:rsidRPr="00F54A23">
        <w:rPr>
          <w:rStyle w:val="FootnoteReference"/>
          <w:sz w:val="18"/>
          <w:szCs w:val="18"/>
        </w:rPr>
        <w:footnoteRef/>
      </w:r>
      <w:r w:rsidRPr="00F54A23">
        <w:rPr>
          <w:sz w:val="18"/>
          <w:szCs w:val="18"/>
        </w:rPr>
        <w:t xml:space="preserve"> Metric 3 is not split among a – d in Attachment 7, however metric 3 was separated into four subcategories in this document </w:t>
      </w:r>
      <w:r w:rsidRPr="00951B69">
        <w:rPr>
          <w:sz w:val="18"/>
          <w:szCs w:val="18"/>
        </w:rPr>
        <w:t>for the purposes of identifying individual workpaper development actions to address quality.</w:t>
      </w:r>
    </w:p>
  </w:footnote>
  <w:footnote w:id="9">
    <w:p w14:paraId="1CB1344C" w14:textId="77777777" w:rsidR="002C57D3" w:rsidRPr="00951B69" w:rsidRDefault="002C57D3" w:rsidP="00062208">
      <w:pPr>
        <w:pStyle w:val="FootnoteText"/>
        <w:rPr>
          <w:sz w:val="18"/>
          <w:szCs w:val="18"/>
        </w:rPr>
      </w:pPr>
      <w:r w:rsidRPr="00951B69">
        <w:rPr>
          <w:rStyle w:val="FootnoteReference"/>
          <w:sz w:val="18"/>
          <w:szCs w:val="18"/>
        </w:rPr>
        <w:footnoteRef/>
      </w:r>
      <w:r w:rsidRPr="00951B69">
        <w:rPr>
          <w:sz w:val="18"/>
          <w:szCs w:val="18"/>
        </w:rPr>
        <w:t xml:space="preserve"> “Adequate” is defined in Attachment 7 such that derivations of underlying assumptions of workpaper are easy to understand by the CPUC reviewer.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3" w14:textId="1A8066B5" w:rsidR="002C57D3" w:rsidRDefault="002C57D3">
    <w:pPr>
      <w:pStyle w:val="Header"/>
    </w:pPr>
    <w:r>
      <w:rPr>
        <w:noProof/>
      </w:rPr>
      <mc:AlternateContent>
        <mc:Choice Requires="wps">
          <w:drawing>
            <wp:anchor distT="0" distB="0" distL="114300" distR="114300" simplePos="0" relativeHeight="251659264" behindDoc="1" locked="0" layoutInCell="1" allowOverlap="1" wp14:anchorId="393A15BA" wp14:editId="177910A6">
              <wp:simplePos x="0" y="0"/>
              <wp:positionH relativeFrom="margin">
                <wp:align>center</wp:align>
              </wp:positionH>
              <wp:positionV relativeFrom="margin">
                <wp:align>center</wp:align>
              </wp:positionV>
              <wp:extent cx="5525135" cy="2209800"/>
              <wp:effectExtent l="0" t="1409700" r="0" b="127635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AE24D8" w14:textId="77777777" w:rsidR="002C57D3" w:rsidRDefault="002C57D3"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A15BA" id="_x0000_t202" coordsize="21600,21600" o:spt="202" path="m,l,21600r21600,l21600,xe">
              <v:stroke joinstyle="miter"/>
              <v:path gradientshapeok="t" o:connecttype="rect"/>
            </v:shapetype>
            <v:shape id="WordArt 5" o:spid="_x0000_s1026"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" filled="f" stroked="f">
              <v:stroke joinstyle="round"/>
              <o:lock v:ext="edit" shapetype="t"/>
              <v:textbox style="mso-fit-shape-to-text:t">
                <w:txbxContent>
                  <w:p w14:paraId="17AE24D8" w14:textId="77777777" w:rsidR="002C57D3" w:rsidRDefault="002C57D3"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4" w14:textId="77777777" w:rsidR="002C57D3" w:rsidRDefault="002C57D3" w:rsidP="001A573F">
    <w:pPr>
      <w:pStyle w:val="Header"/>
      <w:jc w:val="right"/>
    </w:pPr>
  </w:p>
  <w:p w14:paraId="393A15A5" w14:textId="77777777" w:rsidR="002C57D3" w:rsidRDefault="002C57D3" w:rsidP="001A573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C" w14:textId="11F75277" w:rsidR="002C57D3" w:rsidRDefault="002C57D3">
    <w:pPr>
      <w:pStyle w:val="Header"/>
    </w:pPr>
    <w:r>
      <w:rPr>
        <w:noProof/>
      </w:rPr>
      <mc:AlternateContent>
        <mc:Choice Requires="wps">
          <w:drawing>
            <wp:anchor distT="0" distB="0" distL="114300" distR="114300" simplePos="0" relativeHeight="251658240" behindDoc="1" locked="0" layoutInCell="1" allowOverlap="1" wp14:anchorId="393A15BB" wp14:editId="48E846F7">
              <wp:simplePos x="0" y="0"/>
              <wp:positionH relativeFrom="margin">
                <wp:align>center</wp:align>
              </wp:positionH>
              <wp:positionV relativeFrom="margin">
                <wp:align>center</wp:align>
              </wp:positionV>
              <wp:extent cx="5525135" cy="2209800"/>
              <wp:effectExtent l="0" t="1409700" r="0" b="12763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B7511F" w14:textId="77777777" w:rsidR="002C57D3" w:rsidRDefault="002C57D3"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A15BB" id="_x0000_t202" coordsize="21600,21600" o:spt="202" path="m,l,21600r21600,l21600,xe">
              <v:stroke joinstyle="miter"/>
              <v:path gradientshapeok="t" o:connecttype="rect"/>
            </v:shapetype>
            <v:shape id="WordArt 4" o:spid="_x0000_s1027"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c0iAIAAAMF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qJ&#10;Yh1S9IgdvTSOZ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Q5BSoNYz&#10;uwF+QDp7nK+S2h87ZgRKY9ddA+aGeqgNdJPc/Nln4xu+Hh6Z0RMrDqPet8f5CtR4vy2f5Mr4NwTq&#10;WhxbLJnMgzjGgidnZPwFNbRIX6KwVjJw/JLnJEectFDl9FXwo/z6HLxevl3LX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CC&#10;52c0iAIAAAMFAAAOAAAAAAAAAAAAAAAAAC4CAABkcnMvZTJvRG9jLnhtbFBLAQItABQABgAIAAAA&#10;IQASJU4+2wAAAAUBAAAPAAAAAAAAAAAAAAAAAOIEAABkcnMvZG93bnJldi54bWxQSwUGAAAAAAQA&#10;BADzAAAA6gUAAAAA&#10;" filled="f" stroked="f">
              <v:stroke joinstyle="round"/>
              <o:lock v:ext="edit" shapetype="t"/>
              <v:textbox style="mso-fit-shape-to-text:t">
                <w:txbxContent>
                  <w:p w14:paraId="50B7511F" w14:textId="77777777" w:rsidR="002C57D3" w:rsidRDefault="002C57D3" w:rsidP="00DD4BD7">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AF" w14:textId="77777777" w:rsidR="002C57D3" w:rsidRDefault="004B65BD">
    <w:pPr>
      <w:pStyle w:val="Header"/>
    </w:pPr>
    <w:r>
      <w:rPr>
        <w:noProof/>
      </w:rPr>
      <w:pict w14:anchorId="393A1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B0" w14:textId="77777777" w:rsidR="002C57D3" w:rsidRDefault="002C57D3" w:rsidP="001A573F">
    <w:pPr>
      <w:pStyle w:val="Header"/>
      <w:jc w:val="right"/>
    </w:pPr>
  </w:p>
  <w:p w14:paraId="393A15B1" w14:textId="77777777" w:rsidR="002C57D3" w:rsidRDefault="002C57D3" w:rsidP="001A573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5B7" w14:textId="77777777" w:rsidR="002C57D3" w:rsidRDefault="004B65BD">
    <w:pPr>
      <w:pStyle w:val="Header"/>
    </w:pPr>
    <w:r>
      <w:rPr>
        <w:noProof/>
      </w:rPr>
      <w:pict w14:anchorId="393A1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0288;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2996"/>
    <w:multiLevelType w:val="hybridMultilevel"/>
    <w:tmpl w:val="295AAF3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0DC73553"/>
    <w:multiLevelType w:val="multilevel"/>
    <w:tmpl w:val="9878B272"/>
    <w:styleLink w:val="Style1-Header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91612"/>
    <w:multiLevelType w:val="multilevel"/>
    <w:tmpl w:val="C49AFE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D0211AE"/>
    <w:multiLevelType w:val="multilevel"/>
    <w:tmpl w:val="3C2AA752"/>
    <w:lvl w:ilvl="0">
      <w:start w:val="1"/>
      <w:numFmt w:val="decimal"/>
      <w:pStyle w:val="Heading1-CalTF"/>
      <w:lvlText w:val="Section %1."/>
      <w:lvlJc w:val="left"/>
      <w:pPr>
        <w:ind w:left="432" w:hanging="432"/>
      </w:pPr>
      <w:rPr>
        <w:rFonts w:hint="default"/>
      </w:rPr>
    </w:lvl>
    <w:lvl w:ilvl="1">
      <w:start w:val="1"/>
      <w:numFmt w:val="decimal"/>
      <w:pStyle w:val="Heading2-CalTF2"/>
      <w:lvlText w:val="%1.%2"/>
      <w:lvlJc w:val="left"/>
      <w:pPr>
        <w:ind w:left="576" w:hanging="576"/>
      </w:pPr>
      <w:rPr>
        <w:rFonts w:hint="default"/>
        <w:i w:val="0"/>
      </w:rPr>
    </w:lvl>
    <w:lvl w:ilvl="2">
      <w:start w:val="1"/>
      <w:numFmt w:val="decimal"/>
      <w:pStyle w:val="Heading3-CalTFStyle31"/>
      <w:lvlText w:val="%1.%2.%3"/>
      <w:lvlJc w:val="left"/>
      <w:pPr>
        <w:ind w:left="720" w:hanging="14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7871E65"/>
    <w:multiLevelType w:val="hybridMultilevel"/>
    <w:tmpl w:val="8640C5FE"/>
    <w:lvl w:ilvl="0" w:tplc="3CE0BD4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B64D0"/>
    <w:multiLevelType w:val="hybridMultilevel"/>
    <w:tmpl w:val="828470E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69F066C4"/>
    <w:multiLevelType w:val="multilevel"/>
    <w:tmpl w:val="BD10828A"/>
    <w:lvl w:ilvl="0">
      <w:start w:val="1"/>
      <w:numFmt w:val="decimal"/>
      <w:lvlText w:val="Section %1."/>
      <w:lvlJc w:val="left"/>
      <w:pPr>
        <w:ind w:left="144" w:hanging="144"/>
      </w:pPr>
      <w:rPr>
        <w:rFonts w:hint="default"/>
      </w:rPr>
    </w:lvl>
    <w:lvl w:ilvl="1">
      <w:start w:val="1"/>
      <w:numFmt w:val="decimal"/>
      <w:pStyle w:val="Heading2"/>
      <w:lvlText w:val="%2."/>
      <w:lvlJc w:val="left"/>
      <w:pPr>
        <w:ind w:left="576" w:hanging="576"/>
      </w:pPr>
      <w:rPr>
        <w:rFonts w:hint="default"/>
      </w:rPr>
    </w:lvl>
    <w:lvl w:ilvl="2">
      <w:start w:val="1"/>
      <w:numFmt w:val="none"/>
      <w:pStyle w:val="Heading3"/>
      <w:lvlText w:val="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E446BDE"/>
    <w:multiLevelType w:val="multilevel"/>
    <w:tmpl w:val="8A9876FE"/>
    <w:lvl w:ilvl="0">
      <w:start w:val="1"/>
      <w:numFmt w:val="decimal"/>
      <w:lvlText w:val="Section %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pStyle w:val="Heading3-CalTFStyl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1"/>
  </w:num>
  <w:num w:numId="3">
    <w:abstractNumId w:val="7"/>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5"/>
  </w:num>
  <w:num w:numId="15">
    <w:abstractNumId w:val="4"/>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1"/>
    <w:rsid w:val="00003527"/>
    <w:rsid w:val="00005E70"/>
    <w:rsid w:val="000106A5"/>
    <w:rsid w:val="00012F86"/>
    <w:rsid w:val="00012FC5"/>
    <w:rsid w:val="00014740"/>
    <w:rsid w:val="000154C6"/>
    <w:rsid w:val="000170B5"/>
    <w:rsid w:val="00017488"/>
    <w:rsid w:val="00020042"/>
    <w:rsid w:val="00020A80"/>
    <w:rsid w:val="0002129F"/>
    <w:rsid w:val="00024AA9"/>
    <w:rsid w:val="0002670C"/>
    <w:rsid w:val="00026F78"/>
    <w:rsid w:val="000272C2"/>
    <w:rsid w:val="0003064A"/>
    <w:rsid w:val="00030B1D"/>
    <w:rsid w:val="00032B63"/>
    <w:rsid w:val="000351CB"/>
    <w:rsid w:val="000374A5"/>
    <w:rsid w:val="00041CF4"/>
    <w:rsid w:val="00043F2F"/>
    <w:rsid w:val="00044570"/>
    <w:rsid w:val="00056348"/>
    <w:rsid w:val="000571F6"/>
    <w:rsid w:val="00057C09"/>
    <w:rsid w:val="000610A1"/>
    <w:rsid w:val="00062208"/>
    <w:rsid w:val="00062698"/>
    <w:rsid w:val="00063FA7"/>
    <w:rsid w:val="0006490F"/>
    <w:rsid w:val="00065A01"/>
    <w:rsid w:val="00066D5B"/>
    <w:rsid w:val="000678A2"/>
    <w:rsid w:val="00067CF1"/>
    <w:rsid w:val="00067EB5"/>
    <w:rsid w:val="000701EB"/>
    <w:rsid w:val="000719AA"/>
    <w:rsid w:val="00072B82"/>
    <w:rsid w:val="00072D35"/>
    <w:rsid w:val="000749EA"/>
    <w:rsid w:val="0007589E"/>
    <w:rsid w:val="00077161"/>
    <w:rsid w:val="00080785"/>
    <w:rsid w:val="000814B9"/>
    <w:rsid w:val="000842B9"/>
    <w:rsid w:val="00085DF5"/>
    <w:rsid w:val="00086594"/>
    <w:rsid w:val="00086F2F"/>
    <w:rsid w:val="00087378"/>
    <w:rsid w:val="00094D57"/>
    <w:rsid w:val="00095361"/>
    <w:rsid w:val="00095610"/>
    <w:rsid w:val="000966CC"/>
    <w:rsid w:val="00096FD1"/>
    <w:rsid w:val="000A1211"/>
    <w:rsid w:val="000A17BE"/>
    <w:rsid w:val="000A18A7"/>
    <w:rsid w:val="000A2ABA"/>
    <w:rsid w:val="000A2FB3"/>
    <w:rsid w:val="000A48F2"/>
    <w:rsid w:val="000A4BCA"/>
    <w:rsid w:val="000B043F"/>
    <w:rsid w:val="000B0B1E"/>
    <w:rsid w:val="000C0FD3"/>
    <w:rsid w:val="000C5B2D"/>
    <w:rsid w:val="000C6D7B"/>
    <w:rsid w:val="000D17B9"/>
    <w:rsid w:val="000D19E1"/>
    <w:rsid w:val="000D1F51"/>
    <w:rsid w:val="000D27FF"/>
    <w:rsid w:val="000D4BA1"/>
    <w:rsid w:val="000D5482"/>
    <w:rsid w:val="000E132D"/>
    <w:rsid w:val="000E22C9"/>
    <w:rsid w:val="000E31B5"/>
    <w:rsid w:val="000E72A3"/>
    <w:rsid w:val="000F0069"/>
    <w:rsid w:val="000F11DD"/>
    <w:rsid w:val="000F53E6"/>
    <w:rsid w:val="000F57B3"/>
    <w:rsid w:val="001032F2"/>
    <w:rsid w:val="00104E0A"/>
    <w:rsid w:val="001065EB"/>
    <w:rsid w:val="00106D96"/>
    <w:rsid w:val="00107C66"/>
    <w:rsid w:val="00113464"/>
    <w:rsid w:val="00113EDB"/>
    <w:rsid w:val="00115EB1"/>
    <w:rsid w:val="00117358"/>
    <w:rsid w:val="001178BE"/>
    <w:rsid w:val="0012176A"/>
    <w:rsid w:val="00121A22"/>
    <w:rsid w:val="00122F79"/>
    <w:rsid w:val="001248A3"/>
    <w:rsid w:val="00124F32"/>
    <w:rsid w:val="0012508B"/>
    <w:rsid w:val="00126483"/>
    <w:rsid w:val="00126A4E"/>
    <w:rsid w:val="00127CC8"/>
    <w:rsid w:val="0013046A"/>
    <w:rsid w:val="0013080C"/>
    <w:rsid w:val="0013087E"/>
    <w:rsid w:val="00133198"/>
    <w:rsid w:val="00133C60"/>
    <w:rsid w:val="00136D56"/>
    <w:rsid w:val="00140BEF"/>
    <w:rsid w:val="00144063"/>
    <w:rsid w:val="00146434"/>
    <w:rsid w:val="001465B1"/>
    <w:rsid w:val="00150E0C"/>
    <w:rsid w:val="00150EC7"/>
    <w:rsid w:val="001520C5"/>
    <w:rsid w:val="00155EF5"/>
    <w:rsid w:val="00162B2C"/>
    <w:rsid w:val="00167A18"/>
    <w:rsid w:val="00167F2B"/>
    <w:rsid w:val="0017179F"/>
    <w:rsid w:val="001719B8"/>
    <w:rsid w:val="001720C4"/>
    <w:rsid w:val="00172149"/>
    <w:rsid w:val="00175673"/>
    <w:rsid w:val="00176431"/>
    <w:rsid w:val="00183C8E"/>
    <w:rsid w:val="00190B33"/>
    <w:rsid w:val="00192B77"/>
    <w:rsid w:val="00193700"/>
    <w:rsid w:val="001946B1"/>
    <w:rsid w:val="00194E14"/>
    <w:rsid w:val="001952E6"/>
    <w:rsid w:val="001960A2"/>
    <w:rsid w:val="0019648A"/>
    <w:rsid w:val="001965AF"/>
    <w:rsid w:val="00196D7C"/>
    <w:rsid w:val="00197A23"/>
    <w:rsid w:val="001A0057"/>
    <w:rsid w:val="001A3026"/>
    <w:rsid w:val="001A4516"/>
    <w:rsid w:val="001A550C"/>
    <w:rsid w:val="001A573F"/>
    <w:rsid w:val="001A646D"/>
    <w:rsid w:val="001A64C6"/>
    <w:rsid w:val="001A6BC8"/>
    <w:rsid w:val="001A7081"/>
    <w:rsid w:val="001A70AD"/>
    <w:rsid w:val="001A73E3"/>
    <w:rsid w:val="001B238D"/>
    <w:rsid w:val="001B242B"/>
    <w:rsid w:val="001B3E74"/>
    <w:rsid w:val="001B4ACB"/>
    <w:rsid w:val="001B5E15"/>
    <w:rsid w:val="001B75E6"/>
    <w:rsid w:val="001B792D"/>
    <w:rsid w:val="001C0219"/>
    <w:rsid w:val="001C0CB0"/>
    <w:rsid w:val="001C2942"/>
    <w:rsid w:val="001C63A2"/>
    <w:rsid w:val="001D0B16"/>
    <w:rsid w:val="001D11CE"/>
    <w:rsid w:val="001D16C2"/>
    <w:rsid w:val="001D2C8F"/>
    <w:rsid w:val="001D3F48"/>
    <w:rsid w:val="001D4579"/>
    <w:rsid w:val="001D483C"/>
    <w:rsid w:val="001D4BC3"/>
    <w:rsid w:val="001D4E70"/>
    <w:rsid w:val="001D5D40"/>
    <w:rsid w:val="001E47A2"/>
    <w:rsid w:val="001E4C31"/>
    <w:rsid w:val="001E7CA0"/>
    <w:rsid w:val="001F088D"/>
    <w:rsid w:val="001F0D38"/>
    <w:rsid w:val="001F4083"/>
    <w:rsid w:val="001F60D5"/>
    <w:rsid w:val="001F627F"/>
    <w:rsid w:val="001F7023"/>
    <w:rsid w:val="00200174"/>
    <w:rsid w:val="00200DD0"/>
    <w:rsid w:val="0020781A"/>
    <w:rsid w:val="00211BAC"/>
    <w:rsid w:val="00215428"/>
    <w:rsid w:val="002154B2"/>
    <w:rsid w:val="002170D6"/>
    <w:rsid w:val="00220370"/>
    <w:rsid w:val="002203EA"/>
    <w:rsid w:val="0022055B"/>
    <w:rsid w:val="0022067C"/>
    <w:rsid w:val="002207C3"/>
    <w:rsid w:val="0022428B"/>
    <w:rsid w:val="00225340"/>
    <w:rsid w:val="002257FA"/>
    <w:rsid w:val="00233805"/>
    <w:rsid w:val="00235694"/>
    <w:rsid w:val="002418C3"/>
    <w:rsid w:val="0024233E"/>
    <w:rsid w:val="00243BAC"/>
    <w:rsid w:val="00243BC2"/>
    <w:rsid w:val="00244BD6"/>
    <w:rsid w:val="002456F2"/>
    <w:rsid w:val="00245A56"/>
    <w:rsid w:val="002466F4"/>
    <w:rsid w:val="00251E83"/>
    <w:rsid w:val="00252352"/>
    <w:rsid w:val="00255067"/>
    <w:rsid w:val="002570CF"/>
    <w:rsid w:val="0025738E"/>
    <w:rsid w:val="00257989"/>
    <w:rsid w:val="00261422"/>
    <w:rsid w:val="002628B9"/>
    <w:rsid w:val="00264B03"/>
    <w:rsid w:val="00271E01"/>
    <w:rsid w:val="0027474D"/>
    <w:rsid w:val="00274A7E"/>
    <w:rsid w:val="00276918"/>
    <w:rsid w:val="00276CD0"/>
    <w:rsid w:val="00276ED1"/>
    <w:rsid w:val="002775AB"/>
    <w:rsid w:val="0027792C"/>
    <w:rsid w:val="00283765"/>
    <w:rsid w:val="002837E9"/>
    <w:rsid w:val="00283CA0"/>
    <w:rsid w:val="00285AF5"/>
    <w:rsid w:val="0028709C"/>
    <w:rsid w:val="002876BD"/>
    <w:rsid w:val="00291D75"/>
    <w:rsid w:val="0029206E"/>
    <w:rsid w:val="002942F8"/>
    <w:rsid w:val="00295B10"/>
    <w:rsid w:val="00295B67"/>
    <w:rsid w:val="002A1BEB"/>
    <w:rsid w:val="002A2C2E"/>
    <w:rsid w:val="002A3753"/>
    <w:rsid w:val="002A4B6C"/>
    <w:rsid w:val="002A5E54"/>
    <w:rsid w:val="002A669E"/>
    <w:rsid w:val="002A6912"/>
    <w:rsid w:val="002A750B"/>
    <w:rsid w:val="002B0ECF"/>
    <w:rsid w:val="002B4349"/>
    <w:rsid w:val="002B4FEF"/>
    <w:rsid w:val="002B57A4"/>
    <w:rsid w:val="002B665F"/>
    <w:rsid w:val="002B7C2D"/>
    <w:rsid w:val="002C12FA"/>
    <w:rsid w:val="002C21F9"/>
    <w:rsid w:val="002C26EB"/>
    <w:rsid w:val="002C2F7C"/>
    <w:rsid w:val="002C321E"/>
    <w:rsid w:val="002C408C"/>
    <w:rsid w:val="002C42E0"/>
    <w:rsid w:val="002C4F1C"/>
    <w:rsid w:val="002C518C"/>
    <w:rsid w:val="002C57D3"/>
    <w:rsid w:val="002C7B46"/>
    <w:rsid w:val="002D0F51"/>
    <w:rsid w:val="002D1ED3"/>
    <w:rsid w:val="002D2177"/>
    <w:rsid w:val="002D27DC"/>
    <w:rsid w:val="002D4621"/>
    <w:rsid w:val="002D4A61"/>
    <w:rsid w:val="002E0043"/>
    <w:rsid w:val="002E2E3C"/>
    <w:rsid w:val="002E40A2"/>
    <w:rsid w:val="002E47B4"/>
    <w:rsid w:val="002E4B46"/>
    <w:rsid w:val="002E5671"/>
    <w:rsid w:val="002E6162"/>
    <w:rsid w:val="002E6845"/>
    <w:rsid w:val="002F105C"/>
    <w:rsid w:val="002F2D19"/>
    <w:rsid w:val="002F341A"/>
    <w:rsid w:val="002F3610"/>
    <w:rsid w:val="002F3FE5"/>
    <w:rsid w:val="002F4B05"/>
    <w:rsid w:val="002F4E8C"/>
    <w:rsid w:val="0030080B"/>
    <w:rsid w:val="0030114D"/>
    <w:rsid w:val="00302B74"/>
    <w:rsid w:val="003032B7"/>
    <w:rsid w:val="00303D53"/>
    <w:rsid w:val="0030550A"/>
    <w:rsid w:val="003129E8"/>
    <w:rsid w:val="00313CF3"/>
    <w:rsid w:val="0031542A"/>
    <w:rsid w:val="00315AB7"/>
    <w:rsid w:val="00316F6C"/>
    <w:rsid w:val="003216E6"/>
    <w:rsid w:val="00324AFE"/>
    <w:rsid w:val="00324D0F"/>
    <w:rsid w:val="003259CD"/>
    <w:rsid w:val="0032657A"/>
    <w:rsid w:val="00327347"/>
    <w:rsid w:val="00331835"/>
    <w:rsid w:val="00333489"/>
    <w:rsid w:val="00333E01"/>
    <w:rsid w:val="00334EBB"/>
    <w:rsid w:val="00335017"/>
    <w:rsid w:val="003408A4"/>
    <w:rsid w:val="00340DAD"/>
    <w:rsid w:val="00340DC8"/>
    <w:rsid w:val="00343105"/>
    <w:rsid w:val="00344739"/>
    <w:rsid w:val="00345971"/>
    <w:rsid w:val="00345DE6"/>
    <w:rsid w:val="0034647B"/>
    <w:rsid w:val="00350382"/>
    <w:rsid w:val="0035072D"/>
    <w:rsid w:val="00353DC2"/>
    <w:rsid w:val="003541A6"/>
    <w:rsid w:val="00362067"/>
    <w:rsid w:val="003629B7"/>
    <w:rsid w:val="00362AC7"/>
    <w:rsid w:val="00364DA3"/>
    <w:rsid w:val="00371442"/>
    <w:rsid w:val="003743E3"/>
    <w:rsid w:val="00374640"/>
    <w:rsid w:val="00377407"/>
    <w:rsid w:val="0038391A"/>
    <w:rsid w:val="00390A78"/>
    <w:rsid w:val="00392604"/>
    <w:rsid w:val="003928AE"/>
    <w:rsid w:val="00392B5E"/>
    <w:rsid w:val="00392C05"/>
    <w:rsid w:val="00393618"/>
    <w:rsid w:val="0039397F"/>
    <w:rsid w:val="00393D41"/>
    <w:rsid w:val="003941B5"/>
    <w:rsid w:val="00395845"/>
    <w:rsid w:val="003A1B51"/>
    <w:rsid w:val="003A37EC"/>
    <w:rsid w:val="003A3C5C"/>
    <w:rsid w:val="003A648E"/>
    <w:rsid w:val="003A66D0"/>
    <w:rsid w:val="003A7230"/>
    <w:rsid w:val="003B384E"/>
    <w:rsid w:val="003B51DE"/>
    <w:rsid w:val="003B6B5B"/>
    <w:rsid w:val="003C1709"/>
    <w:rsid w:val="003C27C4"/>
    <w:rsid w:val="003C3A3C"/>
    <w:rsid w:val="003C48C5"/>
    <w:rsid w:val="003C5980"/>
    <w:rsid w:val="003C599C"/>
    <w:rsid w:val="003C6C82"/>
    <w:rsid w:val="003C6DFA"/>
    <w:rsid w:val="003C73D8"/>
    <w:rsid w:val="003D04BC"/>
    <w:rsid w:val="003D1EEF"/>
    <w:rsid w:val="003D298F"/>
    <w:rsid w:val="003D36AD"/>
    <w:rsid w:val="003D3F36"/>
    <w:rsid w:val="003D5191"/>
    <w:rsid w:val="003D60B8"/>
    <w:rsid w:val="003E15A5"/>
    <w:rsid w:val="003E24CE"/>
    <w:rsid w:val="003E2A8B"/>
    <w:rsid w:val="003E3441"/>
    <w:rsid w:val="003E3941"/>
    <w:rsid w:val="003E400E"/>
    <w:rsid w:val="003E540D"/>
    <w:rsid w:val="003E7422"/>
    <w:rsid w:val="003E7CC9"/>
    <w:rsid w:val="003E7CF9"/>
    <w:rsid w:val="003E7D3D"/>
    <w:rsid w:val="003E7E0A"/>
    <w:rsid w:val="003F0CBE"/>
    <w:rsid w:val="003F0CD3"/>
    <w:rsid w:val="003F0D28"/>
    <w:rsid w:val="003F3179"/>
    <w:rsid w:val="003F3DED"/>
    <w:rsid w:val="003F4A0E"/>
    <w:rsid w:val="003F526B"/>
    <w:rsid w:val="003F57BD"/>
    <w:rsid w:val="003F5B70"/>
    <w:rsid w:val="003F6300"/>
    <w:rsid w:val="00401792"/>
    <w:rsid w:val="004018B3"/>
    <w:rsid w:val="0040323C"/>
    <w:rsid w:val="004039A9"/>
    <w:rsid w:val="00403B19"/>
    <w:rsid w:val="00403FBE"/>
    <w:rsid w:val="00406EDD"/>
    <w:rsid w:val="004078BB"/>
    <w:rsid w:val="0041339D"/>
    <w:rsid w:val="0041365D"/>
    <w:rsid w:val="00415754"/>
    <w:rsid w:val="004162E3"/>
    <w:rsid w:val="00421ED8"/>
    <w:rsid w:val="0042297B"/>
    <w:rsid w:val="00422E41"/>
    <w:rsid w:val="00422EF6"/>
    <w:rsid w:val="00422F19"/>
    <w:rsid w:val="00423B48"/>
    <w:rsid w:val="00425FE9"/>
    <w:rsid w:val="00427131"/>
    <w:rsid w:val="004279EA"/>
    <w:rsid w:val="00430775"/>
    <w:rsid w:val="004312DA"/>
    <w:rsid w:val="004323E9"/>
    <w:rsid w:val="00432C65"/>
    <w:rsid w:val="004339ED"/>
    <w:rsid w:val="00433B89"/>
    <w:rsid w:val="00434BAD"/>
    <w:rsid w:val="00435A18"/>
    <w:rsid w:val="00435E41"/>
    <w:rsid w:val="00436F7E"/>
    <w:rsid w:val="00437947"/>
    <w:rsid w:val="00437BE1"/>
    <w:rsid w:val="0044128D"/>
    <w:rsid w:val="004419D3"/>
    <w:rsid w:val="00442366"/>
    <w:rsid w:val="0044337C"/>
    <w:rsid w:val="00445790"/>
    <w:rsid w:val="00450273"/>
    <w:rsid w:val="004509A5"/>
    <w:rsid w:val="00452747"/>
    <w:rsid w:val="00453CE7"/>
    <w:rsid w:val="004551F3"/>
    <w:rsid w:val="00455856"/>
    <w:rsid w:val="004563F1"/>
    <w:rsid w:val="004602EC"/>
    <w:rsid w:val="004617A6"/>
    <w:rsid w:val="00467FE9"/>
    <w:rsid w:val="00471494"/>
    <w:rsid w:val="0047256E"/>
    <w:rsid w:val="00474025"/>
    <w:rsid w:val="00476B0B"/>
    <w:rsid w:val="0048008C"/>
    <w:rsid w:val="004809C9"/>
    <w:rsid w:val="00480BAD"/>
    <w:rsid w:val="00480C7E"/>
    <w:rsid w:val="0048171E"/>
    <w:rsid w:val="00481EE4"/>
    <w:rsid w:val="00481F63"/>
    <w:rsid w:val="00482514"/>
    <w:rsid w:val="004851C1"/>
    <w:rsid w:val="00486CF9"/>
    <w:rsid w:val="00487A47"/>
    <w:rsid w:val="00487D95"/>
    <w:rsid w:val="00490DC7"/>
    <w:rsid w:val="00492048"/>
    <w:rsid w:val="004922CD"/>
    <w:rsid w:val="004959B4"/>
    <w:rsid w:val="004967A2"/>
    <w:rsid w:val="00497A5A"/>
    <w:rsid w:val="00497CD3"/>
    <w:rsid w:val="004A19C7"/>
    <w:rsid w:val="004A2B1F"/>
    <w:rsid w:val="004A2D46"/>
    <w:rsid w:val="004A3A35"/>
    <w:rsid w:val="004A4716"/>
    <w:rsid w:val="004A6FCA"/>
    <w:rsid w:val="004B0F48"/>
    <w:rsid w:val="004B2CFB"/>
    <w:rsid w:val="004B3428"/>
    <w:rsid w:val="004B4058"/>
    <w:rsid w:val="004B4489"/>
    <w:rsid w:val="004B65BD"/>
    <w:rsid w:val="004C2E63"/>
    <w:rsid w:val="004C416E"/>
    <w:rsid w:val="004C4E2A"/>
    <w:rsid w:val="004C56D1"/>
    <w:rsid w:val="004D0438"/>
    <w:rsid w:val="004D2C76"/>
    <w:rsid w:val="004D58D5"/>
    <w:rsid w:val="004D71AF"/>
    <w:rsid w:val="004D7301"/>
    <w:rsid w:val="004E275B"/>
    <w:rsid w:val="004E2777"/>
    <w:rsid w:val="004E4879"/>
    <w:rsid w:val="004F0B0A"/>
    <w:rsid w:val="004F1DB8"/>
    <w:rsid w:val="004F21BC"/>
    <w:rsid w:val="004F3EDB"/>
    <w:rsid w:val="004F4372"/>
    <w:rsid w:val="004F55EC"/>
    <w:rsid w:val="004F61DD"/>
    <w:rsid w:val="00500836"/>
    <w:rsid w:val="00500B89"/>
    <w:rsid w:val="00502569"/>
    <w:rsid w:val="0050293B"/>
    <w:rsid w:val="00506204"/>
    <w:rsid w:val="00506E05"/>
    <w:rsid w:val="00511171"/>
    <w:rsid w:val="005136CC"/>
    <w:rsid w:val="00513858"/>
    <w:rsid w:val="0051412D"/>
    <w:rsid w:val="00514B37"/>
    <w:rsid w:val="00514EEC"/>
    <w:rsid w:val="00515FEB"/>
    <w:rsid w:val="00517432"/>
    <w:rsid w:val="00520400"/>
    <w:rsid w:val="00520480"/>
    <w:rsid w:val="00521874"/>
    <w:rsid w:val="00521920"/>
    <w:rsid w:val="005246B1"/>
    <w:rsid w:val="00526C7C"/>
    <w:rsid w:val="00530B04"/>
    <w:rsid w:val="00534386"/>
    <w:rsid w:val="0053683E"/>
    <w:rsid w:val="00537B0D"/>
    <w:rsid w:val="00537F31"/>
    <w:rsid w:val="005403E8"/>
    <w:rsid w:val="00540CF1"/>
    <w:rsid w:val="00542990"/>
    <w:rsid w:val="00542A98"/>
    <w:rsid w:val="00544873"/>
    <w:rsid w:val="005453C5"/>
    <w:rsid w:val="0054599C"/>
    <w:rsid w:val="00545A84"/>
    <w:rsid w:val="0054799F"/>
    <w:rsid w:val="00551EF3"/>
    <w:rsid w:val="00554084"/>
    <w:rsid w:val="0055696A"/>
    <w:rsid w:val="00557E24"/>
    <w:rsid w:val="00560593"/>
    <w:rsid w:val="00560E6F"/>
    <w:rsid w:val="0056163A"/>
    <w:rsid w:val="00562217"/>
    <w:rsid w:val="00563BE5"/>
    <w:rsid w:val="00567397"/>
    <w:rsid w:val="0057044A"/>
    <w:rsid w:val="00572817"/>
    <w:rsid w:val="00574FBD"/>
    <w:rsid w:val="005750B0"/>
    <w:rsid w:val="00576106"/>
    <w:rsid w:val="005773BB"/>
    <w:rsid w:val="005834A4"/>
    <w:rsid w:val="00583F3E"/>
    <w:rsid w:val="00585C83"/>
    <w:rsid w:val="00586604"/>
    <w:rsid w:val="00587DDD"/>
    <w:rsid w:val="00591FDD"/>
    <w:rsid w:val="0059281F"/>
    <w:rsid w:val="005975C4"/>
    <w:rsid w:val="005A1F9D"/>
    <w:rsid w:val="005A269A"/>
    <w:rsid w:val="005A3798"/>
    <w:rsid w:val="005A67E5"/>
    <w:rsid w:val="005A7302"/>
    <w:rsid w:val="005B00A6"/>
    <w:rsid w:val="005B36EE"/>
    <w:rsid w:val="005B6887"/>
    <w:rsid w:val="005B6C4E"/>
    <w:rsid w:val="005C03C5"/>
    <w:rsid w:val="005C098C"/>
    <w:rsid w:val="005C14FF"/>
    <w:rsid w:val="005C2844"/>
    <w:rsid w:val="005C40CF"/>
    <w:rsid w:val="005C4FE4"/>
    <w:rsid w:val="005C7F3F"/>
    <w:rsid w:val="005D1877"/>
    <w:rsid w:val="005D1A92"/>
    <w:rsid w:val="005D3F7D"/>
    <w:rsid w:val="005D6266"/>
    <w:rsid w:val="005E2187"/>
    <w:rsid w:val="005E4FE9"/>
    <w:rsid w:val="005E7BB5"/>
    <w:rsid w:val="005F19E0"/>
    <w:rsid w:val="005F22BF"/>
    <w:rsid w:val="005F3E96"/>
    <w:rsid w:val="005F57B5"/>
    <w:rsid w:val="005F5FBE"/>
    <w:rsid w:val="005F67A9"/>
    <w:rsid w:val="005F70AB"/>
    <w:rsid w:val="005F7AA1"/>
    <w:rsid w:val="00600120"/>
    <w:rsid w:val="00604FAE"/>
    <w:rsid w:val="00607339"/>
    <w:rsid w:val="00607605"/>
    <w:rsid w:val="0061001E"/>
    <w:rsid w:val="00610B3C"/>
    <w:rsid w:val="00610FC6"/>
    <w:rsid w:val="00611BAE"/>
    <w:rsid w:val="006162E0"/>
    <w:rsid w:val="00616F90"/>
    <w:rsid w:val="00622319"/>
    <w:rsid w:val="00622683"/>
    <w:rsid w:val="00623394"/>
    <w:rsid w:val="00623BA1"/>
    <w:rsid w:val="00623C70"/>
    <w:rsid w:val="0062416A"/>
    <w:rsid w:val="00625FB3"/>
    <w:rsid w:val="00626129"/>
    <w:rsid w:val="0062617A"/>
    <w:rsid w:val="00632825"/>
    <w:rsid w:val="00632A52"/>
    <w:rsid w:val="00633A9C"/>
    <w:rsid w:val="00634414"/>
    <w:rsid w:val="00636012"/>
    <w:rsid w:val="00636987"/>
    <w:rsid w:val="00640BB6"/>
    <w:rsid w:val="0064211E"/>
    <w:rsid w:val="00642FCD"/>
    <w:rsid w:val="006433B2"/>
    <w:rsid w:val="00644D17"/>
    <w:rsid w:val="00645027"/>
    <w:rsid w:val="0064609B"/>
    <w:rsid w:val="00652DD9"/>
    <w:rsid w:val="006551BF"/>
    <w:rsid w:val="006559C8"/>
    <w:rsid w:val="00657405"/>
    <w:rsid w:val="006574FE"/>
    <w:rsid w:val="00657708"/>
    <w:rsid w:val="00660117"/>
    <w:rsid w:val="006605C2"/>
    <w:rsid w:val="00661864"/>
    <w:rsid w:val="00663A00"/>
    <w:rsid w:val="00664FA6"/>
    <w:rsid w:val="00665965"/>
    <w:rsid w:val="0066632E"/>
    <w:rsid w:val="0067178A"/>
    <w:rsid w:val="00671943"/>
    <w:rsid w:val="00673682"/>
    <w:rsid w:val="00674939"/>
    <w:rsid w:val="006832A4"/>
    <w:rsid w:val="006843F5"/>
    <w:rsid w:val="006846E9"/>
    <w:rsid w:val="0068481A"/>
    <w:rsid w:val="00686FF1"/>
    <w:rsid w:val="006872DB"/>
    <w:rsid w:val="00692BE2"/>
    <w:rsid w:val="00695C6D"/>
    <w:rsid w:val="00695ED2"/>
    <w:rsid w:val="00696885"/>
    <w:rsid w:val="006968B4"/>
    <w:rsid w:val="006A1022"/>
    <w:rsid w:val="006A1A83"/>
    <w:rsid w:val="006A2C4B"/>
    <w:rsid w:val="006A541C"/>
    <w:rsid w:val="006A55D2"/>
    <w:rsid w:val="006B00F5"/>
    <w:rsid w:val="006B21A2"/>
    <w:rsid w:val="006B33C5"/>
    <w:rsid w:val="006B42B8"/>
    <w:rsid w:val="006B4563"/>
    <w:rsid w:val="006B6104"/>
    <w:rsid w:val="006B763D"/>
    <w:rsid w:val="006B7EDD"/>
    <w:rsid w:val="006C44B4"/>
    <w:rsid w:val="006D0365"/>
    <w:rsid w:val="006D0A00"/>
    <w:rsid w:val="006D2068"/>
    <w:rsid w:val="006D2259"/>
    <w:rsid w:val="006D318D"/>
    <w:rsid w:val="006D3725"/>
    <w:rsid w:val="006D4AE1"/>
    <w:rsid w:val="006D52D8"/>
    <w:rsid w:val="006D5AAB"/>
    <w:rsid w:val="006D78DC"/>
    <w:rsid w:val="006E0111"/>
    <w:rsid w:val="006E173A"/>
    <w:rsid w:val="006E3C13"/>
    <w:rsid w:val="006E3E71"/>
    <w:rsid w:val="006E5CB6"/>
    <w:rsid w:val="006F0139"/>
    <w:rsid w:val="006F214B"/>
    <w:rsid w:val="006F28C7"/>
    <w:rsid w:val="006F77BE"/>
    <w:rsid w:val="007001DD"/>
    <w:rsid w:val="007012AD"/>
    <w:rsid w:val="0070443C"/>
    <w:rsid w:val="0071014A"/>
    <w:rsid w:val="007112FD"/>
    <w:rsid w:val="00712407"/>
    <w:rsid w:val="00712477"/>
    <w:rsid w:val="00717AE6"/>
    <w:rsid w:val="00721A54"/>
    <w:rsid w:val="00721C75"/>
    <w:rsid w:val="007228DB"/>
    <w:rsid w:val="007234D2"/>
    <w:rsid w:val="00723862"/>
    <w:rsid w:val="00724226"/>
    <w:rsid w:val="00730F7C"/>
    <w:rsid w:val="00731859"/>
    <w:rsid w:val="00732CF5"/>
    <w:rsid w:val="00733275"/>
    <w:rsid w:val="00735A4C"/>
    <w:rsid w:val="00735CB1"/>
    <w:rsid w:val="00737D6A"/>
    <w:rsid w:val="00741F74"/>
    <w:rsid w:val="00742E8A"/>
    <w:rsid w:val="007431B7"/>
    <w:rsid w:val="00745482"/>
    <w:rsid w:val="00746495"/>
    <w:rsid w:val="0074677C"/>
    <w:rsid w:val="00746DDC"/>
    <w:rsid w:val="007475AA"/>
    <w:rsid w:val="0075061C"/>
    <w:rsid w:val="00751FAC"/>
    <w:rsid w:val="00754695"/>
    <w:rsid w:val="00754D25"/>
    <w:rsid w:val="00755961"/>
    <w:rsid w:val="007565A1"/>
    <w:rsid w:val="00756A18"/>
    <w:rsid w:val="00757590"/>
    <w:rsid w:val="00757FCE"/>
    <w:rsid w:val="00761007"/>
    <w:rsid w:val="00761D77"/>
    <w:rsid w:val="007627BC"/>
    <w:rsid w:val="00762F0E"/>
    <w:rsid w:val="00764665"/>
    <w:rsid w:val="007652CE"/>
    <w:rsid w:val="00765936"/>
    <w:rsid w:val="0077416A"/>
    <w:rsid w:val="00774170"/>
    <w:rsid w:val="00774E46"/>
    <w:rsid w:val="00776887"/>
    <w:rsid w:val="0077706D"/>
    <w:rsid w:val="00777C1F"/>
    <w:rsid w:val="00781316"/>
    <w:rsid w:val="00781E00"/>
    <w:rsid w:val="007821CF"/>
    <w:rsid w:val="0078252C"/>
    <w:rsid w:val="00783DAC"/>
    <w:rsid w:val="00784500"/>
    <w:rsid w:val="00785112"/>
    <w:rsid w:val="007855AA"/>
    <w:rsid w:val="0078590A"/>
    <w:rsid w:val="00785970"/>
    <w:rsid w:val="00786700"/>
    <w:rsid w:val="007873CE"/>
    <w:rsid w:val="007878B9"/>
    <w:rsid w:val="00790C15"/>
    <w:rsid w:val="00791697"/>
    <w:rsid w:val="00792909"/>
    <w:rsid w:val="007931BC"/>
    <w:rsid w:val="00793646"/>
    <w:rsid w:val="0079521E"/>
    <w:rsid w:val="00796071"/>
    <w:rsid w:val="007968F2"/>
    <w:rsid w:val="007A0C2E"/>
    <w:rsid w:val="007A1510"/>
    <w:rsid w:val="007A37BA"/>
    <w:rsid w:val="007A4D97"/>
    <w:rsid w:val="007A768C"/>
    <w:rsid w:val="007B2C48"/>
    <w:rsid w:val="007B2CAC"/>
    <w:rsid w:val="007B2E26"/>
    <w:rsid w:val="007B44FB"/>
    <w:rsid w:val="007B55D3"/>
    <w:rsid w:val="007C0E38"/>
    <w:rsid w:val="007C18E3"/>
    <w:rsid w:val="007C4130"/>
    <w:rsid w:val="007C4E08"/>
    <w:rsid w:val="007C506F"/>
    <w:rsid w:val="007D015B"/>
    <w:rsid w:val="007D0411"/>
    <w:rsid w:val="007D047B"/>
    <w:rsid w:val="007D2F4C"/>
    <w:rsid w:val="007D3DFF"/>
    <w:rsid w:val="007D3F38"/>
    <w:rsid w:val="007D4DB8"/>
    <w:rsid w:val="007D5456"/>
    <w:rsid w:val="007E2197"/>
    <w:rsid w:val="007E3304"/>
    <w:rsid w:val="007E55E6"/>
    <w:rsid w:val="007E6C79"/>
    <w:rsid w:val="007F121B"/>
    <w:rsid w:val="007F12ED"/>
    <w:rsid w:val="007F1E48"/>
    <w:rsid w:val="007F2147"/>
    <w:rsid w:val="007F36E9"/>
    <w:rsid w:val="007F4605"/>
    <w:rsid w:val="007F6C7D"/>
    <w:rsid w:val="007F77A3"/>
    <w:rsid w:val="008026F6"/>
    <w:rsid w:val="00803F84"/>
    <w:rsid w:val="008056EC"/>
    <w:rsid w:val="00806070"/>
    <w:rsid w:val="00806DCF"/>
    <w:rsid w:val="00806EE8"/>
    <w:rsid w:val="00811D89"/>
    <w:rsid w:val="00812FC7"/>
    <w:rsid w:val="00814500"/>
    <w:rsid w:val="00817D29"/>
    <w:rsid w:val="00822F77"/>
    <w:rsid w:val="00826F22"/>
    <w:rsid w:val="00833AF7"/>
    <w:rsid w:val="00834023"/>
    <w:rsid w:val="00835579"/>
    <w:rsid w:val="00836F9B"/>
    <w:rsid w:val="00841A89"/>
    <w:rsid w:val="00844106"/>
    <w:rsid w:val="00844B27"/>
    <w:rsid w:val="00844D29"/>
    <w:rsid w:val="008459A0"/>
    <w:rsid w:val="00846195"/>
    <w:rsid w:val="008464D2"/>
    <w:rsid w:val="00846FA0"/>
    <w:rsid w:val="008479B6"/>
    <w:rsid w:val="0085197D"/>
    <w:rsid w:val="00851ABA"/>
    <w:rsid w:val="00852E52"/>
    <w:rsid w:val="00853B76"/>
    <w:rsid w:val="0085508A"/>
    <w:rsid w:val="0086002F"/>
    <w:rsid w:val="00862DC4"/>
    <w:rsid w:val="00863CBB"/>
    <w:rsid w:val="00863EEF"/>
    <w:rsid w:val="00863F9D"/>
    <w:rsid w:val="008645F9"/>
    <w:rsid w:val="0086628A"/>
    <w:rsid w:val="00870D31"/>
    <w:rsid w:val="00871279"/>
    <w:rsid w:val="00872913"/>
    <w:rsid w:val="00873848"/>
    <w:rsid w:val="00873F82"/>
    <w:rsid w:val="0087599D"/>
    <w:rsid w:val="00880CA5"/>
    <w:rsid w:val="008817B1"/>
    <w:rsid w:val="008834BB"/>
    <w:rsid w:val="008840FA"/>
    <w:rsid w:val="008846D2"/>
    <w:rsid w:val="008902CA"/>
    <w:rsid w:val="00890F95"/>
    <w:rsid w:val="0089311A"/>
    <w:rsid w:val="008946C3"/>
    <w:rsid w:val="008948E0"/>
    <w:rsid w:val="0089528C"/>
    <w:rsid w:val="008A1884"/>
    <w:rsid w:val="008A546B"/>
    <w:rsid w:val="008A6467"/>
    <w:rsid w:val="008B034D"/>
    <w:rsid w:val="008B0BBC"/>
    <w:rsid w:val="008B1C4A"/>
    <w:rsid w:val="008B4153"/>
    <w:rsid w:val="008B4EFC"/>
    <w:rsid w:val="008B5356"/>
    <w:rsid w:val="008B68A5"/>
    <w:rsid w:val="008B6DD0"/>
    <w:rsid w:val="008B7927"/>
    <w:rsid w:val="008C49AE"/>
    <w:rsid w:val="008C5AF3"/>
    <w:rsid w:val="008C6AD1"/>
    <w:rsid w:val="008C71B5"/>
    <w:rsid w:val="008D39A9"/>
    <w:rsid w:val="008D3AF4"/>
    <w:rsid w:val="008D50F5"/>
    <w:rsid w:val="008E3F66"/>
    <w:rsid w:val="008E431F"/>
    <w:rsid w:val="008E5E12"/>
    <w:rsid w:val="008F0181"/>
    <w:rsid w:val="008F0D2A"/>
    <w:rsid w:val="008F12D4"/>
    <w:rsid w:val="008F17A0"/>
    <w:rsid w:val="008F23EF"/>
    <w:rsid w:val="008F386F"/>
    <w:rsid w:val="008F48E1"/>
    <w:rsid w:val="008F50A7"/>
    <w:rsid w:val="008F5BD0"/>
    <w:rsid w:val="008F6A82"/>
    <w:rsid w:val="009003FE"/>
    <w:rsid w:val="00901F81"/>
    <w:rsid w:val="00903C95"/>
    <w:rsid w:val="009046D4"/>
    <w:rsid w:val="00906C67"/>
    <w:rsid w:val="00907264"/>
    <w:rsid w:val="0091058D"/>
    <w:rsid w:val="00910FA5"/>
    <w:rsid w:val="0091205E"/>
    <w:rsid w:val="009135CF"/>
    <w:rsid w:val="00913858"/>
    <w:rsid w:val="00913A0F"/>
    <w:rsid w:val="00914959"/>
    <w:rsid w:val="00915CE6"/>
    <w:rsid w:val="00915E98"/>
    <w:rsid w:val="00916468"/>
    <w:rsid w:val="009168A1"/>
    <w:rsid w:val="00920159"/>
    <w:rsid w:val="00921D27"/>
    <w:rsid w:val="00924681"/>
    <w:rsid w:val="0092622E"/>
    <w:rsid w:val="0092664A"/>
    <w:rsid w:val="0092768E"/>
    <w:rsid w:val="009301A2"/>
    <w:rsid w:val="00930877"/>
    <w:rsid w:val="009341FB"/>
    <w:rsid w:val="009402AF"/>
    <w:rsid w:val="00943046"/>
    <w:rsid w:val="00944503"/>
    <w:rsid w:val="00945CB0"/>
    <w:rsid w:val="00946B0C"/>
    <w:rsid w:val="00951188"/>
    <w:rsid w:val="009532F1"/>
    <w:rsid w:val="00955732"/>
    <w:rsid w:val="00955CBA"/>
    <w:rsid w:val="00960D9F"/>
    <w:rsid w:val="00960F2F"/>
    <w:rsid w:val="009634F6"/>
    <w:rsid w:val="00963B5E"/>
    <w:rsid w:val="00963FA0"/>
    <w:rsid w:val="0096491F"/>
    <w:rsid w:val="0096787E"/>
    <w:rsid w:val="00970A26"/>
    <w:rsid w:val="00974C9A"/>
    <w:rsid w:val="00974E95"/>
    <w:rsid w:val="00975F2D"/>
    <w:rsid w:val="00977BF5"/>
    <w:rsid w:val="00977F17"/>
    <w:rsid w:val="00980C54"/>
    <w:rsid w:val="0098302D"/>
    <w:rsid w:val="009833EF"/>
    <w:rsid w:val="00986CB3"/>
    <w:rsid w:val="00987608"/>
    <w:rsid w:val="00990FF5"/>
    <w:rsid w:val="0099360B"/>
    <w:rsid w:val="00993B49"/>
    <w:rsid w:val="009941CA"/>
    <w:rsid w:val="009943A0"/>
    <w:rsid w:val="009953BC"/>
    <w:rsid w:val="009963D2"/>
    <w:rsid w:val="009977F7"/>
    <w:rsid w:val="009A0568"/>
    <w:rsid w:val="009A0AF9"/>
    <w:rsid w:val="009A16BE"/>
    <w:rsid w:val="009A2337"/>
    <w:rsid w:val="009A2E00"/>
    <w:rsid w:val="009A355A"/>
    <w:rsid w:val="009A5A66"/>
    <w:rsid w:val="009A5CE8"/>
    <w:rsid w:val="009A7B5A"/>
    <w:rsid w:val="009A7F79"/>
    <w:rsid w:val="009B1863"/>
    <w:rsid w:val="009B2BDC"/>
    <w:rsid w:val="009B5F5D"/>
    <w:rsid w:val="009B6201"/>
    <w:rsid w:val="009B6326"/>
    <w:rsid w:val="009B73BA"/>
    <w:rsid w:val="009B759B"/>
    <w:rsid w:val="009C0A29"/>
    <w:rsid w:val="009C10D9"/>
    <w:rsid w:val="009C2051"/>
    <w:rsid w:val="009C425A"/>
    <w:rsid w:val="009C5CA7"/>
    <w:rsid w:val="009D03F8"/>
    <w:rsid w:val="009D1DF4"/>
    <w:rsid w:val="009D265E"/>
    <w:rsid w:val="009D6C4D"/>
    <w:rsid w:val="009D7A24"/>
    <w:rsid w:val="009E00E4"/>
    <w:rsid w:val="009E0D20"/>
    <w:rsid w:val="009E0F6B"/>
    <w:rsid w:val="009E0FB1"/>
    <w:rsid w:val="009E22AC"/>
    <w:rsid w:val="009E23B7"/>
    <w:rsid w:val="009E27D7"/>
    <w:rsid w:val="009E2964"/>
    <w:rsid w:val="009E5D18"/>
    <w:rsid w:val="009E7DCD"/>
    <w:rsid w:val="009F0DDC"/>
    <w:rsid w:val="009F55F9"/>
    <w:rsid w:val="009F5CC0"/>
    <w:rsid w:val="009F67B7"/>
    <w:rsid w:val="009F6F8B"/>
    <w:rsid w:val="009F7164"/>
    <w:rsid w:val="00A00567"/>
    <w:rsid w:val="00A01631"/>
    <w:rsid w:val="00A01F57"/>
    <w:rsid w:val="00A02F0A"/>
    <w:rsid w:val="00A037B0"/>
    <w:rsid w:val="00A1074D"/>
    <w:rsid w:val="00A11832"/>
    <w:rsid w:val="00A11FB8"/>
    <w:rsid w:val="00A127DD"/>
    <w:rsid w:val="00A12C9B"/>
    <w:rsid w:val="00A14E6C"/>
    <w:rsid w:val="00A167EC"/>
    <w:rsid w:val="00A172E6"/>
    <w:rsid w:val="00A24434"/>
    <w:rsid w:val="00A24C8D"/>
    <w:rsid w:val="00A26F15"/>
    <w:rsid w:val="00A30E37"/>
    <w:rsid w:val="00A35CF8"/>
    <w:rsid w:val="00A360E7"/>
    <w:rsid w:val="00A36877"/>
    <w:rsid w:val="00A371A5"/>
    <w:rsid w:val="00A400FB"/>
    <w:rsid w:val="00A433CB"/>
    <w:rsid w:val="00A443D1"/>
    <w:rsid w:val="00A44D3E"/>
    <w:rsid w:val="00A456B3"/>
    <w:rsid w:val="00A47BFE"/>
    <w:rsid w:val="00A5087E"/>
    <w:rsid w:val="00A51117"/>
    <w:rsid w:val="00A51808"/>
    <w:rsid w:val="00A51D78"/>
    <w:rsid w:val="00A51EA8"/>
    <w:rsid w:val="00A549C3"/>
    <w:rsid w:val="00A54B8A"/>
    <w:rsid w:val="00A553A8"/>
    <w:rsid w:val="00A55DD1"/>
    <w:rsid w:val="00A561A8"/>
    <w:rsid w:val="00A562A6"/>
    <w:rsid w:val="00A614C3"/>
    <w:rsid w:val="00A62879"/>
    <w:rsid w:val="00A62ADB"/>
    <w:rsid w:val="00A62BDB"/>
    <w:rsid w:val="00A646B3"/>
    <w:rsid w:val="00A7007B"/>
    <w:rsid w:val="00A71623"/>
    <w:rsid w:val="00A71F50"/>
    <w:rsid w:val="00A73A52"/>
    <w:rsid w:val="00A77CF2"/>
    <w:rsid w:val="00A80055"/>
    <w:rsid w:val="00A81CF8"/>
    <w:rsid w:val="00A82D33"/>
    <w:rsid w:val="00A84B87"/>
    <w:rsid w:val="00A84D4B"/>
    <w:rsid w:val="00A85485"/>
    <w:rsid w:val="00A8592D"/>
    <w:rsid w:val="00A85944"/>
    <w:rsid w:val="00A90D08"/>
    <w:rsid w:val="00A93FFF"/>
    <w:rsid w:val="00A95023"/>
    <w:rsid w:val="00A95746"/>
    <w:rsid w:val="00A95924"/>
    <w:rsid w:val="00A95AB5"/>
    <w:rsid w:val="00A96D45"/>
    <w:rsid w:val="00A973EE"/>
    <w:rsid w:val="00AA18DD"/>
    <w:rsid w:val="00AA1DEA"/>
    <w:rsid w:val="00AA1F91"/>
    <w:rsid w:val="00AA547E"/>
    <w:rsid w:val="00AA5CE1"/>
    <w:rsid w:val="00AB2137"/>
    <w:rsid w:val="00AB2D9E"/>
    <w:rsid w:val="00AB36E5"/>
    <w:rsid w:val="00AB4404"/>
    <w:rsid w:val="00AB44CE"/>
    <w:rsid w:val="00AB68E3"/>
    <w:rsid w:val="00AB723D"/>
    <w:rsid w:val="00AC21EE"/>
    <w:rsid w:val="00AC23D2"/>
    <w:rsid w:val="00AC2BFC"/>
    <w:rsid w:val="00AC3B22"/>
    <w:rsid w:val="00AC4101"/>
    <w:rsid w:val="00AC5597"/>
    <w:rsid w:val="00AC6C3F"/>
    <w:rsid w:val="00AD0116"/>
    <w:rsid w:val="00AD1B42"/>
    <w:rsid w:val="00AD2548"/>
    <w:rsid w:val="00AD4177"/>
    <w:rsid w:val="00AD4698"/>
    <w:rsid w:val="00AD4B84"/>
    <w:rsid w:val="00AE23BE"/>
    <w:rsid w:val="00AE32F9"/>
    <w:rsid w:val="00AE52E8"/>
    <w:rsid w:val="00AE5772"/>
    <w:rsid w:val="00AF0AC0"/>
    <w:rsid w:val="00AF1807"/>
    <w:rsid w:val="00AF4CA9"/>
    <w:rsid w:val="00AF5B52"/>
    <w:rsid w:val="00AF6F1F"/>
    <w:rsid w:val="00B008BF"/>
    <w:rsid w:val="00B04CAF"/>
    <w:rsid w:val="00B07460"/>
    <w:rsid w:val="00B0780C"/>
    <w:rsid w:val="00B10F5F"/>
    <w:rsid w:val="00B1301A"/>
    <w:rsid w:val="00B13646"/>
    <w:rsid w:val="00B16963"/>
    <w:rsid w:val="00B16978"/>
    <w:rsid w:val="00B16BE4"/>
    <w:rsid w:val="00B17EBB"/>
    <w:rsid w:val="00B20507"/>
    <w:rsid w:val="00B207D1"/>
    <w:rsid w:val="00B2095E"/>
    <w:rsid w:val="00B244F0"/>
    <w:rsid w:val="00B24A6F"/>
    <w:rsid w:val="00B278DB"/>
    <w:rsid w:val="00B30D4F"/>
    <w:rsid w:val="00B32CFB"/>
    <w:rsid w:val="00B3434E"/>
    <w:rsid w:val="00B351FD"/>
    <w:rsid w:val="00B35BFD"/>
    <w:rsid w:val="00B421F2"/>
    <w:rsid w:val="00B42822"/>
    <w:rsid w:val="00B42C54"/>
    <w:rsid w:val="00B4395A"/>
    <w:rsid w:val="00B44D59"/>
    <w:rsid w:val="00B4553E"/>
    <w:rsid w:val="00B46773"/>
    <w:rsid w:val="00B47091"/>
    <w:rsid w:val="00B4731E"/>
    <w:rsid w:val="00B47E14"/>
    <w:rsid w:val="00B526B5"/>
    <w:rsid w:val="00B54208"/>
    <w:rsid w:val="00B54256"/>
    <w:rsid w:val="00B545F4"/>
    <w:rsid w:val="00B5595B"/>
    <w:rsid w:val="00B56303"/>
    <w:rsid w:val="00B64F62"/>
    <w:rsid w:val="00B66898"/>
    <w:rsid w:val="00B66C53"/>
    <w:rsid w:val="00B7164C"/>
    <w:rsid w:val="00B71D47"/>
    <w:rsid w:val="00B745C0"/>
    <w:rsid w:val="00B74832"/>
    <w:rsid w:val="00B74917"/>
    <w:rsid w:val="00B77BB5"/>
    <w:rsid w:val="00B807AB"/>
    <w:rsid w:val="00B80F53"/>
    <w:rsid w:val="00B81AB0"/>
    <w:rsid w:val="00B82E26"/>
    <w:rsid w:val="00B87109"/>
    <w:rsid w:val="00B91E69"/>
    <w:rsid w:val="00B94C53"/>
    <w:rsid w:val="00B95FBC"/>
    <w:rsid w:val="00B97C44"/>
    <w:rsid w:val="00BA05AE"/>
    <w:rsid w:val="00BA0D5A"/>
    <w:rsid w:val="00BA2B03"/>
    <w:rsid w:val="00BA2FA3"/>
    <w:rsid w:val="00BA369B"/>
    <w:rsid w:val="00BA6418"/>
    <w:rsid w:val="00BA7263"/>
    <w:rsid w:val="00BA7D18"/>
    <w:rsid w:val="00BA7EB0"/>
    <w:rsid w:val="00BB3A8F"/>
    <w:rsid w:val="00BB67D4"/>
    <w:rsid w:val="00BC19F6"/>
    <w:rsid w:val="00BC2A83"/>
    <w:rsid w:val="00BC3968"/>
    <w:rsid w:val="00BD02D0"/>
    <w:rsid w:val="00BD0D15"/>
    <w:rsid w:val="00BD1B9F"/>
    <w:rsid w:val="00BD4EF8"/>
    <w:rsid w:val="00BD5425"/>
    <w:rsid w:val="00BD6EA0"/>
    <w:rsid w:val="00BE5E74"/>
    <w:rsid w:val="00BF0332"/>
    <w:rsid w:val="00BF5FCC"/>
    <w:rsid w:val="00BF6219"/>
    <w:rsid w:val="00BF7CA4"/>
    <w:rsid w:val="00C00FA2"/>
    <w:rsid w:val="00C0265C"/>
    <w:rsid w:val="00C069A2"/>
    <w:rsid w:val="00C069EC"/>
    <w:rsid w:val="00C10950"/>
    <w:rsid w:val="00C14729"/>
    <w:rsid w:val="00C17416"/>
    <w:rsid w:val="00C1748F"/>
    <w:rsid w:val="00C17DDD"/>
    <w:rsid w:val="00C221D5"/>
    <w:rsid w:val="00C2280A"/>
    <w:rsid w:val="00C2652B"/>
    <w:rsid w:val="00C274E0"/>
    <w:rsid w:val="00C30598"/>
    <w:rsid w:val="00C346C7"/>
    <w:rsid w:val="00C352B9"/>
    <w:rsid w:val="00C373FB"/>
    <w:rsid w:val="00C41E61"/>
    <w:rsid w:val="00C45C85"/>
    <w:rsid w:val="00C50FB2"/>
    <w:rsid w:val="00C515CA"/>
    <w:rsid w:val="00C533E6"/>
    <w:rsid w:val="00C55BED"/>
    <w:rsid w:val="00C56730"/>
    <w:rsid w:val="00C6024F"/>
    <w:rsid w:val="00C60CE3"/>
    <w:rsid w:val="00C60DC5"/>
    <w:rsid w:val="00C623B4"/>
    <w:rsid w:val="00C63D95"/>
    <w:rsid w:val="00C64B94"/>
    <w:rsid w:val="00C6798B"/>
    <w:rsid w:val="00C739BF"/>
    <w:rsid w:val="00C747DF"/>
    <w:rsid w:val="00C74F44"/>
    <w:rsid w:val="00C754A5"/>
    <w:rsid w:val="00C768C1"/>
    <w:rsid w:val="00C76C24"/>
    <w:rsid w:val="00C7740D"/>
    <w:rsid w:val="00C80D4C"/>
    <w:rsid w:val="00C80E3F"/>
    <w:rsid w:val="00C82FD3"/>
    <w:rsid w:val="00C83514"/>
    <w:rsid w:val="00C87166"/>
    <w:rsid w:val="00C87539"/>
    <w:rsid w:val="00C90663"/>
    <w:rsid w:val="00C92B85"/>
    <w:rsid w:val="00C93DCA"/>
    <w:rsid w:val="00C94248"/>
    <w:rsid w:val="00CA071B"/>
    <w:rsid w:val="00CA0EE2"/>
    <w:rsid w:val="00CA3ECB"/>
    <w:rsid w:val="00CA5466"/>
    <w:rsid w:val="00CA591D"/>
    <w:rsid w:val="00CA5C13"/>
    <w:rsid w:val="00CA734B"/>
    <w:rsid w:val="00CB0475"/>
    <w:rsid w:val="00CB2C4F"/>
    <w:rsid w:val="00CB3583"/>
    <w:rsid w:val="00CB6A8C"/>
    <w:rsid w:val="00CC34FF"/>
    <w:rsid w:val="00CC44F0"/>
    <w:rsid w:val="00CD0D3D"/>
    <w:rsid w:val="00CD0E5B"/>
    <w:rsid w:val="00CD0FE9"/>
    <w:rsid w:val="00CD1AD6"/>
    <w:rsid w:val="00CD396E"/>
    <w:rsid w:val="00CD5104"/>
    <w:rsid w:val="00CD6046"/>
    <w:rsid w:val="00CE0168"/>
    <w:rsid w:val="00CE06A5"/>
    <w:rsid w:val="00CE202E"/>
    <w:rsid w:val="00CE2229"/>
    <w:rsid w:val="00CE374E"/>
    <w:rsid w:val="00CF0421"/>
    <w:rsid w:val="00CF0534"/>
    <w:rsid w:val="00CF3100"/>
    <w:rsid w:val="00CF3FF0"/>
    <w:rsid w:val="00CF41AF"/>
    <w:rsid w:val="00CF4567"/>
    <w:rsid w:val="00CF53AB"/>
    <w:rsid w:val="00CF6815"/>
    <w:rsid w:val="00D03E10"/>
    <w:rsid w:val="00D04562"/>
    <w:rsid w:val="00D04D3D"/>
    <w:rsid w:val="00D1108A"/>
    <w:rsid w:val="00D11B02"/>
    <w:rsid w:val="00D1202C"/>
    <w:rsid w:val="00D12617"/>
    <w:rsid w:val="00D13798"/>
    <w:rsid w:val="00D16213"/>
    <w:rsid w:val="00D16DDF"/>
    <w:rsid w:val="00D16E24"/>
    <w:rsid w:val="00D20486"/>
    <w:rsid w:val="00D219E2"/>
    <w:rsid w:val="00D228D8"/>
    <w:rsid w:val="00D27F3F"/>
    <w:rsid w:val="00D31439"/>
    <w:rsid w:val="00D33677"/>
    <w:rsid w:val="00D34934"/>
    <w:rsid w:val="00D373EC"/>
    <w:rsid w:val="00D4180D"/>
    <w:rsid w:val="00D42875"/>
    <w:rsid w:val="00D42B44"/>
    <w:rsid w:val="00D44A14"/>
    <w:rsid w:val="00D463C8"/>
    <w:rsid w:val="00D47738"/>
    <w:rsid w:val="00D51A9B"/>
    <w:rsid w:val="00D51D95"/>
    <w:rsid w:val="00D53EC6"/>
    <w:rsid w:val="00D55A00"/>
    <w:rsid w:val="00D56F77"/>
    <w:rsid w:val="00D60A0C"/>
    <w:rsid w:val="00D61E9F"/>
    <w:rsid w:val="00D62CC8"/>
    <w:rsid w:val="00D6402F"/>
    <w:rsid w:val="00D648BC"/>
    <w:rsid w:val="00D7047A"/>
    <w:rsid w:val="00D719E9"/>
    <w:rsid w:val="00D72225"/>
    <w:rsid w:val="00D73550"/>
    <w:rsid w:val="00D739DB"/>
    <w:rsid w:val="00D74BD6"/>
    <w:rsid w:val="00D74D47"/>
    <w:rsid w:val="00D7760C"/>
    <w:rsid w:val="00D838F7"/>
    <w:rsid w:val="00D8479E"/>
    <w:rsid w:val="00D868F1"/>
    <w:rsid w:val="00D87EFF"/>
    <w:rsid w:val="00D90C8C"/>
    <w:rsid w:val="00D91AE6"/>
    <w:rsid w:val="00D92D3D"/>
    <w:rsid w:val="00D941A2"/>
    <w:rsid w:val="00D941E0"/>
    <w:rsid w:val="00D943D0"/>
    <w:rsid w:val="00D94F3E"/>
    <w:rsid w:val="00D95840"/>
    <w:rsid w:val="00D968B8"/>
    <w:rsid w:val="00DA10DB"/>
    <w:rsid w:val="00DA288B"/>
    <w:rsid w:val="00DA378E"/>
    <w:rsid w:val="00DA554C"/>
    <w:rsid w:val="00DA5F07"/>
    <w:rsid w:val="00DA7C16"/>
    <w:rsid w:val="00DB42FB"/>
    <w:rsid w:val="00DB44B1"/>
    <w:rsid w:val="00DB7AEE"/>
    <w:rsid w:val="00DC00F3"/>
    <w:rsid w:val="00DC2271"/>
    <w:rsid w:val="00DC39C4"/>
    <w:rsid w:val="00DC4019"/>
    <w:rsid w:val="00DC4423"/>
    <w:rsid w:val="00DC4568"/>
    <w:rsid w:val="00DC4C2C"/>
    <w:rsid w:val="00DD0941"/>
    <w:rsid w:val="00DD1B31"/>
    <w:rsid w:val="00DD1C47"/>
    <w:rsid w:val="00DD1CA0"/>
    <w:rsid w:val="00DD4BD7"/>
    <w:rsid w:val="00DD6B5E"/>
    <w:rsid w:val="00DD6C69"/>
    <w:rsid w:val="00DE21B1"/>
    <w:rsid w:val="00DE4BF6"/>
    <w:rsid w:val="00DE69D0"/>
    <w:rsid w:val="00DE7070"/>
    <w:rsid w:val="00DE77A3"/>
    <w:rsid w:val="00DF02F6"/>
    <w:rsid w:val="00DF21B8"/>
    <w:rsid w:val="00DF31EE"/>
    <w:rsid w:val="00DF3395"/>
    <w:rsid w:val="00DF4C71"/>
    <w:rsid w:val="00DF5635"/>
    <w:rsid w:val="00DF7681"/>
    <w:rsid w:val="00E00716"/>
    <w:rsid w:val="00E0179E"/>
    <w:rsid w:val="00E01C69"/>
    <w:rsid w:val="00E02D36"/>
    <w:rsid w:val="00E03431"/>
    <w:rsid w:val="00E04E43"/>
    <w:rsid w:val="00E05E74"/>
    <w:rsid w:val="00E079A3"/>
    <w:rsid w:val="00E149CE"/>
    <w:rsid w:val="00E16AC4"/>
    <w:rsid w:val="00E17C58"/>
    <w:rsid w:val="00E2178D"/>
    <w:rsid w:val="00E23958"/>
    <w:rsid w:val="00E23AD4"/>
    <w:rsid w:val="00E23BEC"/>
    <w:rsid w:val="00E23EC3"/>
    <w:rsid w:val="00E24E4D"/>
    <w:rsid w:val="00E2618B"/>
    <w:rsid w:val="00E262A5"/>
    <w:rsid w:val="00E267F1"/>
    <w:rsid w:val="00E271B3"/>
    <w:rsid w:val="00E3023D"/>
    <w:rsid w:val="00E34E73"/>
    <w:rsid w:val="00E36C12"/>
    <w:rsid w:val="00E37169"/>
    <w:rsid w:val="00E375C8"/>
    <w:rsid w:val="00E413C8"/>
    <w:rsid w:val="00E4302B"/>
    <w:rsid w:val="00E43983"/>
    <w:rsid w:val="00E4452C"/>
    <w:rsid w:val="00E456B1"/>
    <w:rsid w:val="00E528AF"/>
    <w:rsid w:val="00E53131"/>
    <w:rsid w:val="00E5328B"/>
    <w:rsid w:val="00E549B1"/>
    <w:rsid w:val="00E5518E"/>
    <w:rsid w:val="00E56222"/>
    <w:rsid w:val="00E566D8"/>
    <w:rsid w:val="00E57743"/>
    <w:rsid w:val="00E577C9"/>
    <w:rsid w:val="00E57A97"/>
    <w:rsid w:val="00E62C06"/>
    <w:rsid w:val="00E62DD3"/>
    <w:rsid w:val="00E66D8F"/>
    <w:rsid w:val="00E6742D"/>
    <w:rsid w:val="00E71707"/>
    <w:rsid w:val="00E71EF1"/>
    <w:rsid w:val="00E724DA"/>
    <w:rsid w:val="00E731C6"/>
    <w:rsid w:val="00E740C4"/>
    <w:rsid w:val="00E74686"/>
    <w:rsid w:val="00E74750"/>
    <w:rsid w:val="00E76686"/>
    <w:rsid w:val="00E76876"/>
    <w:rsid w:val="00E80520"/>
    <w:rsid w:val="00E81BD0"/>
    <w:rsid w:val="00E83C98"/>
    <w:rsid w:val="00E840FE"/>
    <w:rsid w:val="00E84DBD"/>
    <w:rsid w:val="00E85031"/>
    <w:rsid w:val="00E8670C"/>
    <w:rsid w:val="00E879C6"/>
    <w:rsid w:val="00E9128A"/>
    <w:rsid w:val="00E912AE"/>
    <w:rsid w:val="00E91520"/>
    <w:rsid w:val="00E91C15"/>
    <w:rsid w:val="00E943E8"/>
    <w:rsid w:val="00E945CE"/>
    <w:rsid w:val="00E94FAF"/>
    <w:rsid w:val="00E9724F"/>
    <w:rsid w:val="00EA0528"/>
    <w:rsid w:val="00EA172F"/>
    <w:rsid w:val="00EA347E"/>
    <w:rsid w:val="00EA38B4"/>
    <w:rsid w:val="00EA4E02"/>
    <w:rsid w:val="00EA5260"/>
    <w:rsid w:val="00EA6276"/>
    <w:rsid w:val="00EB048C"/>
    <w:rsid w:val="00EB141D"/>
    <w:rsid w:val="00EB197F"/>
    <w:rsid w:val="00EB2C67"/>
    <w:rsid w:val="00EB367C"/>
    <w:rsid w:val="00EB39D0"/>
    <w:rsid w:val="00EB43BA"/>
    <w:rsid w:val="00EB4429"/>
    <w:rsid w:val="00EB46D0"/>
    <w:rsid w:val="00EB4700"/>
    <w:rsid w:val="00EB7B24"/>
    <w:rsid w:val="00EB7F72"/>
    <w:rsid w:val="00EC18E7"/>
    <w:rsid w:val="00EC4357"/>
    <w:rsid w:val="00EC45F7"/>
    <w:rsid w:val="00EC49A4"/>
    <w:rsid w:val="00EC4C6F"/>
    <w:rsid w:val="00EC4EF3"/>
    <w:rsid w:val="00ED20C9"/>
    <w:rsid w:val="00ED21EE"/>
    <w:rsid w:val="00ED272D"/>
    <w:rsid w:val="00ED31A6"/>
    <w:rsid w:val="00ED37E1"/>
    <w:rsid w:val="00ED3B31"/>
    <w:rsid w:val="00ED4EC4"/>
    <w:rsid w:val="00ED5593"/>
    <w:rsid w:val="00ED6C04"/>
    <w:rsid w:val="00ED7D3D"/>
    <w:rsid w:val="00EE027F"/>
    <w:rsid w:val="00EE4094"/>
    <w:rsid w:val="00EE4C9D"/>
    <w:rsid w:val="00EE4D57"/>
    <w:rsid w:val="00EE53FF"/>
    <w:rsid w:val="00EE5E83"/>
    <w:rsid w:val="00EE7092"/>
    <w:rsid w:val="00EF2F5C"/>
    <w:rsid w:val="00EF3A92"/>
    <w:rsid w:val="00EF3B11"/>
    <w:rsid w:val="00EF7590"/>
    <w:rsid w:val="00F024CA"/>
    <w:rsid w:val="00F0354F"/>
    <w:rsid w:val="00F05292"/>
    <w:rsid w:val="00F1013F"/>
    <w:rsid w:val="00F10A99"/>
    <w:rsid w:val="00F11313"/>
    <w:rsid w:val="00F11536"/>
    <w:rsid w:val="00F11785"/>
    <w:rsid w:val="00F11907"/>
    <w:rsid w:val="00F138A2"/>
    <w:rsid w:val="00F154EB"/>
    <w:rsid w:val="00F20632"/>
    <w:rsid w:val="00F23738"/>
    <w:rsid w:val="00F2392E"/>
    <w:rsid w:val="00F2520B"/>
    <w:rsid w:val="00F3068C"/>
    <w:rsid w:val="00F30846"/>
    <w:rsid w:val="00F30878"/>
    <w:rsid w:val="00F30CAB"/>
    <w:rsid w:val="00F32479"/>
    <w:rsid w:val="00F327DF"/>
    <w:rsid w:val="00F33121"/>
    <w:rsid w:val="00F33769"/>
    <w:rsid w:val="00F36DEB"/>
    <w:rsid w:val="00F372E4"/>
    <w:rsid w:val="00F3795A"/>
    <w:rsid w:val="00F37A35"/>
    <w:rsid w:val="00F406FD"/>
    <w:rsid w:val="00F414D0"/>
    <w:rsid w:val="00F434DF"/>
    <w:rsid w:val="00F44ADB"/>
    <w:rsid w:val="00F4532C"/>
    <w:rsid w:val="00F47D9D"/>
    <w:rsid w:val="00F50558"/>
    <w:rsid w:val="00F50A8E"/>
    <w:rsid w:val="00F52372"/>
    <w:rsid w:val="00F52572"/>
    <w:rsid w:val="00F5362E"/>
    <w:rsid w:val="00F545E7"/>
    <w:rsid w:val="00F55847"/>
    <w:rsid w:val="00F57142"/>
    <w:rsid w:val="00F5756D"/>
    <w:rsid w:val="00F61858"/>
    <w:rsid w:val="00F630A2"/>
    <w:rsid w:val="00F63E1C"/>
    <w:rsid w:val="00F652AB"/>
    <w:rsid w:val="00F6571A"/>
    <w:rsid w:val="00F65942"/>
    <w:rsid w:val="00F666B6"/>
    <w:rsid w:val="00F72AA0"/>
    <w:rsid w:val="00F76A40"/>
    <w:rsid w:val="00F77D5B"/>
    <w:rsid w:val="00F80C07"/>
    <w:rsid w:val="00F81AAE"/>
    <w:rsid w:val="00F83E20"/>
    <w:rsid w:val="00F84BD3"/>
    <w:rsid w:val="00F853BD"/>
    <w:rsid w:val="00F87264"/>
    <w:rsid w:val="00F908E9"/>
    <w:rsid w:val="00F96C94"/>
    <w:rsid w:val="00FA28D9"/>
    <w:rsid w:val="00FA2B8F"/>
    <w:rsid w:val="00FA33EF"/>
    <w:rsid w:val="00FA47E6"/>
    <w:rsid w:val="00FA56D6"/>
    <w:rsid w:val="00FA595F"/>
    <w:rsid w:val="00FA65D5"/>
    <w:rsid w:val="00FA6C24"/>
    <w:rsid w:val="00FA7417"/>
    <w:rsid w:val="00FA7E13"/>
    <w:rsid w:val="00FB641F"/>
    <w:rsid w:val="00FB651A"/>
    <w:rsid w:val="00FB6F32"/>
    <w:rsid w:val="00FB7F9E"/>
    <w:rsid w:val="00FC0CB3"/>
    <w:rsid w:val="00FC28C7"/>
    <w:rsid w:val="00FC2999"/>
    <w:rsid w:val="00FC765F"/>
    <w:rsid w:val="00FC781D"/>
    <w:rsid w:val="00FD1249"/>
    <w:rsid w:val="00FD1861"/>
    <w:rsid w:val="00FD5375"/>
    <w:rsid w:val="00FD5E35"/>
    <w:rsid w:val="00FD61A3"/>
    <w:rsid w:val="00FD659C"/>
    <w:rsid w:val="00FD66C9"/>
    <w:rsid w:val="00FD79F6"/>
    <w:rsid w:val="00FE0371"/>
    <w:rsid w:val="00FE1258"/>
    <w:rsid w:val="00FE31D0"/>
    <w:rsid w:val="00FE3581"/>
    <w:rsid w:val="00FE3B4B"/>
    <w:rsid w:val="00FE51A2"/>
    <w:rsid w:val="00FE694E"/>
    <w:rsid w:val="00FE7A3F"/>
    <w:rsid w:val="00FF0A6F"/>
    <w:rsid w:val="00FF17CA"/>
    <w:rsid w:val="00FF19E4"/>
    <w:rsid w:val="00FF2F9E"/>
    <w:rsid w:val="00FF34FF"/>
    <w:rsid w:val="00FF38E8"/>
    <w:rsid w:val="00FF4C48"/>
    <w:rsid w:val="00FF4E87"/>
    <w:rsid w:val="00FF50EE"/>
    <w:rsid w:val="00FF5821"/>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A0867"/>
  <w15:docId w15:val="{B6DEB69B-AC17-42C4-BC2D-617064D7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C9"/>
    <w:rPr>
      <w:rFonts w:ascii="Arial" w:hAnsi="Arial"/>
      <w:sz w:val="22"/>
      <w:szCs w:val="24"/>
    </w:rPr>
  </w:style>
  <w:style w:type="paragraph" w:styleId="Heading1">
    <w:name w:val="heading 1"/>
    <w:basedOn w:val="Normal"/>
    <w:next w:val="Normal"/>
    <w:link w:val="Heading1Char"/>
    <w:rsid w:val="00E71EF1"/>
    <w:pPr>
      <w:keepNext/>
      <w:spacing w:before="240" w:after="60"/>
      <w:outlineLvl w:val="0"/>
    </w:pPr>
    <w:rPr>
      <w:rFonts w:cs="Arial"/>
      <w:b/>
      <w:bCs/>
      <w:kern w:val="32"/>
      <w:sz w:val="32"/>
      <w:szCs w:val="32"/>
    </w:rPr>
  </w:style>
  <w:style w:type="paragraph" w:styleId="Heading2">
    <w:name w:val="heading 2"/>
    <w:basedOn w:val="Normal"/>
    <w:next w:val="Normal"/>
    <w:rsid w:val="00E71EF1"/>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3129E8"/>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960D9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960D9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60D9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960D9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60D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60D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link w:val="HeaderChar"/>
    <w:uiPriority w:val="99"/>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uiPriority w:val="39"/>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aliases w:val="o,fr,Style 3,o1,o2,o3,o4,o5,o6,o11,o21,o7"/>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2F3610"/>
    <w:rPr>
      <w:rFonts w:ascii="Arial" w:hAnsi="Arial" w:cs="Arial"/>
      <w:b/>
      <w:bCs/>
      <w:kern w:val="32"/>
      <w:sz w:val="32"/>
      <w:szCs w:val="32"/>
      <w:lang w:val="en-US" w:eastAsia="en-US" w:bidi="ar-SA"/>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character" w:customStyle="1" w:styleId="HeaderChar">
    <w:name w:val="Header Char"/>
    <w:basedOn w:val="DefaultParagraphFont"/>
    <w:link w:val="Header"/>
    <w:uiPriority w:val="99"/>
    <w:rsid w:val="00DA288B"/>
    <w:rPr>
      <w:rFonts w:ascii="Arial" w:hAnsi="Arial"/>
      <w:sz w:val="22"/>
      <w:szCs w:val="24"/>
    </w:rPr>
  </w:style>
  <w:style w:type="paragraph" w:customStyle="1" w:styleId="CalTFHeading1">
    <w:name w:val="Cal TF Heading 1"/>
    <w:basedOn w:val="Heading1"/>
    <w:link w:val="CalTFHeading1Char"/>
    <w:rsid w:val="001D4579"/>
  </w:style>
  <w:style w:type="paragraph" w:customStyle="1" w:styleId="Heading1-CalTF">
    <w:name w:val="Heading 1 - Cal TF"/>
    <w:basedOn w:val="CalTFHeading1"/>
    <w:link w:val="Heading1-CalTFChar"/>
    <w:qFormat/>
    <w:rsid w:val="003E7CC9"/>
    <w:pPr>
      <w:numPr>
        <w:numId w:val="4"/>
      </w:numPr>
      <w:tabs>
        <w:tab w:val="left" w:pos="1620"/>
      </w:tabs>
      <w:spacing w:before="400" w:after="200"/>
    </w:pPr>
  </w:style>
  <w:style w:type="paragraph" w:customStyle="1" w:styleId="Heading2-CalTF">
    <w:name w:val="Heading 2 - Cal TF"/>
    <w:basedOn w:val="Heading2"/>
    <w:rsid w:val="007112FD"/>
    <w:rPr>
      <w:b w:val="0"/>
      <w:i w:val="0"/>
      <w:color w:val="0000FF"/>
      <w:sz w:val="24"/>
    </w:rPr>
  </w:style>
  <w:style w:type="numbering" w:customStyle="1" w:styleId="Style1-Header2">
    <w:name w:val="Style1 - Header 2"/>
    <w:uiPriority w:val="99"/>
    <w:rsid w:val="00960D9F"/>
    <w:pPr>
      <w:numPr>
        <w:numId w:val="2"/>
      </w:numPr>
    </w:pPr>
  </w:style>
  <w:style w:type="character" w:customStyle="1" w:styleId="Heading4Char">
    <w:name w:val="Heading 4 Char"/>
    <w:basedOn w:val="DefaultParagraphFont"/>
    <w:link w:val="Heading4"/>
    <w:rsid w:val="00960D9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960D9F"/>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rsid w:val="00960D9F"/>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rsid w:val="00960D9F"/>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960D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60D9F"/>
    <w:rPr>
      <w:rFonts w:asciiTheme="majorHAnsi" w:eastAsiaTheme="majorEastAsia" w:hAnsiTheme="majorHAnsi" w:cstheme="majorBidi"/>
      <w:i/>
      <w:iCs/>
      <w:color w:val="272727" w:themeColor="text1" w:themeTint="D8"/>
      <w:sz w:val="21"/>
      <w:szCs w:val="21"/>
    </w:rPr>
  </w:style>
  <w:style w:type="paragraph" w:customStyle="1" w:styleId="StyleCalTF2">
    <w:name w:val="StyleCalTF2"/>
    <w:basedOn w:val="Heading1-CalTF"/>
    <w:link w:val="StyleCalTF2Char"/>
    <w:qFormat/>
    <w:rsid w:val="009341FB"/>
    <w:pPr>
      <w:numPr>
        <w:numId w:val="0"/>
      </w:numPr>
    </w:pPr>
    <w:rPr>
      <w:b w:val="0"/>
      <w:color w:val="0000FF"/>
      <w:sz w:val="24"/>
      <w:szCs w:val="24"/>
    </w:rPr>
  </w:style>
  <w:style w:type="paragraph" w:customStyle="1" w:styleId="Heading2-CalTF2">
    <w:name w:val="Heading 2 - CalTF2"/>
    <w:basedOn w:val="StyleCalTF2"/>
    <w:qFormat/>
    <w:rsid w:val="00271E01"/>
    <w:pPr>
      <w:numPr>
        <w:ilvl w:val="1"/>
        <w:numId w:val="4"/>
      </w:numPr>
      <w:spacing w:before="300" w:after="260"/>
    </w:pPr>
  </w:style>
  <w:style w:type="character" w:customStyle="1" w:styleId="CalTFHeading1Char">
    <w:name w:val="Cal TF Heading 1 Char"/>
    <w:basedOn w:val="Heading1Char"/>
    <w:link w:val="CalTFHeading1"/>
    <w:rsid w:val="009341FB"/>
    <w:rPr>
      <w:rFonts w:ascii="Arial" w:hAnsi="Arial" w:cs="Arial"/>
      <w:b/>
      <w:bCs/>
      <w:kern w:val="32"/>
      <w:sz w:val="32"/>
      <w:szCs w:val="32"/>
      <w:lang w:val="en-US" w:eastAsia="en-US" w:bidi="ar-SA"/>
    </w:rPr>
  </w:style>
  <w:style w:type="character" w:customStyle="1" w:styleId="Heading1-CalTFChar">
    <w:name w:val="Heading 1 - Cal TF Char"/>
    <w:basedOn w:val="CalTFHeading1Char"/>
    <w:link w:val="Heading1-CalTF"/>
    <w:rsid w:val="003E7CC9"/>
    <w:rPr>
      <w:rFonts w:ascii="Arial" w:hAnsi="Arial" w:cs="Arial"/>
      <w:b/>
      <w:bCs/>
      <w:kern w:val="32"/>
      <w:sz w:val="32"/>
      <w:szCs w:val="32"/>
      <w:lang w:val="en-US" w:eastAsia="en-US" w:bidi="ar-SA"/>
    </w:rPr>
  </w:style>
  <w:style w:type="character" w:customStyle="1" w:styleId="StyleCalTF2Char">
    <w:name w:val="StyleCalTF2 Char"/>
    <w:basedOn w:val="Heading1-CalTFChar"/>
    <w:link w:val="StyleCalTF2"/>
    <w:rsid w:val="009341FB"/>
    <w:rPr>
      <w:rFonts w:ascii="Arial" w:hAnsi="Arial" w:cs="Arial"/>
      <w:b w:val="0"/>
      <w:bCs/>
      <w:color w:val="0000FF"/>
      <w:kern w:val="32"/>
      <w:sz w:val="24"/>
      <w:szCs w:val="24"/>
      <w:lang w:val="en-US" w:eastAsia="en-US" w:bidi="ar-SA"/>
    </w:rPr>
  </w:style>
  <w:style w:type="paragraph" w:customStyle="1" w:styleId="Heading3-CalTFStyle3">
    <w:name w:val="Heading 3 - CalTFStyle3"/>
    <w:basedOn w:val="StyleCalTF2"/>
    <w:link w:val="Heading3-CalTFStyle3Char"/>
    <w:rsid w:val="003F526B"/>
    <w:pPr>
      <w:numPr>
        <w:ilvl w:val="2"/>
        <w:numId w:val="3"/>
      </w:numPr>
    </w:pPr>
    <w:rPr>
      <w:i/>
      <w:sz w:val="20"/>
      <w:szCs w:val="20"/>
    </w:rPr>
  </w:style>
  <w:style w:type="paragraph" w:customStyle="1" w:styleId="Heading3-CalTFStyle31">
    <w:name w:val="Heading 3 - CalTFStyle3.1"/>
    <w:basedOn w:val="Heading3-CalTFStyle3"/>
    <w:link w:val="Heading3-CalTFStyle31Char"/>
    <w:qFormat/>
    <w:rsid w:val="00F81AAE"/>
    <w:pPr>
      <w:numPr>
        <w:numId w:val="4"/>
      </w:numPr>
      <w:tabs>
        <w:tab w:val="clear" w:pos="1620"/>
        <w:tab w:val="left" w:pos="1260"/>
      </w:tabs>
      <w:spacing w:after="100"/>
    </w:pPr>
    <w:rPr>
      <w:b/>
    </w:rPr>
  </w:style>
  <w:style w:type="character" w:customStyle="1" w:styleId="Heading3-CalTFStyle3Char">
    <w:name w:val="Heading 3 - CalTFStyle3 Char"/>
    <w:basedOn w:val="StyleCalTF2Char"/>
    <w:link w:val="Heading3-CalTFStyle3"/>
    <w:rsid w:val="003F526B"/>
    <w:rPr>
      <w:rFonts w:ascii="Arial" w:hAnsi="Arial" w:cs="Arial"/>
      <w:b w:val="0"/>
      <w:bCs/>
      <w:i/>
      <w:color w:val="0000FF"/>
      <w:kern w:val="32"/>
      <w:sz w:val="24"/>
      <w:szCs w:val="24"/>
      <w:lang w:val="en-US" w:eastAsia="en-US" w:bidi="ar-SA"/>
    </w:rPr>
  </w:style>
  <w:style w:type="character" w:customStyle="1" w:styleId="Heading3-CalTFStyle31Char">
    <w:name w:val="Heading 3 - CalTFStyle3.1 Char"/>
    <w:basedOn w:val="Heading3-CalTFStyle3Char"/>
    <w:link w:val="Heading3-CalTFStyle31"/>
    <w:rsid w:val="00F81AAE"/>
    <w:rPr>
      <w:rFonts w:ascii="Arial" w:hAnsi="Arial" w:cs="Arial"/>
      <w:b/>
      <w:bCs/>
      <w:i/>
      <w:color w:val="0000FF"/>
      <w:kern w:val="32"/>
      <w:sz w:val="24"/>
      <w:szCs w:val="24"/>
      <w:lang w:val="en-US" w:eastAsia="en-US" w:bidi="ar-SA"/>
    </w:rPr>
  </w:style>
  <w:style w:type="character" w:customStyle="1" w:styleId="FootnoteTextChar">
    <w:name w:val="Footnote Text Char"/>
    <w:basedOn w:val="DefaultParagraphFont"/>
    <w:link w:val="FootnoteText"/>
    <w:uiPriority w:val="99"/>
    <w:rsid w:val="00695C6D"/>
    <w:rPr>
      <w:rFonts w:ascii="Arial" w:hAnsi="Arial"/>
    </w:rPr>
  </w:style>
  <w:style w:type="paragraph" w:customStyle="1" w:styleId="Heading1-NoSectionNo">
    <w:name w:val="Heading 1 - No Section No"/>
    <w:basedOn w:val="Heading1"/>
    <w:qFormat/>
    <w:rsid w:val="006D318D"/>
    <w:pPr>
      <w:spacing w:before="400" w:after="200"/>
      <w:ind w:left="432" w:hanging="432"/>
    </w:pPr>
  </w:style>
  <w:style w:type="table" w:customStyle="1" w:styleId="TableGrid1">
    <w:name w:val="Table Grid1"/>
    <w:basedOn w:val="TableNormal"/>
    <w:next w:val="TableGrid"/>
    <w:uiPriority w:val="39"/>
    <w:rsid w:val="000622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259951215">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384251608">
      <w:bodyDiv w:val="1"/>
      <w:marLeft w:val="0"/>
      <w:marRight w:val="0"/>
      <w:marTop w:val="0"/>
      <w:marBottom w:val="0"/>
      <w:divBdr>
        <w:top w:val="none" w:sz="0" w:space="0" w:color="auto"/>
        <w:left w:val="none" w:sz="0" w:space="0" w:color="auto"/>
        <w:bottom w:val="none" w:sz="0" w:space="0" w:color="auto"/>
        <w:right w:val="none" w:sz="0" w:space="0" w:color="auto"/>
      </w:divBdr>
    </w:div>
    <w:div w:id="1406803671">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package" Target="embeddings/Microsoft_Word_Document3.docx"/><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g"/><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deeresourc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3.emf"/><Relationship Id="rId30" Type="http://schemas.openxmlformats.org/officeDocument/2006/relationships/package" Target="embeddings/Microsoft_Word_Document2.docx"/><Relationship Id="rId35" Type="http://schemas.openxmlformats.org/officeDocument/2006/relationships/package" Target="embeddings/Microsoft_Word_Document4.docx"/></Relationships>
</file>

<file path=word/_rels/endnotes.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hyperlink" Target="http://www.calmac.org/publications/2010-2012_ARP_Impact_Evaluation_Final_Report.pdf" TargetMode="External"/><Relationship Id="rId7" Type="http://schemas.openxmlformats.org/officeDocument/2006/relationships/hyperlink" Target="http://www.calmac.org/publications/EM&amp;V_Study_for_2004-2005_Statewide_RARP_-_Final_Report.pdf" TargetMode="External"/><Relationship Id="rId2" Type="http://schemas.openxmlformats.org/officeDocument/2006/relationships/hyperlink" Target="http://www.calmac.org/publications/2014.11_24_WO21_CLASS_Final_Report_Clean.pdf" TargetMode="External"/><Relationship Id="rId1" Type="http://schemas.openxmlformats.org/officeDocument/2006/relationships/hyperlink" Target="http://www.waterrf.org/PublicReportLibrary/RFR90781_1999_241A.pdf" TargetMode="External"/><Relationship Id="rId6" Type="http://schemas.openxmlformats.org/officeDocument/2006/relationships/hyperlink" Target="http://www.calmac.org/publications/FinalResidentialRetroEvaluationReport_11.pdf" TargetMode="External"/><Relationship Id="rId5" Type="http://schemas.openxmlformats.org/officeDocument/2006/relationships/hyperlink" Target="http://www.energy.ca.gov/2014publications/CEC-400-2014-009/CEC-400-2014-009-CMF.pdf" TargetMode="External"/><Relationship Id="rId10" Type="http://schemas.openxmlformats.org/officeDocument/2006/relationships/hyperlink" Target="http://websafe.kemainc.com/rass2009/Query.aspx?QType=1&amp;tabid=1" TargetMode="External"/><Relationship Id="rId4" Type="http://schemas.openxmlformats.org/officeDocument/2006/relationships/hyperlink" Target="http://energy.gov/sites/prod/files/2013/11/f5/53827-7.pdf" TargetMode="External"/><Relationship Id="rId9" Type="http://schemas.openxmlformats.org/officeDocument/2006/relationships/hyperlink" Target="http://www1.eere.energy.gov/buildings/appliance_standards/commercial/pdfs/ccw_finalrule_ch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EA4F4CB40DD419C6CAF9467FB7C04" ma:contentTypeVersion="2" ma:contentTypeDescription="Create a new document." ma:contentTypeScope="" ma:versionID="828d551e8869ea3dc498503510246c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2AB3-3614-44E4-AD3D-4602D861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3.xml><?xml version="1.0" encoding="utf-8"?>
<ds:datastoreItem xmlns:ds="http://schemas.openxmlformats.org/officeDocument/2006/customXml" ds:itemID="{90AC4E56-104E-4524-9907-9F647E8A4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FFD2C-4234-4B31-BC7B-578862D4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 Work Paper Template - Final</Template>
  <TotalTime>0</TotalTime>
  <Pages>26</Pages>
  <Words>4811</Words>
  <Characters>27424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32171</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creator>Steven Blanc</dc:creator>
  <cp:lastModifiedBy>Jenny</cp:lastModifiedBy>
  <cp:revision>2</cp:revision>
  <cp:lastPrinted>2014-02-11T21:45:00Z</cp:lastPrinted>
  <dcterms:created xsi:type="dcterms:W3CDTF">2015-06-29T19:32:00Z</dcterms:created>
  <dcterms:modified xsi:type="dcterms:W3CDTF">2015-06-29T19:32:00Z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0x010100E20EA4F4CB40DD419C6CAF9467FB7C04</vt:lpwstr>
  </property>
</Properties>
</file>