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F2EA3" w14:textId="27E2520C" w:rsidR="0074369D" w:rsidRDefault="00BE1F27" w:rsidP="0074369D">
      <w:pPr>
        <w:pStyle w:val="Caption"/>
      </w:pPr>
      <w:r>
        <w:t>Measure Cost</w:t>
      </w:r>
      <w:r w:rsidR="0074369D">
        <w:t xml:space="preserve"> </w:t>
      </w:r>
      <w:r w:rsidR="001F46D8">
        <w:t>Analytical Methods</w:t>
      </w:r>
    </w:p>
    <w:p w14:paraId="373D212D" w14:textId="0728C8D7" w:rsidR="00A050CB" w:rsidRDefault="0034119E" w:rsidP="00A050CB">
      <w:r>
        <w:rPr>
          <w:noProof/>
        </w:rPr>
        <mc:AlternateContent>
          <mc:Choice Requires="wps">
            <w:drawing>
              <wp:anchor distT="0" distB="0" distL="114300" distR="114300" simplePos="0" relativeHeight="251667456" behindDoc="0" locked="0" layoutInCell="1" allowOverlap="1" wp14:anchorId="14842A79" wp14:editId="3D4362A4">
                <wp:simplePos x="0" y="0"/>
                <wp:positionH relativeFrom="column">
                  <wp:posOffset>4004326</wp:posOffset>
                </wp:positionH>
                <wp:positionV relativeFrom="paragraph">
                  <wp:posOffset>68508</wp:posOffset>
                </wp:positionV>
                <wp:extent cx="1058545" cy="455930"/>
                <wp:effectExtent l="0" t="0" r="27305" b="96520"/>
                <wp:wrapNone/>
                <wp:docPr id="8" name="Speech Bubble: Rectangle 8"/>
                <wp:cNvGraphicFramePr/>
                <a:graphic xmlns:a="http://schemas.openxmlformats.org/drawingml/2006/main">
                  <a:graphicData uri="http://schemas.microsoft.com/office/word/2010/wordprocessingShape">
                    <wps:wsp>
                      <wps:cNvSpPr/>
                      <wps:spPr>
                        <a:xfrm>
                          <a:off x="0" y="0"/>
                          <a:ext cx="1058545" cy="455930"/>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1C927" w14:textId="7EFE973F" w:rsidR="001F46D8" w:rsidRPr="00A050CB" w:rsidRDefault="001F46D8" w:rsidP="001F46D8">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 xml:space="preserve">Add/revise strengths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42A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26" type="#_x0000_t61" style="position:absolute;margin-left:315.3pt;margin-top:5.4pt;width:83.35pt;height:3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IzAIAABIGAAAOAAAAZHJzL2Uyb0RvYy54bWysVMFu2zAMvQ/YPwi6r05Sp0uDOkWWosOA&#10;ri2aDj0rMh0bkEVNUuJkX19Kdtys7XYYdrFFUnwkn0heXO5qxbZgXYU648OTAWegJeaVXmf8x+P1&#10;pwlnzgudC4UaMr4Hxy9nHz9cNGYKIyxR5WAZgWg3bUzGS+/NNEmcLKEW7gQNaDIWaGvhSbTrJLei&#10;IfRaJaPB4Cxp0ObGogTnSHvVGvks4hcFSH9XFA48Uxmn3Hz82vhdhW8yuxDTtRWmrGSXhviHLGpR&#10;aQraQ10JL9jGVm+g6kpadFj4E4l1gkVRSYg1UDXDwatqlqUwEGshcpzpaXL/D1bebu8tq/KM00Np&#10;UdMTLQ2ALNmXzWqlYMoeiEOh1wrYJLDVGDclp6W5t53k6BhK3xW2Dn8qiu0iw/ueYdh5Jkk5HIwn&#10;43TMmSRbOh6fn8YnSF68jXX+K2DNwiHjDeRrCCkshFK48ZFksb1xnqKT2+F6COxQVfl1pVQUQgfB&#10;Qlm2FfT2QkrQ/jS6q039HfNWTz006LqA1NQrrXpyUFOI2IsBKQb8LYjSb+Pa9aqPepbOR2kaaAs4&#10;L+mRFFyTQGZLXzz5vYIAqPQDFPQoRNgoZtyncFzMsDWVIodWPf5j0hEwIBfETo/dAbxH1LDLubsf&#10;XCFOU+88+FtibcG9R4yM2vfOdaXRvgegfB+5vX8gqaUmsOR3q13XeSvM99S9FtuxdkZeV9Q1N8L5&#10;e2FpjmniaTf5O/oUCpuMY3firET76z19uE/jRVbOGtoLGXc/N8ICZ+qbpsE7H6ZpWCRRSMefRyTY&#10;Y8vq2KI39QKp/Ya0BY2Mx3Dfq8OxsFg/0Qqbh6hkElpS7IxLbw/Cwrf7ipaghPk8XqPlYYS/0Usj&#10;A3ggOEzC4+5JWNONjqehu8XDDhHTV1PT3g2eGucbj0UVRypQ3PLaUU+LJ7ZvtyTDZjuW462XVT57&#10;BgAA//8DAFBLAwQUAAYACAAAACEA29olR94AAAAJAQAADwAAAGRycy9kb3ducmV2LnhtbEyPQUvE&#10;MBCF74L/IYzgzU26hW6tTZciCh5EdNX1mjZjW2wmpcnu1n/veNLj8D7efK/cLm4UR5zD4ElDslIg&#10;kFpvB+o0vL3eX+UgQjRkzegJNXxjgG11flaawvoTveBxFzvBJRQKo6GPcSqkDG2PzoSVn5A4+/Sz&#10;M5HPuZN2Nicud6NcK5VJZwbiD72Z8LbH9mt3cBoe7d2+23808T15eE4m1dRPaV5rfXmx1DcgIi7x&#10;D4ZffVaHip0afyAbxKghS1XGKAeKJzCwud6kIBoN+ToDWZXy/4LqBwAA//8DAFBLAQItABQABgAI&#10;AAAAIQC2gziS/gAAAOEBAAATAAAAAAAAAAAAAAAAAAAAAABbQ29udGVudF9UeXBlc10ueG1sUEsB&#10;Ai0AFAAGAAgAAAAhADj9If/WAAAAlAEAAAsAAAAAAAAAAAAAAAAALwEAAF9yZWxzLy5yZWxzUEsB&#10;Ai0AFAAGAAgAAAAhAAv9A0jMAgAAEgYAAA4AAAAAAAAAAAAAAAAALgIAAGRycy9lMm9Eb2MueG1s&#10;UEsBAi0AFAAGAAgAAAAhANvaJUfeAAAACQEAAA8AAAAAAAAAAAAAAAAAJgUAAGRycy9kb3ducmV2&#10;LnhtbFBLBQYAAAAABAAEAPMAAAAxBgAAAAA=&#10;" adj="6300,24300" fillcolor="#ededed [662]" strokecolor="#64a244" strokeweight="1pt">
                <v:textbox>
                  <w:txbxContent>
                    <w:p w14:paraId="2571C927" w14:textId="7EFE973F" w:rsidR="001F46D8" w:rsidRPr="00A050CB" w:rsidRDefault="001F46D8" w:rsidP="001F46D8">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 xml:space="preserve">Add/revise strengths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936F398" wp14:editId="55ED0FFE">
                <wp:simplePos x="0" y="0"/>
                <wp:positionH relativeFrom="column">
                  <wp:posOffset>5490676</wp:posOffset>
                </wp:positionH>
                <wp:positionV relativeFrom="paragraph">
                  <wp:posOffset>67961</wp:posOffset>
                </wp:positionV>
                <wp:extent cx="1058545" cy="455930"/>
                <wp:effectExtent l="0" t="0" r="27305" b="96520"/>
                <wp:wrapNone/>
                <wp:docPr id="3" name="Speech Bubble: Rectangle 3"/>
                <wp:cNvGraphicFramePr/>
                <a:graphic xmlns:a="http://schemas.openxmlformats.org/drawingml/2006/main">
                  <a:graphicData uri="http://schemas.microsoft.com/office/word/2010/wordprocessingShape">
                    <wps:wsp>
                      <wps:cNvSpPr/>
                      <wps:spPr>
                        <a:xfrm>
                          <a:off x="0" y="0"/>
                          <a:ext cx="1058545" cy="455930"/>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91ECB" w14:textId="0A7FC824"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Add/</w:t>
                            </w:r>
                            <w:r w:rsidR="001F46D8">
                              <w:rPr>
                                <w:rFonts w:ascii="Arial" w:hAnsi="Arial" w:cs="Arial"/>
                                <w:b/>
                                <w:bCs/>
                                <w:color w:val="64A244"/>
                                <w:sz w:val="16"/>
                                <w:szCs w:val="18"/>
                              </w:rPr>
                              <w:t>revise weaknesses</w:t>
                            </w:r>
                            <w:r>
                              <w:rPr>
                                <w:rFonts w:ascii="Arial" w:hAnsi="Arial" w:cs="Arial"/>
                                <w:b/>
                                <w:bCs/>
                                <w:color w:val="64A244"/>
                                <w:sz w:val="16"/>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F398" id="Speech Bubble: Rectangle 3" o:spid="_x0000_s1027" type="#_x0000_t61" style="position:absolute;margin-left:432.35pt;margin-top:5.35pt;width:83.35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azgIAABkGAAAOAAAAZHJzL2Uyb0RvYy54bWysVE1v2zAMvQ/YfxB0X50PZ2uDOkWWosOA&#10;ri2aDj0rMh0bkEVNUuJkv36U7DhZ2+0w7GKLFPlIPpG8vNrVim3Bugp1xodnA85AS8wrvc7496eb&#10;D+ecOS90LhRqyPgeHL+avX932ZgpjLBElYNlBKLdtDEZL7030yRxsoRauDM0oOmyQFsLT6JdJ7kV&#10;DaHXKhkNBh+TBm1uLEpwjrTX7SWfRfyiAOnvi8KBZyrjlJuPXxu/q/BNZpdiurbClJXs0hD/kEUt&#10;Kk1Be6hr4QXb2OoVVF1Jiw4LfyaxTrAoKgmxBqpmOHhRzbIUBmItRI4zPU3u/8HKu+2DZVWe8TFn&#10;WtT0REsDIEv2ebNaKZiyR+JQ6LUCNg5sNcZNyWlpHmwnOTqG0neFrcOfimK7yPC+Zxh2nklSDgeT&#10;80k64UzSXTqZXIzjEyRHb2Od/wJYs3DIeAP5GkIKC6EUbnwkWWxvnafo5HYwD4Edqiq/qZSKQugg&#10;WCjLtoLeXkgJ2o+ju9rU3zBv9dRDg64LSE290qrPD2oKEXsxIMWAvwVR+nVcu171UT+m81GaBtoC&#10;zjE9koJrEshs6Ysnv1cQAJV+hIIehQgbxYz7FE6LGbZXpcihVU/+mHQEDMgFsdNjdwBvETXscu7s&#10;gyvEaeqdB39LrC2494iRUfveua402rcAlO8jt/YHklpqAkt+t9rFho2WQbPCfE9NbLGdbmfkTUXN&#10;cyucfxCWxpkGn1aUv6dPobDJOHYnzkq0P9/SB3uaMrrlrKH1kHH3YyMscKa+apq/i2Gahn0ShXTy&#10;aUSCPb1Znd7oTb1A6sIhLUMj4zHYe3U4FhbrZ9pk8xCVroSWFDvj0tuDsPDt2qJdKGE+j2a0Q4zw&#10;t3ppZAAPPIeBeNo9C2u6CfI0e3d4WCVi+mJ4WtvgqXG+8VhUcbKOvHYvQPsndnG3K8OCO5Wj1XGj&#10;z34BAAD//wMAUEsDBBQABgAIAAAAIQDMffAi3wAAAAoBAAAPAAAAZHJzL2Rvd25yZXYueG1sTI/B&#10;TsMwDIbvSLxDZCRuLOk2RlWaThUCiQNCMNh2TRvTVjRO1WRbeXu8E5ws6/v1+3O+nlwvjjiGzpOG&#10;ZKZAINXedtRo+Px4uklBhGjImt4TavjBAOvi8iI3mfUnesfjJjaCSyhkRkMb45BJGeoWnQkzPyAx&#10;+/KjM5HXsZF2NCcud72cK7WSznTEF1oz4EOL9ffm4DS82Mdds9tXcZs8vyWDqsrXRVpqfX01lfcg&#10;Ik7xLwxnfVaHgp0qfyAbRK8hXS3vOMpA8TwH1CJZgqgYzW9BFrn8/0LxCwAA//8DAFBLAQItABQA&#10;BgAIAAAAIQC2gziS/gAAAOEBAAATAAAAAAAAAAAAAAAAAAAAAABbQ29udGVudF9UeXBlc10ueG1s&#10;UEsBAi0AFAAGAAgAAAAhADj9If/WAAAAlAEAAAsAAAAAAAAAAAAAAAAALwEAAF9yZWxzLy5yZWxz&#10;UEsBAi0AFAAGAAgAAAAhAH/lBBrOAgAAGQYAAA4AAAAAAAAAAAAAAAAALgIAAGRycy9lMm9Eb2Mu&#10;eG1sUEsBAi0AFAAGAAgAAAAhAMx98CLfAAAACgEAAA8AAAAAAAAAAAAAAAAAKAUAAGRycy9kb3du&#10;cmV2LnhtbFBLBQYAAAAABAAEAPMAAAA0BgAAAAA=&#10;" adj="6300,24300" fillcolor="#ededed [662]" strokecolor="#64a244" strokeweight="1pt">
                <v:textbox>
                  <w:txbxContent>
                    <w:p w14:paraId="11291ECB" w14:textId="0A7FC824"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Add/</w:t>
                      </w:r>
                      <w:r w:rsidR="001F46D8">
                        <w:rPr>
                          <w:rFonts w:ascii="Arial" w:hAnsi="Arial" w:cs="Arial"/>
                          <w:b/>
                          <w:bCs/>
                          <w:color w:val="64A244"/>
                          <w:sz w:val="16"/>
                          <w:szCs w:val="18"/>
                        </w:rPr>
                        <w:t>revise weaknesses</w:t>
                      </w:r>
                      <w:r>
                        <w:rPr>
                          <w:rFonts w:ascii="Arial" w:hAnsi="Arial" w:cs="Arial"/>
                          <w:b/>
                          <w:bCs/>
                          <w:color w:val="64A244"/>
                          <w:sz w:val="16"/>
                          <w:szCs w:val="18"/>
                        </w:rPr>
                        <w:t xml:space="preserve"> </w:t>
                      </w:r>
                    </w:p>
                  </w:txbxContent>
                </v:textbox>
              </v:shape>
            </w:pict>
          </mc:Fallback>
        </mc:AlternateContent>
      </w:r>
      <w:r w:rsidR="001F46D8">
        <w:rPr>
          <w:noProof/>
        </w:rPr>
        <mc:AlternateContent>
          <mc:Choice Requires="wps">
            <w:drawing>
              <wp:anchor distT="0" distB="0" distL="114300" distR="114300" simplePos="0" relativeHeight="251659264" behindDoc="0" locked="0" layoutInCell="1" allowOverlap="1" wp14:anchorId="4574CD42" wp14:editId="73DF9FAC">
                <wp:simplePos x="0" y="0"/>
                <wp:positionH relativeFrom="column">
                  <wp:posOffset>28671</wp:posOffset>
                </wp:positionH>
                <wp:positionV relativeFrom="paragraph">
                  <wp:posOffset>137546</wp:posOffset>
                </wp:positionV>
                <wp:extent cx="948578" cy="386715"/>
                <wp:effectExtent l="0" t="0" r="23495" b="70485"/>
                <wp:wrapNone/>
                <wp:docPr id="1" name="Speech Bubble: Rectangle 1"/>
                <wp:cNvGraphicFramePr/>
                <a:graphic xmlns:a="http://schemas.openxmlformats.org/drawingml/2006/main">
                  <a:graphicData uri="http://schemas.microsoft.com/office/word/2010/wordprocessingShape">
                    <wps:wsp>
                      <wps:cNvSpPr/>
                      <wps:spPr>
                        <a:xfrm>
                          <a:off x="0" y="0"/>
                          <a:ext cx="948578" cy="386715"/>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076F1" w14:textId="5066A82D" w:rsidR="00A050CB" w:rsidRPr="00A050CB" w:rsidRDefault="00A050CB" w:rsidP="00A050CB">
                            <w:pPr>
                              <w:spacing w:before="0" w:after="0" w:line="240" w:lineRule="auto"/>
                              <w:jc w:val="center"/>
                              <w:rPr>
                                <w:rFonts w:ascii="Arial" w:hAnsi="Arial" w:cs="Arial"/>
                                <w:b/>
                                <w:bCs/>
                                <w:color w:val="64A244"/>
                                <w:sz w:val="16"/>
                                <w:szCs w:val="18"/>
                              </w:rPr>
                            </w:pPr>
                            <w:r w:rsidRPr="00A050CB">
                              <w:rPr>
                                <w:rFonts w:ascii="Arial" w:hAnsi="Arial" w:cs="Arial"/>
                                <w:b/>
                                <w:bCs/>
                                <w:color w:val="64A244"/>
                                <w:sz w:val="16"/>
                                <w:szCs w:val="18"/>
                              </w:rPr>
                              <w:t xml:space="preserve">Add </w:t>
                            </w:r>
                            <w:r>
                              <w:rPr>
                                <w:rFonts w:ascii="Arial" w:hAnsi="Arial" w:cs="Arial"/>
                                <w:b/>
                                <w:bCs/>
                                <w:color w:val="64A244"/>
                                <w:sz w:val="16"/>
                                <w:szCs w:val="18"/>
                              </w:rPr>
                              <w:t xml:space="preserve">other </w:t>
                            </w:r>
                            <w:r w:rsidR="001F46D8">
                              <w:rPr>
                                <w:rFonts w:ascii="Arial" w:hAnsi="Arial" w:cs="Arial"/>
                                <w:b/>
                                <w:bCs/>
                                <w:color w:val="64A244"/>
                                <w:sz w:val="16"/>
                                <w:szCs w:val="18"/>
                              </w:rPr>
                              <w:t>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4CD42" id="Speech Bubble: Rectangle 1" o:spid="_x0000_s1028" type="#_x0000_t61" style="position:absolute;margin-left:2.25pt;margin-top:10.85pt;width:74.7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6UzQIAABgGAAAOAAAAZHJzL2Uyb0RvYy54bWysVE1v2zAMvQ/YfxB0X52kSZsadYosRYcB&#10;XVs0HXpWZDo2IIuapMTJfv0o2XGzttth2MWW+PFIPpG8vNrVim3Bugp1xocnA85AS8wrvc7496eb&#10;T1POnBc6Fwo1ZHwPjl/NPn64bEwKIyxR5WAZgWiXNibjpfcmTRInS6iFO0EDmpQF2lp4utp1klvR&#10;EHqtktFgcJY0aHNjUYJzJL1ulXwW8YsCpL8vCgeeqYxTbj5+bfyuwjeZXYp0bYUpK9mlIf4hi1pU&#10;moL2UNfCC7ax1RuoupIWHRb+RGKdYFFUEmINVM1w8KqaZSkMxFqIHGd6mtz/g5V32wfLqpzejjMt&#10;anqipQGQJfu8Wa0UpOyROBR6rYANA1uNcSk5Lc2D7W6OjqH0XWHr8Kei2C4yvO8Zhp1nkoQX4+nk&#10;nFpCkup0enY+nATM5MXZWOe/ANYsHDLeQL6GkMFCKIUbHzkW21vnW7eDeYjrUFX5TaVUvIQGgoWy&#10;bCvo6YWUoP1pdFeb+hvmrZxaaNA1AYmpVVrx9CCmzGIrBqSY529BlH4b165XfdSz8Xw0HncVHnkS&#10;anBNApcte/Hk9woCoNKPUNCbEF+jmHGfwnExw1ZVihxa8eSPSUfAgFwQOz12B/AeUfGlKcvOPrhC&#10;HKbeefC3xNq36T1iZNS+d64rjfY9AOX7yK39gaSWmsCS3612sV9Hh25cYb6nHrbYDrcz8qai5rkV&#10;zj8IS9NMc08byt/Tp1DYZBy7E2cl2p/vyYM9DRlpOWtoO2Tc/dgIC5ypr5rG72I4Hod1Ei/jyfmI&#10;LvZYszrW6E29QOpCGjHKLh6DvVeHY2GxfqZFNg9RSSW0pNgZl94eLgvfbi1ahRLm82hGK8QIf6uX&#10;RgbwwHMYiKfds7CmmyBPo3eHh00i0lfD09oGT43zjceiipMVmG557V6A1k/s/25Vhv12fI9WLwt9&#10;9gsAAP//AwBQSwMEFAAGAAgAAAAhAP2g/AjeAAAABwEAAA8AAABkcnMvZG93bnJldi54bWxMjsFO&#10;wzAQRO9I/IO1SNyok5S2IWRTRQgkDqiCFsrViZckIl5HsduGv8c9wXE0ozcvX0+mF0caXWcZIZ5F&#10;IIhrqztuEN53TzcpCOcVa9VbJoQfcrAuLi9ylWl74jc6bn0jAoRdphBa74dMSle3ZJSb2YE4dF92&#10;NMqHODZSj+oU4KaXSRQtpVEdh4dWDfTQUv29PRiEF/24b/aflf+In1/jIarKzTwtEa+vpvIehKfJ&#10;/43hrB/UoQhOlT2wdqJHuF2EIUISr0Cc68X8DkSFkCZLkEUu//sXvwAAAP//AwBQSwECLQAUAAYA&#10;CAAAACEAtoM4kv4AAADhAQAAEwAAAAAAAAAAAAAAAAAAAAAAW0NvbnRlbnRfVHlwZXNdLnhtbFBL&#10;AQItABQABgAIAAAAIQA4/SH/1gAAAJQBAAALAAAAAAAAAAAAAAAAAC8BAABfcmVscy8ucmVsc1BL&#10;AQItABQABgAIAAAAIQD1aT6UzQIAABgGAAAOAAAAAAAAAAAAAAAAAC4CAABkcnMvZTJvRG9jLnht&#10;bFBLAQItABQABgAIAAAAIQD9oPwI3gAAAAcBAAAPAAAAAAAAAAAAAAAAACcFAABkcnMvZG93bnJl&#10;di54bWxQSwUGAAAAAAQABADzAAAAMgYAAAAA&#10;" adj="6300,24300" fillcolor="#ededed [662]" strokecolor="#64a244" strokeweight="1pt">
                <v:textbox>
                  <w:txbxContent>
                    <w:p w14:paraId="07B076F1" w14:textId="5066A82D" w:rsidR="00A050CB" w:rsidRPr="00A050CB" w:rsidRDefault="00A050CB" w:rsidP="00A050CB">
                      <w:pPr>
                        <w:spacing w:before="0" w:after="0" w:line="240" w:lineRule="auto"/>
                        <w:jc w:val="center"/>
                        <w:rPr>
                          <w:rFonts w:ascii="Arial" w:hAnsi="Arial" w:cs="Arial"/>
                          <w:b/>
                          <w:bCs/>
                          <w:color w:val="64A244"/>
                          <w:sz w:val="16"/>
                          <w:szCs w:val="18"/>
                        </w:rPr>
                      </w:pPr>
                      <w:r w:rsidRPr="00A050CB">
                        <w:rPr>
                          <w:rFonts w:ascii="Arial" w:hAnsi="Arial" w:cs="Arial"/>
                          <w:b/>
                          <w:bCs/>
                          <w:color w:val="64A244"/>
                          <w:sz w:val="16"/>
                          <w:szCs w:val="18"/>
                        </w:rPr>
                        <w:t xml:space="preserve">Add </w:t>
                      </w:r>
                      <w:r>
                        <w:rPr>
                          <w:rFonts w:ascii="Arial" w:hAnsi="Arial" w:cs="Arial"/>
                          <w:b/>
                          <w:bCs/>
                          <w:color w:val="64A244"/>
                          <w:sz w:val="16"/>
                          <w:szCs w:val="18"/>
                        </w:rPr>
                        <w:t xml:space="preserve">other </w:t>
                      </w:r>
                      <w:r w:rsidR="001F46D8">
                        <w:rPr>
                          <w:rFonts w:ascii="Arial" w:hAnsi="Arial" w:cs="Arial"/>
                          <w:b/>
                          <w:bCs/>
                          <w:color w:val="64A244"/>
                          <w:sz w:val="16"/>
                          <w:szCs w:val="18"/>
                        </w:rPr>
                        <w:t>methods</w:t>
                      </w:r>
                    </w:p>
                  </w:txbxContent>
                </v:textbox>
              </v:shape>
            </w:pict>
          </mc:Fallback>
        </mc:AlternateContent>
      </w:r>
      <w:r w:rsidR="00A050CB">
        <w:rPr>
          <w:noProof/>
        </w:rPr>
        <mc:AlternateContent>
          <mc:Choice Requires="wps">
            <w:drawing>
              <wp:anchor distT="0" distB="0" distL="114300" distR="114300" simplePos="0" relativeHeight="251665408" behindDoc="0" locked="0" layoutInCell="1" allowOverlap="1" wp14:anchorId="57CDC2FD" wp14:editId="10ED2AE2">
                <wp:simplePos x="0" y="0"/>
                <wp:positionH relativeFrom="column">
                  <wp:posOffset>6776977</wp:posOffset>
                </wp:positionH>
                <wp:positionV relativeFrom="paragraph">
                  <wp:posOffset>86087</wp:posOffset>
                </wp:positionV>
                <wp:extent cx="1585732" cy="455930"/>
                <wp:effectExtent l="0" t="0" r="14605" b="96520"/>
                <wp:wrapNone/>
                <wp:docPr id="4" name="Speech Bubble: Rectangle 4"/>
                <wp:cNvGraphicFramePr/>
                <a:graphic xmlns:a="http://schemas.openxmlformats.org/drawingml/2006/main">
                  <a:graphicData uri="http://schemas.microsoft.com/office/word/2010/wordprocessingShape">
                    <wps:wsp>
                      <wps:cNvSpPr/>
                      <wps:spPr>
                        <a:xfrm>
                          <a:off x="0" y="0"/>
                          <a:ext cx="1585732" cy="455930"/>
                        </a:xfrm>
                        <a:prstGeom prst="wedgeRectCallout">
                          <a:avLst/>
                        </a:prstGeom>
                        <a:solidFill>
                          <a:schemeClr val="accent3">
                            <a:lumMod val="20000"/>
                            <a:lumOff val="80000"/>
                          </a:schemeClr>
                        </a:solidFill>
                        <a:ln>
                          <a:solidFill>
                            <a:srgbClr val="64A24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DEDD4" w14:textId="200E71FA"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 xml:space="preserve">Add comments </w:t>
                            </w:r>
                            <w:r w:rsidR="001F46D8">
                              <w:rPr>
                                <w:rFonts w:ascii="Arial" w:hAnsi="Arial" w:cs="Arial"/>
                                <w:b/>
                                <w:bCs/>
                                <w:color w:val="64A244"/>
                                <w:sz w:val="16"/>
                                <w:szCs w:val="18"/>
                              </w:rPr>
                              <w:t>on applicability – ideal use cases, when not applicable etc.</w:t>
                            </w:r>
                            <w:r>
                              <w:rPr>
                                <w:rFonts w:ascii="Arial" w:hAnsi="Arial" w:cs="Arial"/>
                                <w:b/>
                                <w:bCs/>
                                <w:color w:val="64A244"/>
                                <w:sz w:val="16"/>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DC2FD" id="Speech Bubble: Rectangle 4" o:spid="_x0000_s1029" type="#_x0000_t61" style="position:absolute;margin-left:533.6pt;margin-top:6.8pt;width:124.85pt;height:3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fH0AIAABkGAAAOAAAAZHJzL2Uyb0RvYy54bWysVEtv2zAMvg/YfxB0X52H00dQp8hSdBjQ&#10;tUXToWdFpmMDsqhJSpzs14+SHTdrux2GXWzx9ZH6RPLyalcrtgXrKtQZH54MOAMtMa/0OuPfn24+&#10;nXPmvNC5UKgh43tw/Gr28cNlY6YwwhJVDpYRiHbTxmS89N5Mk8TJEmrhTtCAJmOBthaeRLtOcisa&#10;Qq9VMhoMTpMGbW4sSnCOtNetkc8iflGA9PdF4cAzlXGqzcevjd9V+CazSzFdW2HKSnZliH+oohaV&#10;pqQ91LXwgm1s9QaqrqRFh4U/kVgnWBSVhHgHus1w8Oo2y1IYiHchcpzpaXL/D1bebR8sq/KMp5xp&#10;UdMTLQ2ALNnnzWqlYMoeiUOh1wpYGthqjJtS0NI82E5ydAxX3xW2Dn+6FNtFhvc9w7DzTJJyODmf&#10;nI1HnEmypZPJxTg+QfISbazzXwBrFg4ZbyBfQyhhIZTCjY8ki+2t85Sdwg7uIbFDVeU3lVJRCB0E&#10;C2XZVtDbCylB+3EMV5v6G+atnnpo0HUBqalXWvX5QU0pYi8GpJjwtyRKv81r16s+62k6H6WRtoDz&#10;Uh5JITQJZLb0xZPfKwiASj9CQY9ChI1ixX0Jx5cZtqZS5NCqJ38sOgIG5ILY6bE7gPeIGoanpio7&#10;/xAKcZr64MHfCmuD+4iYGbXvg+tKo30PQPk+c+t/IKmlJrDkd6tdbNjxoR1XmO+piS220+2MvKmo&#10;eW6F8w/C0jjT4NOK8vf0KRQ2GcfuxFmJ9ud7+uBPU0ZWzhpaDxl3PzbCAmfqq6b5uximadgnUUgn&#10;ZyMS7LFldWzRm3qB1IVDWoZGxmPw9+pwLCzWz7TJ5iErmYSWlDvj0tuDsPDt2qJdKGE+j260Q4zw&#10;t3ppZAAPPIeBeNo9C2u6CfI0e3d4WCVi+mp4Wt8QqXG+8VhUcbIC0y2v3QvQ/okd0e3KsOCO5ej1&#10;stFnvwAAAP//AwBQSwMEFAAGAAgAAAAhALB5ujHgAAAACwEAAA8AAABkcnMvZG93bnJldi54bWxM&#10;j8FOg0AQhu8mvsNmTLzZhaKIyNIQo4kHY7St9bqwIxDZWcJuW3x7pye9zZ/58s83xWq2gzjg5HtH&#10;CuJFBAKpcaanVsF283SVgfBBk9GDI1Twgx5W5flZoXPjjvSOh3VoBZeQz7WCLoQxl9I3HVrtF25E&#10;4t2Xm6wOHKdWmkkfudwOchlFqbS6J77Q6REfOmy+13ur4MU87trdZx0+4ue3eIzq6jXJKqUuL+bq&#10;HkTAOfzBcNJndSjZqXZ7Ml4MnKP0dsksT0kK4kQkcXoHolaQ3VyDLAv5/4fyFwAA//8DAFBLAQIt&#10;ABQABgAIAAAAIQC2gziS/gAAAOEBAAATAAAAAAAAAAAAAAAAAAAAAABbQ29udGVudF9UeXBlc10u&#10;eG1sUEsBAi0AFAAGAAgAAAAhADj9If/WAAAAlAEAAAsAAAAAAAAAAAAAAAAALwEAAF9yZWxzLy5y&#10;ZWxzUEsBAi0AFAAGAAgAAAAhADFqp8fQAgAAGQYAAA4AAAAAAAAAAAAAAAAALgIAAGRycy9lMm9E&#10;b2MueG1sUEsBAi0AFAAGAAgAAAAhALB5ujHgAAAACwEAAA8AAAAAAAAAAAAAAAAAKgUAAGRycy9k&#10;b3ducmV2LnhtbFBLBQYAAAAABAAEAPMAAAA3BgAAAAA=&#10;" adj="6300,24300" fillcolor="#ededed [662]" strokecolor="#64a244" strokeweight="1pt">
                <v:textbox>
                  <w:txbxContent>
                    <w:p w14:paraId="5C6DEDD4" w14:textId="200E71FA" w:rsidR="00A050CB" w:rsidRPr="00A050CB" w:rsidRDefault="00A050CB" w:rsidP="00A050CB">
                      <w:pPr>
                        <w:spacing w:before="0" w:after="0" w:line="240" w:lineRule="auto"/>
                        <w:jc w:val="center"/>
                        <w:rPr>
                          <w:rFonts w:ascii="Arial" w:hAnsi="Arial" w:cs="Arial"/>
                          <w:b/>
                          <w:bCs/>
                          <w:color w:val="64A244"/>
                          <w:sz w:val="16"/>
                          <w:szCs w:val="18"/>
                        </w:rPr>
                      </w:pPr>
                      <w:r>
                        <w:rPr>
                          <w:rFonts w:ascii="Arial" w:hAnsi="Arial" w:cs="Arial"/>
                          <w:b/>
                          <w:bCs/>
                          <w:color w:val="64A244"/>
                          <w:sz w:val="16"/>
                          <w:szCs w:val="18"/>
                        </w:rPr>
                        <w:t xml:space="preserve">Add comments </w:t>
                      </w:r>
                      <w:r w:rsidR="001F46D8">
                        <w:rPr>
                          <w:rFonts w:ascii="Arial" w:hAnsi="Arial" w:cs="Arial"/>
                          <w:b/>
                          <w:bCs/>
                          <w:color w:val="64A244"/>
                          <w:sz w:val="16"/>
                          <w:szCs w:val="18"/>
                        </w:rPr>
                        <w:t>on applicability – ideal use cases, when not applicable etc.</w:t>
                      </w:r>
                      <w:r>
                        <w:rPr>
                          <w:rFonts w:ascii="Arial" w:hAnsi="Arial" w:cs="Arial"/>
                          <w:b/>
                          <w:bCs/>
                          <w:color w:val="64A244"/>
                          <w:sz w:val="16"/>
                          <w:szCs w:val="18"/>
                        </w:rPr>
                        <w:t xml:space="preserve"> </w:t>
                      </w:r>
                    </w:p>
                  </w:txbxContent>
                </v:textbox>
              </v:shape>
            </w:pict>
          </mc:Fallback>
        </mc:AlternateContent>
      </w:r>
    </w:p>
    <w:p w14:paraId="14DD044E" w14:textId="258FB8F3" w:rsidR="00A050CB" w:rsidRPr="00A050CB" w:rsidRDefault="00A050CB" w:rsidP="00A050CB"/>
    <w:tbl>
      <w:tblPr>
        <w:tblW w:w="12960" w:type="dxa"/>
        <w:tblBorders>
          <w:top w:val="single" w:sz="12" w:space="0" w:color="8C6E4A"/>
          <w:bottom w:val="single" w:sz="4" w:space="0" w:color="8C6E4A"/>
          <w:insideH w:val="single" w:sz="4" w:space="0" w:color="8C6E4A"/>
        </w:tblBorders>
        <w:tblCellMar>
          <w:left w:w="0" w:type="dxa"/>
          <w:right w:w="0" w:type="dxa"/>
        </w:tblCellMar>
        <w:tblLook w:val="04A0" w:firstRow="1" w:lastRow="0" w:firstColumn="1" w:lastColumn="0" w:noHBand="0" w:noVBand="1"/>
      </w:tblPr>
      <w:tblGrid>
        <w:gridCol w:w="2016"/>
        <w:gridCol w:w="3600"/>
        <w:gridCol w:w="2448"/>
        <w:gridCol w:w="2448"/>
        <w:gridCol w:w="2448"/>
      </w:tblGrid>
      <w:tr w:rsidR="00521EEC" w:rsidRPr="00DD7DD3" w14:paraId="1F61AE38" w14:textId="41114AC8" w:rsidTr="00521EEC">
        <w:trPr>
          <w:cantSplit/>
          <w:tblHeader/>
        </w:trPr>
        <w:tc>
          <w:tcPr>
            <w:tcW w:w="2016" w:type="dxa"/>
            <w:tcBorders>
              <w:top w:val="single" w:sz="12" w:space="0" w:color="8C6E4A"/>
            </w:tcBorders>
            <w:shd w:val="clear" w:color="auto" w:fill="F1EAE3"/>
            <w:tcMar>
              <w:top w:w="0" w:type="dxa"/>
              <w:left w:w="108" w:type="dxa"/>
              <w:bottom w:w="0" w:type="dxa"/>
              <w:right w:w="108" w:type="dxa"/>
            </w:tcMar>
            <w:vAlign w:val="bottom"/>
          </w:tcPr>
          <w:p w14:paraId="2720EA94" w14:textId="59E53290" w:rsidR="001F46D8" w:rsidRPr="00DD7DD3" w:rsidRDefault="001F46D8" w:rsidP="00521EEC">
            <w:pPr>
              <w:spacing w:after="60"/>
              <w:jc w:val="center"/>
              <w:rPr>
                <w:rFonts w:ascii="Arial" w:hAnsi="Arial" w:cs="Arial"/>
                <w:color w:val="404040" w:themeColor="text1" w:themeTint="BF"/>
                <w:sz w:val="18"/>
                <w:szCs w:val="18"/>
              </w:rPr>
            </w:pPr>
            <w:r>
              <w:rPr>
                <w:rFonts w:ascii="Arial" w:hAnsi="Arial" w:cs="Arial"/>
                <w:color w:val="404040" w:themeColor="text1" w:themeTint="BF"/>
                <w:sz w:val="18"/>
                <w:szCs w:val="18"/>
              </w:rPr>
              <w:t>Method</w:t>
            </w:r>
          </w:p>
        </w:tc>
        <w:tc>
          <w:tcPr>
            <w:tcW w:w="3600" w:type="dxa"/>
            <w:tcBorders>
              <w:top w:val="single" w:sz="12" w:space="0" w:color="8C6E4A"/>
            </w:tcBorders>
            <w:shd w:val="clear" w:color="auto" w:fill="F1EAE3"/>
          </w:tcPr>
          <w:p w14:paraId="2D9E7369" w14:textId="62B2422C" w:rsidR="001F46D8" w:rsidRPr="0034119E" w:rsidRDefault="001F46D8" w:rsidP="00521EEC">
            <w:pPr>
              <w:spacing w:after="60"/>
              <w:jc w:val="center"/>
              <w:rPr>
                <w:rFonts w:ascii="Arial" w:hAnsi="Arial" w:cs="Arial"/>
                <w:color w:val="404040" w:themeColor="text1" w:themeTint="BF"/>
                <w:sz w:val="18"/>
                <w:szCs w:val="18"/>
              </w:rPr>
            </w:pPr>
            <w:r w:rsidRPr="0034119E">
              <w:rPr>
                <w:rFonts w:ascii="Arial" w:hAnsi="Arial" w:cs="Arial"/>
                <w:color w:val="404040" w:themeColor="text1" w:themeTint="BF"/>
                <w:sz w:val="18"/>
                <w:szCs w:val="18"/>
              </w:rPr>
              <w:t>Definition</w:t>
            </w:r>
          </w:p>
        </w:tc>
        <w:tc>
          <w:tcPr>
            <w:tcW w:w="2448" w:type="dxa"/>
            <w:tcBorders>
              <w:top w:val="single" w:sz="12" w:space="0" w:color="8C6E4A"/>
            </w:tcBorders>
            <w:shd w:val="clear" w:color="auto" w:fill="F1EAE3"/>
            <w:vAlign w:val="bottom"/>
          </w:tcPr>
          <w:p w14:paraId="41D83B24" w14:textId="1682A91D" w:rsidR="001F46D8" w:rsidRPr="00DD7DD3" w:rsidRDefault="001F46D8" w:rsidP="00521EEC">
            <w:pPr>
              <w:spacing w:after="60"/>
              <w:jc w:val="center"/>
              <w:rPr>
                <w:rFonts w:ascii="Arial" w:hAnsi="Arial" w:cs="Arial"/>
                <w:color w:val="404040" w:themeColor="text1" w:themeTint="BF"/>
                <w:sz w:val="18"/>
                <w:szCs w:val="18"/>
              </w:rPr>
            </w:pPr>
            <w:r>
              <w:rPr>
                <w:rFonts w:ascii="Arial" w:hAnsi="Arial" w:cs="Arial"/>
                <w:color w:val="404040" w:themeColor="text1" w:themeTint="BF"/>
                <w:sz w:val="18"/>
                <w:szCs w:val="18"/>
              </w:rPr>
              <w:t>Strengths</w:t>
            </w:r>
          </w:p>
        </w:tc>
        <w:tc>
          <w:tcPr>
            <w:tcW w:w="2448" w:type="dxa"/>
            <w:tcBorders>
              <w:top w:val="single" w:sz="12" w:space="0" w:color="8C6E4A"/>
            </w:tcBorders>
            <w:shd w:val="clear" w:color="auto" w:fill="F1EAE3"/>
            <w:vAlign w:val="bottom"/>
          </w:tcPr>
          <w:p w14:paraId="29DB3EF3" w14:textId="650832ED" w:rsidR="001F46D8" w:rsidRPr="0074369D" w:rsidRDefault="001F46D8" w:rsidP="00521EEC">
            <w:pPr>
              <w:spacing w:after="60"/>
              <w:ind w:left="90"/>
              <w:jc w:val="center"/>
              <w:rPr>
                <w:rFonts w:ascii="Arial" w:hAnsi="Arial" w:cs="Arial"/>
                <w:sz w:val="18"/>
                <w:szCs w:val="18"/>
              </w:rPr>
            </w:pPr>
            <w:r>
              <w:rPr>
                <w:rFonts w:ascii="Arial" w:hAnsi="Arial" w:cs="Arial"/>
                <w:sz w:val="18"/>
                <w:szCs w:val="18"/>
              </w:rPr>
              <w:t>Weaknesses</w:t>
            </w:r>
          </w:p>
        </w:tc>
        <w:tc>
          <w:tcPr>
            <w:tcW w:w="2448" w:type="dxa"/>
            <w:tcBorders>
              <w:top w:val="single" w:sz="12" w:space="0" w:color="8C6E4A"/>
            </w:tcBorders>
            <w:shd w:val="clear" w:color="auto" w:fill="F1EAE3"/>
          </w:tcPr>
          <w:p w14:paraId="4F6EAFED" w14:textId="618BA63D" w:rsidR="001F46D8" w:rsidRPr="0074369D" w:rsidRDefault="001F46D8" w:rsidP="00521EEC">
            <w:pPr>
              <w:spacing w:after="60"/>
              <w:jc w:val="center"/>
              <w:rPr>
                <w:rFonts w:ascii="Arial" w:hAnsi="Arial" w:cs="Arial"/>
                <w:sz w:val="18"/>
                <w:szCs w:val="18"/>
              </w:rPr>
            </w:pPr>
            <w:r>
              <w:rPr>
                <w:rFonts w:ascii="Arial" w:hAnsi="Arial" w:cs="Arial"/>
                <w:sz w:val="18"/>
                <w:szCs w:val="18"/>
              </w:rPr>
              <w:t>Applicability</w:t>
            </w:r>
          </w:p>
        </w:tc>
      </w:tr>
      <w:tr w:rsidR="001F46D8" w:rsidRPr="00DD7DD3" w14:paraId="427D1D9C" w14:textId="645FE5B2" w:rsidTr="00521EEC">
        <w:trPr>
          <w:cantSplit/>
        </w:trPr>
        <w:tc>
          <w:tcPr>
            <w:tcW w:w="2016" w:type="dxa"/>
            <w:shd w:val="clear" w:color="auto" w:fill="auto"/>
            <w:tcMar>
              <w:top w:w="0" w:type="dxa"/>
              <w:left w:w="108" w:type="dxa"/>
              <w:bottom w:w="0" w:type="dxa"/>
              <w:right w:w="108" w:type="dxa"/>
            </w:tcMar>
            <w:vAlign w:val="center"/>
          </w:tcPr>
          <w:p w14:paraId="61704187" w14:textId="03291067" w:rsidR="001F46D8" w:rsidRPr="00DD7DD3" w:rsidRDefault="001F46D8" w:rsidP="00521EEC">
            <w:pPr>
              <w:spacing w:before="40" w:after="0" w:line="240" w:lineRule="auto"/>
              <w:rPr>
                <w:rFonts w:ascii="Arial" w:hAnsi="Arial" w:cs="Arial"/>
                <w:sz w:val="18"/>
                <w:szCs w:val="18"/>
              </w:rPr>
            </w:pPr>
            <w:r>
              <w:rPr>
                <w:rFonts w:ascii="Arial" w:hAnsi="Arial" w:cs="Arial"/>
                <w:sz w:val="18"/>
                <w:szCs w:val="18"/>
              </w:rPr>
              <w:t>Simple Average</w:t>
            </w:r>
          </w:p>
        </w:tc>
        <w:tc>
          <w:tcPr>
            <w:tcW w:w="3600" w:type="dxa"/>
          </w:tcPr>
          <w:p w14:paraId="49B4BBBB" w14:textId="40CEE6C2" w:rsidR="001F46D8" w:rsidRPr="0034119E" w:rsidRDefault="001F46D8" w:rsidP="00521EEC">
            <w:pPr>
              <w:spacing w:before="40" w:after="0" w:line="240" w:lineRule="auto"/>
              <w:ind w:left="360"/>
              <w:rPr>
                <w:rFonts w:ascii="Arial" w:hAnsi="Arial" w:cs="Arial"/>
                <w:sz w:val="18"/>
                <w:szCs w:val="18"/>
              </w:rPr>
            </w:pPr>
            <w:r w:rsidRPr="0034119E">
              <w:rPr>
                <w:rFonts w:ascii="Arial" w:hAnsi="Arial" w:cs="Arial"/>
                <w:sz w:val="18"/>
                <w:szCs w:val="18"/>
              </w:rPr>
              <w:t>A simple arithmetic average is the most common method to estimate costs if data is limited (small sample size)</w:t>
            </w:r>
          </w:p>
        </w:tc>
        <w:tc>
          <w:tcPr>
            <w:tcW w:w="2448" w:type="dxa"/>
            <w:vAlign w:val="center"/>
          </w:tcPr>
          <w:p w14:paraId="70DBFCC6" w14:textId="29B3FD30" w:rsidR="001F46D8" w:rsidRPr="00DD7DD3" w:rsidRDefault="00B537E2" w:rsidP="00521EEC">
            <w:pPr>
              <w:spacing w:before="40" w:after="0" w:line="240" w:lineRule="auto"/>
              <w:ind w:left="360"/>
              <w:rPr>
                <w:rFonts w:ascii="Arial" w:hAnsi="Arial" w:cs="Arial"/>
                <w:sz w:val="18"/>
                <w:szCs w:val="18"/>
              </w:rPr>
            </w:pPr>
            <w:r>
              <w:rPr>
                <w:rFonts w:ascii="Arial" w:hAnsi="Arial" w:cs="Arial"/>
                <w:sz w:val="18"/>
                <w:szCs w:val="18"/>
              </w:rPr>
              <w:t>Cost and time efficient</w:t>
            </w:r>
          </w:p>
        </w:tc>
        <w:tc>
          <w:tcPr>
            <w:tcW w:w="2448" w:type="dxa"/>
            <w:vAlign w:val="center"/>
          </w:tcPr>
          <w:p w14:paraId="4740BAD9" w14:textId="50CD5E5C" w:rsidR="001F46D8" w:rsidRPr="0074369D" w:rsidRDefault="00B537E2" w:rsidP="00521EEC">
            <w:pPr>
              <w:spacing w:before="40" w:after="0" w:line="240" w:lineRule="auto"/>
              <w:ind w:left="90"/>
              <w:rPr>
                <w:rFonts w:ascii="Arial" w:hAnsi="Arial" w:cs="Arial"/>
                <w:sz w:val="18"/>
                <w:szCs w:val="18"/>
              </w:rPr>
            </w:pPr>
            <w:r>
              <w:rPr>
                <w:rFonts w:ascii="Arial" w:hAnsi="Arial" w:cs="Arial"/>
                <w:sz w:val="18"/>
                <w:szCs w:val="18"/>
              </w:rPr>
              <w:t>Does not represent prices paid</w:t>
            </w:r>
          </w:p>
        </w:tc>
        <w:tc>
          <w:tcPr>
            <w:tcW w:w="2448" w:type="dxa"/>
          </w:tcPr>
          <w:p w14:paraId="3D2D8505" w14:textId="77777777" w:rsidR="0034119E" w:rsidRDefault="0034119E" w:rsidP="00521EEC">
            <w:pPr>
              <w:spacing w:before="40" w:after="0" w:line="240" w:lineRule="auto"/>
              <w:ind w:left="360"/>
              <w:rPr>
                <w:rFonts w:ascii="Arial" w:hAnsi="Arial" w:cs="Arial"/>
                <w:sz w:val="18"/>
                <w:szCs w:val="18"/>
              </w:rPr>
            </w:pPr>
            <w:r>
              <w:rPr>
                <w:rFonts w:ascii="Arial" w:hAnsi="Arial" w:cs="Arial"/>
                <w:sz w:val="18"/>
                <w:szCs w:val="18"/>
              </w:rPr>
              <w:t>Limited data points</w:t>
            </w:r>
          </w:p>
          <w:p w14:paraId="4DFBCC42" w14:textId="044043D1" w:rsidR="001F46D8" w:rsidRPr="0074369D" w:rsidRDefault="0034119E" w:rsidP="00521EEC">
            <w:pPr>
              <w:spacing w:before="40" w:after="0" w:line="240" w:lineRule="auto"/>
              <w:ind w:left="360"/>
              <w:rPr>
                <w:rFonts w:ascii="Arial" w:hAnsi="Arial" w:cs="Arial"/>
                <w:sz w:val="18"/>
                <w:szCs w:val="18"/>
              </w:rPr>
            </w:pPr>
            <w:r>
              <w:rPr>
                <w:rFonts w:ascii="Arial" w:hAnsi="Arial" w:cs="Arial"/>
                <w:sz w:val="18"/>
                <w:szCs w:val="18"/>
              </w:rPr>
              <w:t>Data is from complete random sample of population</w:t>
            </w:r>
          </w:p>
        </w:tc>
      </w:tr>
      <w:tr w:rsidR="001F46D8" w:rsidRPr="00DD7DD3" w14:paraId="51F1DB4E" w14:textId="77777777" w:rsidTr="00521EEC">
        <w:trPr>
          <w:cantSplit/>
        </w:trPr>
        <w:tc>
          <w:tcPr>
            <w:tcW w:w="2016" w:type="dxa"/>
            <w:shd w:val="clear" w:color="auto" w:fill="auto"/>
            <w:tcMar>
              <w:top w:w="0" w:type="dxa"/>
              <w:left w:w="108" w:type="dxa"/>
              <w:bottom w:w="0" w:type="dxa"/>
              <w:right w:w="108" w:type="dxa"/>
            </w:tcMar>
            <w:vAlign w:val="center"/>
          </w:tcPr>
          <w:p w14:paraId="3BE96ED3" w14:textId="0E0A9F36" w:rsidR="001F46D8" w:rsidRPr="00DD7DD3" w:rsidRDefault="001F46D8" w:rsidP="00521EEC">
            <w:pPr>
              <w:spacing w:before="40" w:after="0" w:line="240" w:lineRule="auto"/>
              <w:rPr>
                <w:rFonts w:ascii="Arial" w:hAnsi="Arial" w:cs="Arial"/>
                <w:sz w:val="18"/>
                <w:szCs w:val="18"/>
              </w:rPr>
            </w:pPr>
            <w:r>
              <w:rPr>
                <w:rFonts w:ascii="Arial" w:hAnsi="Arial" w:cs="Arial"/>
                <w:sz w:val="18"/>
                <w:szCs w:val="18"/>
              </w:rPr>
              <w:t>Weighted Average</w:t>
            </w:r>
          </w:p>
        </w:tc>
        <w:tc>
          <w:tcPr>
            <w:tcW w:w="3600" w:type="dxa"/>
          </w:tcPr>
          <w:p w14:paraId="5C21B2F4" w14:textId="7EED1FE2" w:rsidR="001F46D8" w:rsidRPr="0034119E" w:rsidRDefault="001F46D8" w:rsidP="00521EEC">
            <w:pPr>
              <w:spacing w:before="40" w:after="0" w:line="240" w:lineRule="auto"/>
              <w:ind w:left="360"/>
              <w:rPr>
                <w:rFonts w:ascii="Arial" w:hAnsi="Arial" w:cs="Arial"/>
                <w:sz w:val="18"/>
                <w:szCs w:val="18"/>
              </w:rPr>
            </w:pPr>
            <w:r w:rsidRPr="0034119E">
              <w:rPr>
                <w:rFonts w:ascii="Arial" w:hAnsi="Arial" w:cs="Arial"/>
                <w:sz w:val="18"/>
                <w:szCs w:val="18"/>
              </w:rPr>
              <w:t xml:space="preserve">Costs </w:t>
            </w:r>
            <w:r w:rsidR="0034119E">
              <w:rPr>
                <w:rFonts w:ascii="Arial" w:hAnsi="Arial" w:cs="Arial"/>
                <w:sz w:val="18"/>
                <w:szCs w:val="18"/>
              </w:rPr>
              <w:t xml:space="preserve">are </w:t>
            </w:r>
            <w:r w:rsidRPr="0034119E">
              <w:rPr>
                <w:rFonts w:ascii="Arial" w:hAnsi="Arial" w:cs="Arial"/>
                <w:sz w:val="18"/>
                <w:szCs w:val="18"/>
              </w:rPr>
              <w:t>calculated as a weighted average to reflect relative proportions (i.e., costs were weighted by program claims or market data)</w:t>
            </w:r>
          </w:p>
        </w:tc>
        <w:tc>
          <w:tcPr>
            <w:tcW w:w="2448" w:type="dxa"/>
            <w:vAlign w:val="center"/>
          </w:tcPr>
          <w:p w14:paraId="054D5F6F" w14:textId="38AC1DE9" w:rsidR="001F46D8" w:rsidRPr="00BE1F27" w:rsidRDefault="0034119E" w:rsidP="00521EEC">
            <w:pPr>
              <w:spacing w:before="40" w:after="0" w:line="240" w:lineRule="auto"/>
              <w:ind w:left="360"/>
              <w:rPr>
                <w:rFonts w:ascii="Arial" w:hAnsi="Arial" w:cs="Arial"/>
                <w:sz w:val="18"/>
                <w:szCs w:val="18"/>
              </w:rPr>
            </w:pPr>
            <w:r>
              <w:rPr>
                <w:rFonts w:ascii="Arial" w:hAnsi="Arial" w:cs="Arial"/>
                <w:sz w:val="18"/>
                <w:szCs w:val="18"/>
              </w:rPr>
              <w:t>Ensures mix of product types</w:t>
            </w:r>
            <w:r w:rsidR="00E87385">
              <w:rPr>
                <w:rFonts w:ascii="Arial" w:hAnsi="Arial" w:cs="Arial"/>
                <w:sz w:val="18"/>
                <w:szCs w:val="18"/>
              </w:rPr>
              <w:t>/sales</w:t>
            </w:r>
            <w:r>
              <w:rPr>
                <w:rFonts w:ascii="Arial" w:hAnsi="Arial" w:cs="Arial"/>
                <w:sz w:val="18"/>
                <w:szCs w:val="18"/>
              </w:rPr>
              <w:t xml:space="preserve"> is represented</w:t>
            </w:r>
          </w:p>
        </w:tc>
        <w:tc>
          <w:tcPr>
            <w:tcW w:w="2448" w:type="dxa"/>
            <w:vAlign w:val="center"/>
          </w:tcPr>
          <w:p w14:paraId="0452E372" w14:textId="226B2483" w:rsidR="001F46D8" w:rsidRPr="0074369D" w:rsidRDefault="0034119E" w:rsidP="00521EEC">
            <w:pPr>
              <w:spacing w:before="40" w:after="60" w:line="240" w:lineRule="auto"/>
              <w:ind w:left="90"/>
              <w:rPr>
                <w:rFonts w:ascii="Arial" w:hAnsi="Arial" w:cs="Arial"/>
                <w:sz w:val="18"/>
                <w:szCs w:val="18"/>
              </w:rPr>
            </w:pPr>
            <w:r>
              <w:rPr>
                <w:rFonts w:ascii="Arial" w:hAnsi="Arial" w:cs="Arial"/>
                <w:sz w:val="18"/>
                <w:szCs w:val="18"/>
              </w:rPr>
              <w:t>Influenced by outliers, skewed distributions</w:t>
            </w:r>
          </w:p>
        </w:tc>
        <w:tc>
          <w:tcPr>
            <w:tcW w:w="2448" w:type="dxa"/>
          </w:tcPr>
          <w:p w14:paraId="4614C01B" w14:textId="77777777" w:rsidR="001F46D8" w:rsidRDefault="0034119E" w:rsidP="00521EEC">
            <w:pPr>
              <w:spacing w:before="40" w:after="0" w:line="240" w:lineRule="auto"/>
              <w:ind w:left="360"/>
              <w:rPr>
                <w:rFonts w:ascii="Arial" w:hAnsi="Arial" w:cs="Arial"/>
                <w:sz w:val="18"/>
                <w:szCs w:val="18"/>
              </w:rPr>
            </w:pPr>
            <w:r>
              <w:rPr>
                <w:rFonts w:ascii="Arial" w:hAnsi="Arial" w:cs="Arial"/>
                <w:sz w:val="18"/>
                <w:szCs w:val="18"/>
              </w:rPr>
              <w:t>Data not from random sample of population</w:t>
            </w:r>
          </w:p>
          <w:p w14:paraId="7AEC2FC7" w14:textId="17EB4E26" w:rsidR="00E87385" w:rsidRPr="0074369D" w:rsidRDefault="00E87385" w:rsidP="00521EEC">
            <w:pPr>
              <w:spacing w:before="40" w:after="0" w:line="240" w:lineRule="auto"/>
              <w:ind w:left="360"/>
              <w:rPr>
                <w:rFonts w:ascii="Arial" w:hAnsi="Arial" w:cs="Arial"/>
                <w:sz w:val="18"/>
                <w:szCs w:val="18"/>
              </w:rPr>
            </w:pPr>
            <w:r>
              <w:rPr>
                <w:rFonts w:ascii="Arial" w:hAnsi="Arial" w:cs="Arial"/>
                <w:sz w:val="18"/>
                <w:szCs w:val="18"/>
              </w:rPr>
              <w:t>Variability of products/prices within sample strata</w:t>
            </w:r>
          </w:p>
        </w:tc>
      </w:tr>
      <w:tr w:rsidR="001F46D8" w:rsidRPr="00DD7DD3" w14:paraId="42397854" w14:textId="77777777" w:rsidTr="00521EEC">
        <w:trPr>
          <w:cantSplit/>
        </w:trPr>
        <w:tc>
          <w:tcPr>
            <w:tcW w:w="2016" w:type="dxa"/>
            <w:shd w:val="clear" w:color="auto" w:fill="auto"/>
            <w:tcMar>
              <w:top w:w="0" w:type="dxa"/>
              <w:left w:w="108" w:type="dxa"/>
              <w:bottom w:w="0" w:type="dxa"/>
              <w:right w:w="108" w:type="dxa"/>
            </w:tcMar>
            <w:vAlign w:val="center"/>
          </w:tcPr>
          <w:p w14:paraId="28DDADA5" w14:textId="025DAAFB" w:rsidR="001F46D8" w:rsidRDefault="001F46D8" w:rsidP="00521EEC">
            <w:pPr>
              <w:spacing w:before="40" w:after="0" w:line="240" w:lineRule="auto"/>
              <w:rPr>
                <w:rFonts w:ascii="Arial" w:hAnsi="Arial" w:cs="Arial"/>
                <w:sz w:val="18"/>
                <w:szCs w:val="18"/>
              </w:rPr>
            </w:pPr>
            <w:r>
              <w:rPr>
                <w:rFonts w:ascii="Arial" w:hAnsi="Arial" w:cs="Arial"/>
                <w:sz w:val="18"/>
                <w:szCs w:val="18"/>
              </w:rPr>
              <w:t>Median</w:t>
            </w:r>
          </w:p>
        </w:tc>
        <w:tc>
          <w:tcPr>
            <w:tcW w:w="3600" w:type="dxa"/>
          </w:tcPr>
          <w:p w14:paraId="5B5B55B4" w14:textId="32DFA292" w:rsidR="001F46D8" w:rsidRPr="0034119E" w:rsidRDefault="0034119E" w:rsidP="00521EEC">
            <w:pPr>
              <w:spacing w:before="40" w:after="0" w:line="240" w:lineRule="auto"/>
              <w:ind w:left="360"/>
              <w:rPr>
                <w:rFonts w:ascii="Arial" w:hAnsi="Arial" w:cs="Arial"/>
                <w:sz w:val="18"/>
                <w:szCs w:val="18"/>
              </w:rPr>
            </w:pPr>
            <w:r>
              <w:rPr>
                <w:rFonts w:ascii="Arial" w:hAnsi="Arial" w:cs="Arial"/>
                <w:sz w:val="18"/>
                <w:szCs w:val="18"/>
              </w:rPr>
              <w:t>The median indicates the central tendency of a population.</w:t>
            </w:r>
          </w:p>
        </w:tc>
        <w:tc>
          <w:tcPr>
            <w:tcW w:w="2448" w:type="dxa"/>
            <w:vAlign w:val="center"/>
          </w:tcPr>
          <w:p w14:paraId="59F3AE29" w14:textId="02B59312" w:rsidR="001F46D8" w:rsidRPr="00DD7DD3" w:rsidRDefault="0034119E" w:rsidP="00521EEC">
            <w:pPr>
              <w:spacing w:before="40" w:after="0" w:line="240" w:lineRule="auto"/>
              <w:ind w:left="360"/>
              <w:rPr>
                <w:rFonts w:ascii="Arial" w:hAnsi="Arial" w:cs="Arial"/>
                <w:sz w:val="18"/>
                <w:szCs w:val="18"/>
              </w:rPr>
            </w:pPr>
            <w:r>
              <w:rPr>
                <w:rFonts w:ascii="Arial" w:hAnsi="Arial" w:cs="Arial"/>
                <w:sz w:val="18"/>
                <w:szCs w:val="18"/>
              </w:rPr>
              <w:t>Not influenced by outliers</w:t>
            </w:r>
          </w:p>
        </w:tc>
        <w:tc>
          <w:tcPr>
            <w:tcW w:w="2448" w:type="dxa"/>
            <w:vAlign w:val="center"/>
          </w:tcPr>
          <w:p w14:paraId="746D3794" w14:textId="77777777" w:rsidR="001F46D8" w:rsidRPr="0074369D" w:rsidRDefault="001F46D8" w:rsidP="00521EEC">
            <w:pPr>
              <w:spacing w:before="40" w:after="0" w:line="240" w:lineRule="auto"/>
              <w:ind w:left="90"/>
              <w:rPr>
                <w:rFonts w:ascii="Arial" w:hAnsi="Arial" w:cs="Arial"/>
                <w:sz w:val="18"/>
                <w:szCs w:val="18"/>
              </w:rPr>
            </w:pPr>
          </w:p>
        </w:tc>
        <w:tc>
          <w:tcPr>
            <w:tcW w:w="2448" w:type="dxa"/>
          </w:tcPr>
          <w:p w14:paraId="634A79F4" w14:textId="77777777" w:rsidR="001F46D8" w:rsidRDefault="0034119E" w:rsidP="00521EEC">
            <w:pPr>
              <w:spacing w:before="40" w:after="0" w:line="240" w:lineRule="auto"/>
              <w:ind w:left="360"/>
              <w:rPr>
                <w:rFonts w:ascii="Arial" w:hAnsi="Arial" w:cs="Arial"/>
                <w:sz w:val="18"/>
                <w:szCs w:val="18"/>
              </w:rPr>
            </w:pPr>
            <w:r>
              <w:rPr>
                <w:rFonts w:ascii="Arial" w:hAnsi="Arial" w:cs="Arial"/>
                <w:sz w:val="18"/>
                <w:szCs w:val="18"/>
              </w:rPr>
              <w:t>When outliers exist in the sample</w:t>
            </w:r>
          </w:p>
          <w:p w14:paraId="04D278DE" w14:textId="77777777" w:rsidR="0034119E" w:rsidRDefault="0034119E" w:rsidP="00521EEC">
            <w:pPr>
              <w:spacing w:before="40" w:after="0" w:line="240" w:lineRule="auto"/>
              <w:ind w:left="360"/>
              <w:rPr>
                <w:rFonts w:ascii="Arial" w:hAnsi="Arial" w:cs="Arial"/>
                <w:sz w:val="18"/>
                <w:szCs w:val="18"/>
              </w:rPr>
            </w:pPr>
            <w:r>
              <w:rPr>
                <w:rFonts w:ascii="Arial" w:hAnsi="Arial" w:cs="Arial"/>
                <w:sz w:val="18"/>
                <w:szCs w:val="18"/>
              </w:rPr>
              <w:t>Complex, site-specific measures</w:t>
            </w:r>
          </w:p>
          <w:p w14:paraId="1CFA1D0F" w14:textId="3F663537" w:rsidR="0034119E" w:rsidRPr="0074369D" w:rsidRDefault="0034119E" w:rsidP="00521EEC">
            <w:pPr>
              <w:spacing w:before="40" w:after="0" w:line="240" w:lineRule="auto"/>
              <w:ind w:left="360"/>
              <w:rPr>
                <w:rFonts w:ascii="Arial" w:hAnsi="Arial" w:cs="Arial"/>
                <w:sz w:val="18"/>
                <w:szCs w:val="18"/>
              </w:rPr>
            </w:pPr>
            <w:r>
              <w:rPr>
                <w:rFonts w:ascii="Arial" w:hAnsi="Arial" w:cs="Arial"/>
                <w:sz w:val="18"/>
                <w:szCs w:val="18"/>
              </w:rPr>
              <w:t>Costs from experts, limited # of market actors</w:t>
            </w:r>
          </w:p>
        </w:tc>
      </w:tr>
      <w:tr w:rsidR="001F46D8" w:rsidRPr="00DD7DD3" w14:paraId="7BAAAE11" w14:textId="77777777" w:rsidTr="00521EEC">
        <w:trPr>
          <w:cantSplit/>
        </w:trPr>
        <w:tc>
          <w:tcPr>
            <w:tcW w:w="2016" w:type="dxa"/>
            <w:shd w:val="clear" w:color="auto" w:fill="auto"/>
            <w:tcMar>
              <w:top w:w="0" w:type="dxa"/>
              <w:left w:w="108" w:type="dxa"/>
              <w:bottom w:w="0" w:type="dxa"/>
              <w:right w:w="108" w:type="dxa"/>
            </w:tcMar>
            <w:vAlign w:val="center"/>
          </w:tcPr>
          <w:p w14:paraId="0560E82C" w14:textId="6E11AD54" w:rsidR="001F46D8" w:rsidRPr="00DD7DD3" w:rsidRDefault="001F46D8" w:rsidP="00521EEC">
            <w:pPr>
              <w:spacing w:before="40" w:after="0" w:line="240" w:lineRule="auto"/>
              <w:rPr>
                <w:rFonts w:ascii="Arial" w:hAnsi="Arial" w:cs="Arial"/>
                <w:sz w:val="18"/>
                <w:szCs w:val="18"/>
              </w:rPr>
            </w:pPr>
            <w:r>
              <w:rPr>
                <w:rFonts w:ascii="Arial" w:hAnsi="Arial" w:cs="Arial"/>
                <w:sz w:val="18"/>
                <w:szCs w:val="18"/>
              </w:rPr>
              <w:t>Regression Analysis</w:t>
            </w:r>
          </w:p>
        </w:tc>
        <w:tc>
          <w:tcPr>
            <w:tcW w:w="3600" w:type="dxa"/>
          </w:tcPr>
          <w:p w14:paraId="5945867B" w14:textId="2B270AC4" w:rsidR="001F46D8" w:rsidRPr="0034119E" w:rsidRDefault="001F46D8" w:rsidP="00521EEC">
            <w:pPr>
              <w:spacing w:before="40" w:after="0" w:line="240" w:lineRule="auto"/>
              <w:ind w:left="360"/>
              <w:rPr>
                <w:rFonts w:ascii="Arial" w:hAnsi="Arial" w:cs="Arial"/>
                <w:sz w:val="18"/>
                <w:szCs w:val="18"/>
              </w:rPr>
            </w:pPr>
            <w:r w:rsidRPr="0034119E">
              <w:rPr>
                <w:rFonts w:ascii="Arial" w:hAnsi="Arial" w:cs="Arial"/>
                <w:sz w:val="18"/>
                <w:szCs w:val="18"/>
              </w:rPr>
              <w:t xml:space="preserve">Regression analysis </w:t>
            </w:r>
            <w:r w:rsidR="0034119E">
              <w:rPr>
                <w:rFonts w:ascii="Arial" w:hAnsi="Arial" w:cs="Arial"/>
                <w:sz w:val="18"/>
                <w:szCs w:val="18"/>
              </w:rPr>
              <w:t>is</w:t>
            </w:r>
            <w:r w:rsidRPr="0034119E">
              <w:rPr>
                <w:rFonts w:ascii="Arial" w:hAnsi="Arial" w:cs="Arial"/>
                <w:sz w:val="18"/>
                <w:szCs w:val="18"/>
              </w:rPr>
              <w:t xml:space="preserve"> used to evaluate the relationship between cost and one or more other variables. For example, regression models were constructed to examine the relationship between cost and the normalizing unit, which enabled the estimation of costs when data for a specific sample stratum is missing.</w:t>
            </w:r>
          </w:p>
        </w:tc>
        <w:tc>
          <w:tcPr>
            <w:tcW w:w="2448" w:type="dxa"/>
            <w:vAlign w:val="center"/>
          </w:tcPr>
          <w:p w14:paraId="6DDA88AD" w14:textId="13DB25CB" w:rsidR="001F46D8" w:rsidRPr="00DD7DD3" w:rsidRDefault="001F46D8" w:rsidP="00521EEC">
            <w:pPr>
              <w:spacing w:before="40" w:after="0" w:line="240" w:lineRule="auto"/>
              <w:ind w:left="360"/>
              <w:rPr>
                <w:rFonts w:ascii="Arial" w:hAnsi="Arial" w:cs="Arial"/>
                <w:sz w:val="18"/>
                <w:szCs w:val="18"/>
              </w:rPr>
            </w:pPr>
          </w:p>
        </w:tc>
        <w:tc>
          <w:tcPr>
            <w:tcW w:w="2448" w:type="dxa"/>
            <w:vAlign w:val="center"/>
          </w:tcPr>
          <w:p w14:paraId="73BA52E0" w14:textId="7F72DC71" w:rsidR="001F46D8" w:rsidRPr="0074369D" w:rsidRDefault="001F46D8" w:rsidP="00521EEC">
            <w:pPr>
              <w:spacing w:before="40" w:after="0" w:line="240" w:lineRule="auto"/>
              <w:ind w:left="90"/>
              <w:rPr>
                <w:rFonts w:ascii="Arial" w:hAnsi="Arial" w:cs="Arial"/>
                <w:sz w:val="18"/>
                <w:szCs w:val="18"/>
              </w:rPr>
            </w:pPr>
          </w:p>
        </w:tc>
        <w:tc>
          <w:tcPr>
            <w:tcW w:w="2448" w:type="dxa"/>
          </w:tcPr>
          <w:p w14:paraId="175E1A71" w14:textId="77777777" w:rsidR="001F46D8" w:rsidRDefault="0034119E" w:rsidP="00521EEC">
            <w:pPr>
              <w:spacing w:before="40" w:after="0" w:line="240" w:lineRule="auto"/>
              <w:ind w:left="360"/>
              <w:rPr>
                <w:rFonts w:ascii="Arial" w:hAnsi="Arial" w:cs="Arial"/>
                <w:sz w:val="18"/>
                <w:szCs w:val="18"/>
              </w:rPr>
            </w:pPr>
            <w:r>
              <w:rPr>
                <w:rFonts w:ascii="Arial" w:hAnsi="Arial" w:cs="Arial"/>
                <w:sz w:val="18"/>
                <w:szCs w:val="18"/>
              </w:rPr>
              <w:t xml:space="preserve">Used when need to understand relationship of </w:t>
            </w:r>
            <w:r w:rsidR="00B537E2">
              <w:rPr>
                <w:rFonts w:ascii="Arial" w:hAnsi="Arial" w:cs="Arial"/>
                <w:sz w:val="18"/>
                <w:szCs w:val="18"/>
              </w:rPr>
              <w:t>cost</w:t>
            </w:r>
            <w:r>
              <w:rPr>
                <w:rFonts w:ascii="Arial" w:hAnsi="Arial" w:cs="Arial"/>
                <w:sz w:val="18"/>
                <w:szCs w:val="18"/>
              </w:rPr>
              <w:t xml:space="preserve"> and other </w:t>
            </w:r>
            <w:r w:rsidR="00B537E2">
              <w:rPr>
                <w:rFonts w:ascii="Arial" w:hAnsi="Arial" w:cs="Arial"/>
                <w:sz w:val="18"/>
                <w:szCs w:val="18"/>
              </w:rPr>
              <w:t>product attributes.</w:t>
            </w:r>
          </w:p>
          <w:p w14:paraId="4E0A494B" w14:textId="6000F3E9" w:rsidR="00B537E2" w:rsidRPr="0074369D" w:rsidRDefault="00B537E2" w:rsidP="00521EEC">
            <w:pPr>
              <w:spacing w:before="40" w:after="0" w:line="240" w:lineRule="auto"/>
              <w:ind w:left="360"/>
              <w:rPr>
                <w:rFonts w:ascii="Arial" w:hAnsi="Arial" w:cs="Arial"/>
                <w:sz w:val="18"/>
                <w:szCs w:val="18"/>
              </w:rPr>
            </w:pPr>
            <w:r>
              <w:rPr>
                <w:rFonts w:ascii="Arial" w:hAnsi="Arial" w:cs="Arial"/>
                <w:sz w:val="18"/>
                <w:szCs w:val="18"/>
              </w:rPr>
              <w:t>Interpolation to fill missing data points.</w:t>
            </w:r>
          </w:p>
        </w:tc>
      </w:tr>
      <w:tr w:rsidR="001F46D8" w:rsidRPr="00DD7DD3" w14:paraId="0F146A7D" w14:textId="4FD7DDB6" w:rsidTr="00521EEC">
        <w:trPr>
          <w:cantSplit/>
        </w:trPr>
        <w:tc>
          <w:tcPr>
            <w:tcW w:w="2016" w:type="dxa"/>
            <w:shd w:val="clear" w:color="auto" w:fill="auto"/>
            <w:tcMar>
              <w:top w:w="0" w:type="dxa"/>
              <w:left w:w="108" w:type="dxa"/>
              <w:bottom w:w="0" w:type="dxa"/>
              <w:right w:w="108" w:type="dxa"/>
            </w:tcMar>
            <w:vAlign w:val="center"/>
          </w:tcPr>
          <w:p w14:paraId="63B0BCF5" w14:textId="46790A22" w:rsidR="001F46D8" w:rsidRPr="00DD7DD3" w:rsidRDefault="001F46D8" w:rsidP="00521EEC">
            <w:pPr>
              <w:spacing w:before="40" w:after="0" w:line="240" w:lineRule="auto"/>
              <w:rPr>
                <w:rFonts w:ascii="Arial" w:hAnsi="Arial" w:cs="Arial"/>
                <w:sz w:val="18"/>
                <w:szCs w:val="18"/>
              </w:rPr>
            </w:pPr>
            <w:r>
              <w:rPr>
                <w:rFonts w:ascii="Arial" w:hAnsi="Arial" w:cs="Arial"/>
                <w:sz w:val="18"/>
                <w:szCs w:val="18"/>
              </w:rPr>
              <w:t>Hedonic Price Model</w:t>
            </w:r>
          </w:p>
        </w:tc>
        <w:tc>
          <w:tcPr>
            <w:tcW w:w="3600" w:type="dxa"/>
          </w:tcPr>
          <w:p w14:paraId="00B218D9" w14:textId="58C0584E" w:rsidR="001F46D8" w:rsidRPr="0034119E" w:rsidRDefault="0034119E" w:rsidP="00521EEC">
            <w:pPr>
              <w:spacing w:before="40" w:after="0" w:line="240" w:lineRule="auto"/>
              <w:ind w:left="360"/>
              <w:rPr>
                <w:rFonts w:ascii="Arial" w:hAnsi="Arial" w:cs="Arial"/>
                <w:sz w:val="18"/>
                <w:szCs w:val="18"/>
              </w:rPr>
            </w:pPr>
            <w:r w:rsidRPr="0034119E">
              <w:rPr>
                <w:rFonts w:ascii="Arial" w:hAnsi="Arial" w:cs="Arial"/>
                <w:sz w:val="18"/>
                <w:szCs w:val="18"/>
              </w:rPr>
              <w:t xml:space="preserve">A hedonic price model is a specific type of regression analysis used to estimate the relative influence of various product features on an observed price. In the case of energy efficiency measure cost analysis, hedonic price models </w:t>
            </w:r>
            <w:r>
              <w:rPr>
                <w:rFonts w:ascii="Arial" w:hAnsi="Arial" w:cs="Arial"/>
                <w:sz w:val="18"/>
                <w:szCs w:val="18"/>
              </w:rPr>
              <w:t>are</w:t>
            </w:r>
            <w:r w:rsidRPr="0034119E">
              <w:rPr>
                <w:rFonts w:ascii="Arial" w:hAnsi="Arial" w:cs="Arial"/>
                <w:sz w:val="18"/>
                <w:szCs w:val="18"/>
              </w:rPr>
              <w:t xml:space="preserve"> used to determine the portion of the measure cost associated with the energy performance of the equipment (e.g. SEER, EER, AFUE, R-value, etc.).</w:t>
            </w:r>
          </w:p>
        </w:tc>
        <w:tc>
          <w:tcPr>
            <w:tcW w:w="2448" w:type="dxa"/>
            <w:vAlign w:val="center"/>
          </w:tcPr>
          <w:p w14:paraId="32545F23" w14:textId="77777777" w:rsidR="001F46D8" w:rsidRDefault="00B537E2" w:rsidP="00521EEC">
            <w:pPr>
              <w:spacing w:before="40" w:after="0" w:line="240" w:lineRule="auto"/>
              <w:ind w:left="360"/>
              <w:rPr>
                <w:rFonts w:ascii="Arial" w:hAnsi="Arial" w:cs="Arial"/>
                <w:sz w:val="18"/>
                <w:szCs w:val="18"/>
              </w:rPr>
            </w:pPr>
            <w:r>
              <w:rPr>
                <w:rFonts w:ascii="Arial" w:hAnsi="Arial" w:cs="Arial"/>
                <w:sz w:val="18"/>
                <w:szCs w:val="18"/>
              </w:rPr>
              <w:t>Enables isolation of price variation to energy performance</w:t>
            </w:r>
          </w:p>
          <w:p w14:paraId="20C70B97" w14:textId="609510FB" w:rsidR="00B537E2" w:rsidRPr="00F352A0" w:rsidRDefault="00B537E2" w:rsidP="00521EEC">
            <w:pPr>
              <w:spacing w:before="40" w:after="0" w:line="240" w:lineRule="auto"/>
              <w:ind w:left="360"/>
              <w:rPr>
                <w:rFonts w:ascii="Arial" w:hAnsi="Arial" w:cs="Arial"/>
                <w:sz w:val="18"/>
                <w:szCs w:val="18"/>
              </w:rPr>
            </w:pPr>
            <w:r>
              <w:rPr>
                <w:rFonts w:ascii="Arial" w:hAnsi="Arial" w:cs="Arial"/>
                <w:sz w:val="18"/>
                <w:szCs w:val="18"/>
              </w:rPr>
              <w:t>Represents sales volume</w:t>
            </w:r>
          </w:p>
        </w:tc>
        <w:tc>
          <w:tcPr>
            <w:tcW w:w="2448" w:type="dxa"/>
            <w:vAlign w:val="center"/>
          </w:tcPr>
          <w:p w14:paraId="25571725" w14:textId="12EEE392" w:rsidR="001F46D8" w:rsidRDefault="00B537E2" w:rsidP="00521EEC">
            <w:pPr>
              <w:spacing w:before="40" w:after="0" w:line="240" w:lineRule="auto"/>
              <w:ind w:left="90"/>
              <w:rPr>
                <w:rFonts w:ascii="Arial" w:hAnsi="Arial" w:cs="Arial"/>
                <w:sz w:val="18"/>
                <w:szCs w:val="18"/>
              </w:rPr>
            </w:pPr>
            <w:r>
              <w:rPr>
                <w:rFonts w:ascii="Arial" w:hAnsi="Arial" w:cs="Arial"/>
                <w:sz w:val="18"/>
                <w:szCs w:val="18"/>
              </w:rPr>
              <w:t>Data requirements and processing costs</w:t>
            </w:r>
          </w:p>
          <w:p w14:paraId="36F09136" w14:textId="7BAB976A" w:rsidR="00B537E2" w:rsidRPr="0074369D" w:rsidRDefault="00B537E2" w:rsidP="00521EEC">
            <w:pPr>
              <w:spacing w:before="40" w:after="0" w:line="240" w:lineRule="auto"/>
              <w:ind w:left="90"/>
              <w:rPr>
                <w:rFonts w:ascii="Arial" w:hAnsi="Arial" w:cs="Arial"/>
                <w:sz w:val="18"/>
                <w:szCs w:val="18"/>
              </w:rPr>
            </w:pPr>
          </w:p>
        </w:tc>
        <w:tc>
          <w:tcPr>
            <w:tcW w:w="2448" w:type="dxa"/>
          </w:tcPr>
          <w:p w14:paraId="276171E0" w14:textId="194CEB6E" w:rsidR="001F46D8" w:rsidRPr="0074369D" w:rsidRDefault="001F46D8" w:rsidP="00521EEC">
            <w:pPr>
              <w:spacing w:before="40" w:after="0" w:line="240" w:lineRule="auto"/>
              <w:ind w:left="360"/>
              <w:rPr>
                <w:rFonts w:ascii="Arial" w:hAnsi="Arial" w:cs="Arial"/>
                <w:sz w:val="18"/>
                <w:szCs w:val="18"/>
              </w:rPr>
            </w:pPr>
          </w:p>
        </w:tc>
      </w:tr>
      <w:tr w:rsidR="001F46D8" w:rsidRPr="00DD7DD3" w14:paraId="19277815" w14:textId="77777777" w:rsidTr="00521EEC">
        <w:trPr>
          <w:cantSplit/>
        </w:trPr>
        <w:tc>
          <w:tcPr>
            <w:tcW w:w="2016" w:type="dxa"/>
            <w:shd w:val="clear" w:color="auto" w:fill="auto"/>
            <w:tcMar>
              <w:top w:w="0" w:type="dxa"/>
              <w:left w:w="108" w:type="dxa"/>
              <w:bottom w:w="0" w:type="dxa"/>
              <w:right w:w="108" w:type="dxa"/>
            </w:tcMar>
            <w:vAlign w:val="center"/>
          </w:tcPr>
          <w:p w14:paraId="67359738" w14:textId="3BFD9A6F" w:rsidR="001F46D8" w:rsidRDefault="001F46D8" w:rsidP="00521EEC">
            <w:pPr>
              <w:spacing w:before="40" w:after="0" w:line="240" w:lineRule="auto"/>
              <w:rPr>
                <w:rFonts w:ascii="Arial" w:hAnsi="Arial" w:cs="Arial"/>
                <w:sz w:val="18"/>
                <w:szCs w:val="18"/>
              </w:rPr>
            </w:pPr>
            <w:r>
              <w:rPr>
                <w:rFonts w:ascii="Arial" w:hAnsi="Arial" w:cs="Arial"/>
                <w:sz w:val="18"/>
                <w:szCs w:val="18"/>
              </w:rPr>
              <w:lastRenderedPageBreak/>
              <w:t>Built-up Costs</w:t>
            </w:r>
          </w:p>
        </w:tc>
        <w:tc>
          <w:tcPr>
            <w:tcW w:w="3600" w:type="dxa"/>
          </w:tcPr>
          <w:p w14:paraId="1D189E44" w14:textId="4668FB9B" w:rsidR="001F46D8" w:rsidRPr="0034119E" w:rsidRDefault="0034119E" w:rsidP="00521EEC">
            <w:pPr>
              <w:spacing w:before="40" w:after="0" w:line="240" w:lineRule="auto"/>
              <w:ind w:left="360"/>
              <w:rPr>
                <w:rFonts w:ascii="Arial" w:hAnsi="Arial" w:cs="Arial"/>
                <w:sz w:val="18"/>
                <w:szCs w:val="18"/>
              </w:rPr>
            </w:pPr>
            <w:r w:rsidRPr="0034119E">
              <w:rPr>
                <w:rFonts w:ascii="Arial" w:hAnsi="Arial" w:cs="Arial"/>
                <w:sz w:val="18"/>
                <w:szCs w:val="18"/>
              </w:rPr>
              <w:t xml:space="preserve">The costs for some measures for which costs are too complex or too specialized </w:t>
            </w:r>
            <w:r>
              <w:rPr>
                <w:rFonts w:ascii="Arial" w:hAnsi="Arial" w:cs="Arial"/>
                <w:sz w:val="18"/>
                <w:szCs w:val="18"/>
              </w:rPr>
              <w:t>are</w:t>
            </w:r>
            <w:r w:rsidRPr="0034119E">
              <w:rPr>
                <w:rFonts w:ascii="Arial" w:hAnsi="Arial" w:cs="Arial"/>
                <w:sz w:val="18"/>
                <w:szCs w:val="18"/>
              </w:rPr>
              <w:t xml:space="preserve"> developed by subject matter technical experts.</w:t>
            </w:r>
          </w:p>
        </w:tc>
        <w:tc>
          <w:tcPr>
            <w:tcW w:w="2448" w:type="dxa"/>
            <w:vAlign w:val="center"/>
          </w:tcPr>
          <w:p w14:paraId="0DF73343" w14:textId="2ED1CF8B" w:rsidR="001F46D8" w:rsidRPr="00BE1F27" w:rsidRDefault="00B537E2" w:rsidP="00521EEC">
            <w:pPr>
              <w:spacing w:before="40" w:after="0" w:line="240" w:lineRule="auto"/>
              <w:ind w:left="360"/>
              <w:rPr>
                <w:rFonts w:ascii="Arial" w:hAnsi="Arial" w:cs="Arial"/>
                <w:sz w:val="18"/>
                <w:szCs w:val="18"/>
              </w:rPr>
            </w:pPr>
            <w:r>
              <w:rPr>
                <w:rFonts w:ascii="Arial" w:hAnsi="Arial" w:cs="Arial"/>
                <w:sz w:val="18"/>
                <w:szCs w:val="18"/>
              </w:rPr>
              <w:t>Enables isolation of price variation to energy performance</w:t>
            </w:r>
          </w:p>
        </w:tc>
        <w:tc>
          <w:tcPr>
            <w:tcW w:w="2448" w:type="dxa"/>
            <w:vAlign w:val="center"/>
          </w:tcPr>
          <w:p w14:paraId="5F7644BD" w14:textId="49825EA3" w:rsidR="001F46D8" w:rsidRPr="0074369D" w:rsidRDefault="00B537E2" w:rsidP="00521EEC">
            <w:pPr>
              <w:spacing w:before="40" w:after="60" w:line="240" w:lineRule="auto"/>
              <w:ind w:left="90"/>
              <w:rPr>
                <w:rFonts w:ascii="Arial" w:hAnsi="Arial" w:cs="Arial"/>
                <w:sz w:val="18"/>
                <w:szCs w:val="18"/>
              </w:rPr>
            </w:pPr>
            <w:r>
              <w:rPr>
                <w:rFonts w:ascii="Arial" w:hAnsi="Arial" w:cs="Arial"/>
                <w:sz w:val="18"/>
                <w:szCs w:val="18"/>
              </w:rPr>
              <w:t>Requires expertise</w:t>
            </w:r>
          </w:p>
        </w:tc>
        <w:tc>
          <w:tcPr>
            <w:tcW w:w="2448" w:type="dxa"/>
          </w:tcPr>
          <w:p w14:paraId="54EDFDA4" w14:textId="7F5C0353" w:rsidR="00B537E2" w:rsidRDefault="00B537E2" w:rsidP="00521EEC">
            <w:pPr>
              <w:spacing w:before="40" w:after="0" w:line="240" w:lineRule="auto"/>
              <w:ind w:left="360"/>
              <w:rPr>
                <w:rFonts w:ascii="Arial" w:hAnsi="Arial" w:cs="Arial"/>
                <w:sz w:val="18"/>
                <w:szCs w:val="18"/>
              </w:rPr>
            </w:pPr>
            <w:r>
              <w:rPr>
                <w:rFonts w:ascii="Arial" w:hAnsi="Arial" w:cs="Arial"/>
                <w:sz w:val="18"/>
                <w:szCs w:val="18"/>
              </w:rPr>
              <w:t>Complex measures/site-specific configurations.</w:t>
            </w:r>
          </w:p>
          <w:p w14:paraId="5737F7BA" w14:textId="25DE1C3C" w:rsidR="001F46D8" w:rsidRPr="0074369D" w:rsidRDefault="00B537E2" w:rsidP="00521EEC">
            <w:pPr>
              <w:spacing w:before="40" w:after="0" w:line="240" w:lineRule="auto"/>
              <w:ind w:left="360"/>
              <w:rPr>
                <w:rFonts w:ascii="Arial" w:hAnsi="Arial" w:cs="Arial"/>
                <w:sz w:val="18"/>
                <w:szCs w:val="18"/>
              </w:rPr>
            </w:pPr>
            <w:r>
              <w:rPr>
                <w:rFonts w:ascii="Arial" w:hAnsi="Arial" w:cs="Arial"/>
                <w:sz w:val="18"/>
                <w:szCs w:val="18"/>
              </w:rPr>
              <w:t>It is not possible to isolate features between base and measure scenario</w:t>
            </w:r>
          </w:p>
        </w:tc>
      </w:tr>
      <w:tr w:rsidR="001F46D8" w:rsidRPr="00DD7DD3" w14:paraId="65859698" w14:textId="605A6149" w:rsidTr="00521EEC">
        <w:trPr>
          <w:cantSplit/>
        </w:trPr>
        <w:tc>
          <w:tcPr>
            <w:tcW w:w="2016" w:type="dxa"/>
            <w:shd w:val="clear" w:color="auto" w:fill="auto"/>
            <w:tcMar>
              <w:top w:w="0" w:type="dxa"/>
              <w:left w:w="108" w:type="dxa"/>
              <w:bottom w:w="0" w:type="dxa"/>
              <w:right w:w="108" w:type="dxa"/>
            </w:tcMar>
            <w:vAlign w:val="center"/>
          </w:tcPr>
          <w:p w14:paraId="3DBDF79E" w14:textId="09C309BA" w:rsidR="001F46D8" w:rsidRDefault="001F46D8" w:rsidP="00521EEC">
            <w:pPr>
              <w:spacing w:before="40" w:after="0" w:line="240" w:lineRule="auto"/>
              <w:rPr>
                <w:rFonts w:ascii="Arial" w:hAnsi="Arial" w:cs="Arial"/>
                <w:sz w:val="18"/>
                <w:szCs w:val="18"/>
              </w:rPr>
            </w:pPr>
            <w:r>
              <w:rPr>
                <w:rFonts w:ascii="Arial" w:hAnsi="Arial" w:cs="Arial"/>
                <w:sz w:val="18"/>
                <w:szCs w:val="18"/>
              </w:rPr>
              <w:t>Lower Quartile</w:t>
            </w:r>
          </w:p>
        </w:tc>
        <w:tc>
          <w:tcPr>
            <w:tcW w:w="3600" w:type="dxa"/>
          </w:tcPr>
          <w:p w14:paraId="4397A5F2" w14:textId="11595BE4" w:rsidR="001F46D8" w:rsidRPr="0034119E" w:rsidRDefault="00B537E2" w:rsidP="00521EEC">
            <w:pPr>
              <w:spacing w:before="40" w:after="0" w:line="240" w:lineRule="auto"/>
              <w:ind w:left="360"/>
              <w:rPr>
                <w:rFonts w:ascii="Arial" w:hAnsi="Arial" w:cs="Arial"/>
                <w:sz w:val="18"/>
                <w:szCs w:val="18"/>
              </w:rPr>
            </w:pPr>
            <w:r>
              <w:rPr>
                <w:rFonts w:ascii="Arial" w:hAnsi="Arial" w:cs="Arial"/>
                <w:sz w:val="18"/>
                <w:szCs w:val="18"/>
              </w:rPr>
              <w:t>Lower quartile method is used to estimate costs as the lower quartile of a defined range.</w:t>
            </w:r>
          </w:p>
        </w:tc>
        <w:tc>
          <w:tcPr>
            <w:tcW w:w="2448" w:type="dxa"/>
            <w:vAlign w:val="center"/>
          </w:tcPr>
          <w:p w14:paraId="663A4C14" w14:textId="11697D9F" w:rsidR="001F46D8" w:rsidRPr="00DD7DD3" w:rsidRDefault="00B537E2" w:rsidP="00521EEC">
            <w:pPr>
              <w:spacing w:before="40" w:after="0" w:line="240" w:lineRule="auto"/>
              <w:ind w:left="360"/>
              <w:rPr>
                <w:rFonts w:ascii="Arial" w:hAnsi="Arial" w:cs="Arial"/>
                <w:sz w:val="18"/>
                <w:szCs w:val="18"/>
              </w:rPr>
            </w:pPr>
            <w:r>
              <w:rPr>
                <w:rFonts w:ascii="Arial" w:hAnsi="Arial" w:cs="Arial"/>
                <w:sz w:val="18"/>
                <w:szCs w:val="18"/>
              </w:rPr>
              <w:t>Can account for contractor mark-ups</w:t>
            </w:r>
          </w:p>
        </w:tc>
        <w:tc>
          <w:tcPr>
            <w:tcW w:w="2448" w:type="dxa"/>
            <w:vAlign w:val="center"/>
          </w:tcPr>
          <w:p w14:paraId="779A60C3" w14:textId="238A38B6" w:rsidR="001F46D8" w:rsidRPr="0074369D" w:rsidRDefault="00B537E2" w:rsidP="00521EEC">
            <w:pPr>
              <w:spacing w:before="40" w:after="0" w:line="240" w:lineRule="auto"/>
              <w:ind w:left="90"/>
              <w:rPr>
                <w:rFonts w:ascii="Arial" w:hAnsi="Arial" w:cs="Arial"/>
                <w:sz w:val="18"/>
                <w:szCs w:val="18"/>
              </w:rPr>
            </w:pPr>
            <w:r>
              <w:rPr>
                <w:rFonts w:ascii="Arial" w:hAnsi="Arial" w:cs="Arial"/>
                <w:sz w:val="18"/>
                <w:szCs w:val="18"/>
              </w:rPr>
              <w:t>Limited applicability</w:t>
            </w:r>
          </w:p>
        </w:tc>
        <w:tc>
          <w:tcPr>
            <w:tcW w:w="2448" w:type="dxa"/>
          </w:tcPr>
          <w:p w14:paraId="06530F3B" w14:textId="3817D40D" w:rsidR="001F46D8" w:rsidRPr="0074369D" w:rsidRDefault="00B537E2" w:rsidP="00521EEC">
            <w:pPr>
              <w:spacing w:before="40" w:after="0" w:line="240" w:lineRule="auto"/>
              <w:ind w:left="360"/>
              <w:rPr>
                <w:rFonts w:ascii="Arial" w:hAnsi="Arial" w:cs="Arial"/>
                <w:sz w:val="18"/>
                <w:szCs w:val="18"/>
              </w:rPr>
            </w:pPr>
            <w:r>
              <w:rPr>
                <w:rFonts w:ascii="Arial" w:hAnsi="Arial" w:cs="Arial"/>
                <w:sz w:val="18"/>
                <w:szCs w:val="18"/>
              </w:rPr>
              <w:t>Competitive pricing (contractor bids) when lower bids are more representative of actual prices paid</w:t>
            </w:r>
          </w:p>
        </w:tc>
      </w:tr>
      <w:tr w:rsidR="001F46D8" w:rsidRPr="00DD7DD3" w14:paraId="37323A49" w14:textId="77777777" w:rsidTr="00521EEC">
        <w:trPr>
          <w:cantSplit/>
        </w:trPr>
        <w:tc>
          <w:tcPr>
            <w:tcW w:w="2016" w:type="dxa"/>
            <w:shd w:val="clear" w:color="auto" w:fill="auto"/>
            <w:tcMar>
              <w:top w:w="0" w:type="dxa"/>
              <w:left w:w="108" w:type="dxa"/>
              <w:bottom w:w="0" w:type="dxa"/>
              <w:right w:w="108" w:type="dxa"/>
            </w:tcMar>
            <w:vAlign w:val="center"/>
          </w:tcPr>
          <w:p w14:paraId="01B4F24C" w14:textId="304A6B55" w:rsidR="001F46D8" w:rsidRDefault="001F46D8" w:rsidP="00521EEC">
            <w:pPr>
              <w:keepNext/>
              <w:keepLines/>
              <w:spacing w:before="40" w:after="0" w:line="240" w:lineRule="auto"/>
              <w:rPr>
                <w:rFonts w:ascii="Arial" w:hAnsi="Arial" w:cs="Arial"/>
                <w:sz w:val="18"/>
                <w:szCs w:val="18"/>
              </w:rPr>
            </w:pPr>
            <w:r>
              <w:rPr>
                <w:rFonts w:ascii="Arial" w:hAnsi="Arial" w:cs="Arial"/>
                <w:sz w:val="18"/>
                <w:szCs w:val="18"/>
              </w:rPr>
              <w:t>Add method</w:t>
            </w:r>
          </w:p>
        </w:tc>
        <w:tc>
          <w:tcPr>
            <w:tcW w:w="3600" w:type="dxa"/>
          </w:tcPr>
          <w:p w14:paraId="6C2D5E9F" w14:textId="77777777" w:rsidR="001F46D8" w:rsidRPr="0034119E" w:rsidRDefault="001F46D8" w:rsidP="00521EEC">
            <w:pPr>
              <w:keepNext/>
              <w:keepLines/>
              <w:spacing w:before="40" w:after="0" w:line="240" w:lineRule="auto"/>
              <w:ind w:left="360"/>
              <w:rPr>
                <w:rFonts w:ascii="Arial" w:hAnsi="Arial" w:cs="Arial"/>
                <w:sz w:val="18"/>
                <w:szCs w:val="18"/>
              </w:rPr>
            </w:pPr>
          </w:p>
        </w:tc>
        <w:tc>
          <w:tcPr>
            <w:tcW w:w="2448" w:type="dxa"/>
            <w:vAlign w:val="center"/>
          </w:tcPr>
          <w:p w14:paraId="15BFEFB4" w14:textId="68505081" w:rsidR="001F46D8" w:rsidRPr="00A050CB" w:rsidRDefault="001F46D8" w:rsidP="00521EEC">
            <w:pPr>
              <w:keepNext/>
              <w:keepLines/>
              <w:spacing w:before="40" w:after="0" w:line="240" w:lineRule="auto"/>
              <w:ind w:left="360"/>
              <w:rPr>
                <w:rFonts w:ascii="Arial" w:hAnsi="Arial" w:cs="Arial"/>
                <w:sz w:val="18"/>
                <w:szCs w:val="18"/>
              </w:rPr>
            </w:pPr>
          </w:p>
        </w:tc>
        <w:tc>
          <w:tcPr>
            <w:tcW w:w="2448" w:type="dxa"/>
            <w:vAlign w:val="center"/>
          </w:tcPr>
          <w:p w14:paraId="7F5B98AB" w14:textId="77777777" w:rsidR="001F46D8" w:rsidRPr="0074369D" w:rsidRDefault="001F46D8" w:rsidP="00521EEC">
            <w:pPr>
              <w:keepNext/>
              <w:keepLines/>
              <w:spacing w:before="40" w:after="0" w:line="240" w:lineRule="auto"/>
              <w:ind w:left="90"/>
              <w:rPr>
                <w:rFonts w:ascii="Arial" w:hAnsi="Arial" w:cs="Arial"/>
                <w:sz w:val="18"/>
                <w:szCs w:val="18"/>
              </w:rPr>
            </w:pPr>
          </w:p>
        </w:tc>
        <w:tc>
          <w:tcPr>
            <w:tcW w:w="2448" w:type="dxa"/>
          </w:tcPr>
          <w:p w14:paraId="77FCC583" w14:textId="77777777" w:rsidR="001F46D8" w:rsidRDefault="001F46D8" w:rsidP="00521EEC">
            <w:pPr>
              <w:keepNext/>
              <w:keepLines/>
              <w:spacing w:before="40" w:after="0" w:line="240" w:lineRule="auto"/>
              <w:ind w:left="360"/>
              <w:rPr>
                <w:rFonts w:ascii="Arial" w:hAnsi="Arial" w:cs="Arial"/>
                <w:sz w:val="18"/>
                <w:szCs w:val="18"/>
              </w:rPr>
            </w:pPr>
          </w:p>
        </w:tc>
      </w:tr>
      <w:tr w:rsidR="001F46D8" w:rsidRPr="00DD7DD3" w14:paraId="03FB6F24" w14:textId="77777777" w:rsidTr="00521EEC">
        <w:trPr>
          <w:cantSplit/>
        </w:trPr>
        <w:tc>
          <w:tcPr>
            <w:tcW w:w="2016" w:type="dxa"/>
            <w:shd w:val="clear" w:color="auto" w:fill="auto"/>
            <w:tcMar>
              <w:top w:w="0" w:type="dxa"/>
              <w:left w:w="108" w:type="dxa"/>
              <w:bottom w:w="0" w:type="dxa"/>
              <w:right w:w="108" w:type="dxa"/>
            </w:tcMar>
            <w:vAlign w:val="center"/>
          </w:tcPr>
          <w:p w14:paraId="33AF08F4" w14:textId="283AFBBC" w:rsidR="001F46D8" w:rsidRDefault="001F46D8" w:rsidP="00521EEC">
            <w:pPr>
              <w:keepNext/>
              <w:keepLines/>
              <w:spacing w:before="40" w:after="0" w:line="240" w:lineRule="auto"/>
              <w:rPr>
                <w:rFonts w:ascii="Arial" w:hAnsi="Arial" w:cs="Arial"/>
                <w:sz w:val="18"/>
                <w:szCs w:val="18"/>
              </w:rPr>
            </w:pPr>
            <w:r>
              <w:rPr>
                <w:rFonts w:ascii="Arial" w:hAnsi="Arial" w:cs="Arial"/>
                <w:sz w:val="18"/>
                <w:szCs w:val="18"/>
              </w:rPr>
              <w:t>Add method</w:t>
            </w:r>
          </w:p>
        </w:tc>
        <w:tc>
          <w:tcPr>
            <w:tcW w:w="3600" w:type="dxa"/>
          </w:tcPr>
          <w:p w14:paraId="7A1DE19F" w14:textId="77777777" w:rsidR="001F46D8" w:rsidRPr="0034119E" w:rsidRDefault="001F46D8" w:rsidP="00521EEC">
            <w:pPr>
              <w:keepNext/>
              <w:keepLines/>
              <w:spacing w:before="40" w:after="0" w:line="240" w:lineRule="auto"/>
              <w:ind w:left="360"/>
              <w:rPr>
                <w:rFonts w:ascii="Arial" w:hAnsi="Arial" w:cs="Arial"/>
                <w:sz w:val="18"/>
                <w:szCs w:val="18"/>
              </w:rPr>
            </w:pPr>
          </w:p>
        </w:tc>
        <w:tc>
          <w:tcPr>
            <w:tcW w:w="2448" w:type="dxa"/>
            <w:vAlign w:val="center"/>
          </w:tcPr>
          <w:p w14:paraId="5CF7406C" w14:textId="2393D9F9" w:rsidR="001F46D8" w:rsidRPr="00A050CB" w:rsidRDefault="001F46D8" w:rsidP="00521EEC">
            <w:pPr>
              <w:keepNext/>
              <w:keepLines/>
              <w:spacing w:before="40" w:after="0" w:line="240" w:lineRule="auto"/>
              <w:ind w:left="360"/>
              <w:rPr>
                <w:rFonts w:ascii="Arial" w:hAnsi="Arial" w:cs="Arial"/>
                <w:sz w:val="18"/>
                <w:szCs w:val="18"/>
              </w:rPr>
            </w:pPr>
          </w:p>
        </w:tc>
        <w:tc>
          <w:tcPr>
            <w:tcW w:w="2448" w:type="dxa"/>
            <w:vAlign w:val="center"/>
          </w:tcPr>
          <w:p w14:paraId="146F4987" w14:textId="77777777" w:rsidR="001F46D8" w:rsidRPr="0074369D" w:rsidRDefault="001F46D8" w:rsidP="00521EEC">
            <w:pPr>
              <w:keepNext/>
              <w:keepLines/>
              <w:spacing w:before="40" w:after="0" w:line="240" w:lineRule="auto"/>
              <w:ind w:left="90"/>
              <w:rPr>
                <w:rFonts w:ascii="Arial" w:hAnsi="Arial" w:cs="Arial"/>
                <w:sz w:val="18"/>
                <w:szCs w:val="18"/>
              </w:rPr>
            </w:pPr>
          </w:p>
        </w:tc>
        <w:tc>
          <w:tcPr>
            <w:tcW w:w="2448" w:type="dxa"/>
          </w:tcPr>
          <w:p w14:paraId="0C646ECD" w14:textId="77777777" w:rsidR="001F46D8" w:rsidRDefault="001F46D8" w:rsidP="00521EEC">
            <w:pPr>
              <w:keepNext/>
              <w:keepLines/>
              <w:spacing w:before="40" w:after="0" w:line="240" w:lineRule="auto"/>
              <w:ind w:left="360"/>
              <w:rPr>
                <w:rFonts w:ascii="Arial" w:hAnsi="Arial" w:cs="Arial"/>
                <w:sz w:val="18"/>
                <w:szCs w:val="18"/>
              </w:rPr>
            </w:pPr>
          </w:p>
        </w:tc>
      </w:tr>
    </w:tbl>
    <w:p w14:paraId="6B0CC173" w14:textId="578CB451" w:rsidR="008C0A94" w:rsidRDefault="008C0A94"/>
    <w:p w14:paraId="3AB2E280" w14:textId="77777777" w:rsidR="00521EEC" w:rsidRDefault="00521EEC" w:rsidP="00521EEC">
      <w:pPr>
        <w:pStyle w:val="Caption"/>
      </w:pPr>
      <w:r>
        <w:t>References</w:t>
      </w:r>
    </w:p>
    <w:p w14:paraId="7BA81F0A" w14:textId="77777777" w:rsidR="00521EEC" w:rsidRPr="00F37155" w:rsidRDefault="00521EEC" w:rsidP="00521EEC">
      <w:pPr>
        <w:rPr>
          <w:sz w:val="20"/>
          <w:szCs w:val="22"/>
        </w:rPr>
      </w:pPr>
      <w:r w:rsidRPr="00F37155">
        <w:rPr>
          <w:sz w:val="20"/>
          <w:szCs w:val="22"/>
        </w:rPr>
        <w:t xml:space="preserve">Ting, M., M. </w:t>
      </w:r>
      <w:proofErr w:type="spellStart"/>
      <w:r w:rsidRPr="00F37155">
        <w:rPr>
          <w:sz w:val="20"/>
          <w:szCs w:val="22"/>
        </w:rPr>
        <w:t>Rufo</w:t>
      </w:r>
      <w:proofErr w:type="spellEnd"/>
      <w:r w:rsidRPr="00F37155">
        <w:rPr>
          <w:sz w:val="20"/>
          <w:szCs w:val="22"/>
        </w:rPr>
        <w:t xml:space="preserve">, and J. </w:t>
      </w:r>
      <w:proofErr w:type="spellStart"/>
      <w:r w:rsidRPr="00F37155">
        <w:rPr>
          <w:sz w:val="20"/>
          <w:szCs w:val="22"/>
        </w:rPr>
        <w:t>Loper</w:t>
      </w:r>
      <w:proofErr w:type="spellEnd"/>
      <w:r w:rsidRPr="00F37155">
        <w:rPr>
          <w:sz w:val="20"/>
          <w:szCs w:val="22"/>
        </w:rPr>
        <w:t>. 2013. “Measure costs – the forgotten child of energy efficiency analysis.” ECEEE Summer Study Proceedings. Pp. 2081 – 2091.</w:t>
      </w:r>
    </w:p>
    <w:p w14:paraId="7BBBBAF7" w14:textId="77777777" w:rsidR="00521EEC" w:rsidRPr="00F37155" w:rsidRDefault="00521EEC" w:rsidP="00521EEC">
      <w:pPr>
        <w:rPr>
          <w:sz w:val="20"/>
          <w:szCs w:val="22"/>
        </w:rPr>
      </w:pPr>
      <w:r w:rsidRPr="00F37155">
        <w:rPr>
          <w:sz w:val="20"/>
          <w:szCs w:val="22"/>
        </w:rPr>
        <w:t>Ting, M. (Itron, Inc.) 2014. “Energy Efficiency Measure Cost Studies.” SEE Action Webinar – EM&amp;V Working Group. September 24.</w:t>
      </w:r>
    </w:p>
    <w:p w14:paraId="6C008B24" w14:textId="77777777" w:rsidR="00521EEC" w:rsidRPr="00F37155" w:rsidRDefault="00521EEC" w:rsidP="00521EEC">
      <w:pPr>
        <w:rPr>
          <w:sz w:val="20"/>
          <w:szCs w:val="22"/>
        </w:rPr>
      </w:pPr>
      <w:r w:rsidRPr="00F37155">
        <w:rPr>
          <w:sz w:val="20"/>
          <w:szCs w:val="22"/>
        </w:rPr>
        <w:t xml:space="preserve">Itron, Inc. 2014. </w:t>
      </w:r>
      <w:r w:rsidRPr="00F37155">
        <w:rPr>
          <w:rStyle w:val="Emphasis"/>
          <w:sz w:val="20"/>
          <w:szCs w:val="22"/>
        </w:rPr>
        <w:t xml:space="preserve">2010-2012 WO017 Ex Ante Measure Cost Study Final Report. </w:t>
      </w:r>
      <w:r w:rsidRPr="00F37155">
        <w:rPr>
          <w:sz w:val="20"/>
          <w:szCs w:val="22"/>
        </w:rPr>
        <w:t>Prepared for the California Public Utilities Commission.  </w:t>
      </w:r>
    </w:p>
    <w:p w14:paraId="6BE6D631" w14:textId="77777777" w:rsidR="00521EEC" w:rsidRPr="00F37155" w:rsidRDefault="00521EEC" w:rsidP="00521EEC">
      <w:pPr>
        <w:rPr>
          <w:sz w:val="20"/>
          <w:szCs w:val="22"/>
        </w:rPr>
      </w:pPr>
      <w:r w:rsidRPr="00F37155">
        <w:rPr>
          <w:sz w:val="20"/>
          <w:szCs w:val="22"/>
        </w:rPr>
        <w:t>Cal TF Staff analysis of approved statewide measures.</w:t>
      </w:r>
    </w:p>
    <w:p w14:paraId="11B40838" w14:textId="77777777" w:rsidR="00521EEC" w:rsidRPr="00F37155" w:rsidRDefault="00521EEC" w:rsidP="00521EEC">
      <w:pPr>
        <w:rPr>
          <w:sz w:val="20"/>
          <w:szCs w:val="22"/>
        </w:rPr>
      </w:pPr>
      <w:r w:rsidRPr="00F37155">
        <w:rPr>
          <w:sz w:val="20"/>
          <w:szCs w:val="22"/>
        </w:rPr>
        <w:t>Regional Technical Forum (RTF). 2015. Roadmap for the Assessment of Energy Efficiency Measures. December 8.</w:t>
      </w:r>
    </w:p>
    <w:p w14:paraId="519DC713" w14:textId="77777777" w:rsidR="00D75523" w:rsidRDefault="00D75523" w:rsidP="00521EEC">
      <w:pPr>
        <w:pStyle w:val="FootnoteText"/>
      </w:pPr>
    </w:p>
    <w:sectPr w:rsidR="00D75523" w:rsidSect="00BE1F27">
      <w:headerReference w:type="even" r:id="rId10"/>
      <w:headerReference w:type="default" r:id="rId11"/>
      <w:footerReference w:type="even" r:id="rId12"/>
      <w:footerReference w:type="default" r:id="rId13"/>
      <w:headerReference w:type="first" r:id="rId14"/>
      <w:footerReference w:type="first" r:id="rId15"/>
      <w:endnotePr>
        <w:numFmt w:val="decimal"/>
      </w:endnotePr>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DF48D" w14:textId="77777777" w:rsidR="006535D9" w:rsidRDefault="006535D9" w:rsidP="00BE1F27">
      <w:pPr>
        <w:spacing w:before="0" w:after="0" w:line="240" w:lineRule="auto"/>
      </w:pPr>
      <w:r>
        <w:separator/>
      </w:r>
    </w:p>
  </w:endnote>
  <w:endnote w:type="continuationSeparator" w:id="0">
    <w:p w14:paraId="79311247" w14:textId="77777777" w:rsidR="006535D9" w:rsidRDefault="006535D9" w:rsidP="00BE1F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01F5" w14:textId="77777777" w:rsidR="00BE1F27" w:rsidRDefault="00BE1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CE46" w14:textId="77777777" w:rsidR="0039692D" w:rsidRPr="002B74FA" w:rsidRDefault="0040490E" w:rsidP="002B74FA">
    <w:pPr>
      <w:tabs>
        <w:tab w:val="left" w:pos="900"/>
        <w:tab w:val="right" w:pos="9360"/>
      </w:tabs>
      <w:jc w:val="center"/>
      <w:rPr>
        <w:rFonts w:eastAsia="MS PMincho" w:cs="Arial"/>
        <w:color w:val="3B3838" w:themeColor="background2" w:themeShade="40"/>
        <w:sz w:val="18"/>
        <w:szCs w:val="18"/>
      </w:rPr>
    </w:pPr>
    <w:r>
      <w:rPr>
        <w:rFonts w:ascii="Arial" w:eastAsia="MS PMincho" w:hAnsi="Arial" w:cs="Arial"/>
        <w:color w:val="404040" w:themeColor="text1" w:themeTint="BF"/>
        <w:sz w:val="18"/>
        <w:szCs w:val="18"/>
      </w:rPr>
      <w:t>A-</w:t>
    </w:r>
    <w:r w:rsidRPr="006A4EFF">
      <w:rPr>
        <w:rFonts w:ascii="Arial" w:eastAsia="MS PMincho" w:hAnsi="Arial" w:cs="Arial"/>
        <w:color w:val="404040" w:themeColor="text1" w:themeTint="BF"/>
        <w:sz w:val="18"/>
        <w:szCs w:val="18"/>
      </w:rPr>
      <w:fldChar w:fldCharType="begin"/>
    </w:r>
    <w:r w:rsidRPr="006A4EFF">
      <w:rPr>
        <w:rFonts w:ascii="Arial" w:eastAsia="MS PMincho" w:hAnsi="Arial" w:cs="Arial"/>
        <w:color w:val="404040" w:themeColor="text1" w:themeTint="BF"/>
        <w:sz w:val="18"/>
        <w:szCs w:val="18"/>
      </w:rPr>
      <w:instrText xml:space="preserve"> PAGE </w:instrText>
    </w:r>
    <w:r w:rsidRPr="006A4EFF">
      <w:rPr>
        <w:rFonts w:ascii="Arial" w:eastAsia="MS PMincho" w:hAnsi="Arial" w:cs="Arial"/>
        <w:color w:val="404040" w:themeColor="text1" w:themeTint="BF"/>
        <w:sz w:val="18"/>
        <w:szCs w:val="18"/>
      </w:rPr>
      <w:fldChar w:fldCharType="separate"/>
    </w:r>
    <w:r>
      <w:rPr>
        <w:rFonts w:ascii="Arial" w:eastAsia="MS PMincho" w:hAnsi="Arial" w:cs="Arial"/>
        <w:color w:val="404040" w:themeColor="text1" w:themeTint="BF"/>
        <w:sz w:val="18"/>
        <w:szCs w:val="18"/>
      </w:rPr>
      <w:t>1</w:t>
    </w:r>
    <w:r w:rsidRPr="006A4EFF">
      <w:rPr>
        <w:rFonts w:ascii="Arial" w:eastAsia="MS PMincho" w:hAnsi="Arial" w:cs="Arial"/>
        <w:color w:val="404040" w:themeColor="text1" w:themeTint="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7673" w14:textId="77777777" w:rsidR="0039692D" w:rsidRPr="004C7DB6" w:rsidRDefault="0040490E" w:rsidP="002D14CE">
    <w:pPr>
      <w:tabs>
        <w:tab w:val="left" w:pos="900"/>
        <w:tab w:val="right" w:pos="9360"/>
      </w:tabs>
      <w:jc w:val="center"/>
      <w:rPr>
        <w:rFonts w:eastAsia="MS PMincho" w:cs="Arial"/>
        <w:color w:val="3B3838" w:themeColor="background2" w:themeShade="40"/>
        <w:sz w:val="18"/>
        <w:szCs w:val="18"/>
      </w:rPr>
    </w:pPr>
    <w:r>
      <w:rPr>
        <w:rFonts w:ascii="Arial" w:eastAsia="MS PMincho" w:hAnsi="Arial" w:cs="Arial"/>
        <w:color w:val="404040" w:themeColor="text1" w:themeTint="BF"/>
        <w:sz w:val="18"/>
        <w:szCs w:val="18"/>
      </w:rPr>
      <w:t>A-</w:t>
    </w:r>
    <w:r w:rsidRPr="006A4EFF">
      <w:rPr>
        <w:rFonts w:ascii="Arial" w:eastAsia="MS PMincho" w:hAnsi="Arial" w:cs="Arial"/>
        <w:color w:val="404040" w:themeColor="text1" w:themeTint="BF"/>
        <w:sz w:val="18"/>
        <w:szCs w:val="18"/>
      </w:rPr>
      <w:fldChar w:fldCharType="begin"/>
    </w:r>
    <w:r w:rsidRPr="006A4EFF">
      <w:rPr>
        <w:rFonts w:ascii="Arial" w:eastAsia="MS PMincho" w:hAnsi="Arial" w:cs="Arial"/>
        <w:color w:val="404040" w:themeColor="text1" w:themeTint="BF"/>
        <w:sz w:val="18"/>
        <w:szCs w:val="18"/>
      </w:rPr>
      <w:instrText xml:space="preserve"> PAGE </w:instrText>
    </w:r>
    <w:r w:rsidRPr="006A4EFF">
      <w:rPr>
        <w:rFonts w:ascii="Arial" w:eastAsia="MS PMincho" w:hAnsi="Arial" w:cs="Arial"/>
        <w:color w:val="404040" w:themeColor="text1" w:themeTint="BF"/>
        <w:sz w:val="18"/>
        <w:szCs w:val="18"/>
      </w:rPr>
      <w:fldChar w:fldCharType="separate"/>
    </w:r>
    <w:r>
      <w:rPr>
        <w:rFonts w:ascii="Arial" w:eastAsia="MS PMincho" w:hAnsi="Arial" w:cs="Arial"/>
        <w:color w:val="404040" w:themeColor="text1" w:themeTint="BF"/>
        <w:sz w:val="18"/>
        <w:szCs w:val="18"/>
      </w:rPr>
      <w:t>19</w:t>
    </w:r>
    <w:r w:rsidRPr="006A4EFF">
      <w:rPr>
        <w:rFonts w:ascii="Arial" w:eastAsia="MS PMincho" w:hAnsi="Arial" w:cs="Arial"/>
        <w:color w:val="404040" w:themeColor="text1" w:themeTint="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3BBFC" w14:textId="77777777" w:rsidR="006535D9" w:rsidRDefault="006535D9" w:rsidP="00BE1F27">
      <w:pPr>
        <w:spacing w:before="0" w:after="0" w:line="240" w:lineRule="auto"/>
      </w:pPr>
      <w:r>
        <w:separator/>
      </w:r>
    </w:p>
  </w:footnote>
  <w:footnote w:type="continuationSeparator" w:id="0">
    <w:p w14:paraId="3D807660" w14:textId="77777777" w:rsidR="006535D9" w:rsidRDefault="006535D9" w:rsidP="00BE1F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22D9" w14:textId="47172F83" w:rsidR="0039692D" w:rsidRDefault="006535D9">
    <w:pPr>
      <w:pStyle w:val="Header"/>
    </w:pPr>
    <w:r>
      <w:rPr>
        <w:noProof/>
      </w:rPr>
      <w:pict w14:anchorId="4EAC6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515126" o:spid="_x0000_s2051" type="#_x0000_t136" style="position:absolute;left:0;text-align:left;margin-left:0;margin-top:0;width:549.9pt;height:109.95pt;rotation:315;z-index:-251655168;mso-position-horizontal:center;mso-position-horizontal-relative:margin;mso-position-vertical:center;mso-position-vertical-relative:margin" o:allowincell="f" fillcolor="silver" stroked="f">
          <v:fill opacity=".5"/>
          <v:textpath style="font-family:&quot;Arial&quot;;font-size:1pt" string="D R A F 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5343" w14:textId="0D2D0049" w:rsidR="0039692D" w:rsidRPr="00126EE8" w:rsidRDefault="006535D9" w:rsidP="00126EE8">
    <w:pPr>
      <w:pStyle w:val="Header"/>
    </w:pPr>
    <w:r>
      <w:rPr>
        <w:noProof/>
      </w:rPr>
      <w:pict w14:anchorId="320537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515127" o:spid="_x0000_s2052" type="#_x0000_t136" style="position:absolute;left:0;text-align:left;margin-left:0;margin-top:0;width:549.9pt;height:109.95pt;rotation:315;z-index:-251653120;mso-position-horizontal:center;mso-position-horizontal-relative:margin;mso-position-vertical:center;mso-position-vertical-relative:margin" o:allowincell="f" fillcolor="silver" stroked="f">
          <v:fill opacity=".5"/>
          <v:textpath style="font-family:&quot;Arial&quot;;font-size:1pt" string="D R A F 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9EA7" w14:textId="7C0EF84F" w:rsidR="0039692D" w:rsidRDefault="006535D9" w:rsidP="002D14CE">
    <w:pPr>
      <w:jc w:val="center"/>
    </w:pPr>
    <w:r>
      <w:rPr>
        <w:noProof/>
      </w:rPr>
      <w:pict w14:anchorId="71EF1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515125" o:spid="_x0000_s2050" type="#_x0000_t136" style="position:absolute;left:0;text-align:left;margin-left:0;margin-top:0;width:549.9pt;height:109.95pt;rotation:315;z-index:-251657216;mso-position-horizontal:center;mso-position-horizontal-relative:margin;mso-position-vertical:center;mso-position-vertical-relative:margin" o:allowincell="f" fillcolor="silver" stroked="f">
          <v:fill opacity=".5"/>
          <v:textpath style="font-family:&quot;Arial&quot;;font-size:1pt" string="D R A F 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07CC0"/>
    <w:multiLevelType w:val="hybridMultilevel"/>
    <w:tmpl w:val="4D52D76E"/>
    <w:lvl w:ilvl="0" w:tplc="437EA2FE">
      <w:start w:val="1"/>
      <w:numFmt w:val="bullet"/>
      <w:lvlText w:val=""/>
      <w:lvlJc w:val="left"/>
      <w:pPr>
        <w:tabs>
          <w:tab w:val="num" w:pos="720"/>
        </w:tabs>
        <w:ind w:left="720" w:hanging="360"/>
      </w:pPr>
      <w:rPr>
        <w:rFonts w:ascii="Wingdings" w:hAnsi="Wingdings" w:hint="default"/>
      </w:rPr>
    </w:lvl>
    <w:lvl w:ilvl="1" w:tplc="564E60A6" w:tentative="1">
      <w:start w:val="1"/>
      <w:numFmt w:val="bullet"/>
      <w:lvlText w:val=""/>
      <w:lvlJc w:val="left"/>
      <w:pPr>
        <w:tabs>
          <w:tab w:val="num" w:pos="1440"/>
        </w:tabs>
        <w:ind w:left="1440" w:hanging="360"/>
      </w:pPr>
      <w:rPr>
        <w:rFonts w:ascii="Wingdings" w:hAnsi="Wingdings" w:hint="default"/>
      </w:rPr>
    </w:lvl>
    <w:lvl w:ilvl="2" w:tplc="36AAA7B8" w:tentative="1">
      <w:start w:val="1"/>
      <w:numFmt w:val="bullet"/>
      <w:lvlText w:val=""/>
      <w:lvlJc w:val="left"/>
      <w:pPr>
        <w:tabs>
          <w:tab w:val="num" w:pos="2160"/>
        </w:tabs>
        <w:ind w:left="2160" w:hanging="360"/>
      </w:pPr>
      <w:rPr>
        <w:rFonts w:ascii="Wingdings" w:hAnsi="Wingdings" w:hint="default"/>
      </w:rPr>
    </w:lvl>
    <w:lvl w:ilvl="3" w:tplc="CC8A5DF4" w:tentative="1">
      <w:start w:val="1"/>
      <w:numFmt w:val="bullet"/>
      <w:lvlText w:val=""/>
      <w:lvlJc w:val="left"/>
      <w:pPr>
        <w:tabs>
          <w:tab w:val="num" w:pos="2880"/>
        </w:tabs>
        <w:ind w:left="2880" w:hanging="360"/>
      </w:pPr>
      <w:rPr>
        <w:rFonts w:ascii="Wingdings" w:hAnsi="Wingdings" w:hint="default"/>
      </w:rPr>
    </w:lvl>
    <w:lvl w:ilvl="4" w:tplc="F6BE5A4C" w:tentative="1">
      <w:start w:val="1"/>
      <w:numFmt w:val="bullet"/>
      <w:lvlText w:val=""/>
      <w:lvlJc w:val="left"/>
      <w:pPr>
        <w:tabs>
          <w:tab w:val="num" w:pos="3600"/>
        </w:tabs>
        <w:ind w:left="3600" w:hanging="360"/>
      </w:pPr>
      <w:rPr>
        <w:rFonts w:ascii="Wingdings" w:hAnsi="Wingdings" w:hint="default"/>
      </w:rPr>
    </w:lvl>
    <w:lvl w:ilvl="5" w:tplc="83AC048C" w:tentative="1">
      <w:start w:val="1"/>
      <w:numFmt w:val="bullet"/>
      <w:lvlText w:val=""/>
      <w:lvlJc w:val="left"/>
      <w:pPr>
        <w:tabs>
          <w:tab w:val="num" w:pos="4320"/>
        </w:tabs>
        <w:ind w:left="4320" w:hanging="360"/>
      </w:pPr>
      <w:rPr>
        <w:rFonts w:ascii="Wingdings" w:hAnsi="Wingdings" w:hint="default"/>
      </w:rPr>
    </w:lvl>
    <w:lvl w:ilvl="6" w:tplc="DFD0EABA" w:tentative="1">
      <w:start w:val="1"/>
      <w:numFmt w:val="bullet"/>
      <w:lvlText w:val=""/>
      <w:lvlJc w:val="left"/>
      <w:pPr>
        <w:tabs>
          <w:tab w:val="num" w:pos="5040"/>
        </w:tabs>
        <w:ind w:left="5040" w:hanging="360"/>
      </w:pPr>
      <w:rPr>
        <w:rFonts w:ascii="Wingdings" w:hAnsi="Wingdings" w:hint="default"/>
      </w:rPr>
    </w:lvl>
    <w:lvl w:ilvl="7" w:tplc="84F04ABE" w:tentative="1">
      <w:start w:val="1"/>
      <w:numFmt w:val="bullet"/>
      <w:lvlText w:val=""/>
      <w:lvlJc w:val="left"/>
      <w:pPr>
        <w:tabs>
          <w:tab w:val="num" w:pos="5760"/>
        </w:tabs>
        <w:ind w:left="5760" w:hanging="360"/>
      </w:pPr>
      <w:rPr>
        <w:rFonts w:ascii="Wingdings" w:hAnsi="Wingdings" w:hint="default"/>
      </w:rPr>
    </w:lvl>
    <w:lvl w:ilvl="8" w:tplc="D6F0578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9D"/>
    <w:rsid w:val="001F46D8"/>
    <w:rsid w:val="0034119E"/>
    <w:rsid w:val="00370256"/>
    <w:rsid w:val="0040490E"/>
    <w:rsid w:val="00463545"/>
    <w:rsid w:val="00471252"/>
    <w:rsid w:val="00521EEC"/>
    <w:rsid w:val="00551BA1"/>
    <w:rsid w:val="006535D9"/>
    <w:rsid w:val="0074369D"/>
    <w:rsid w:val="008C0A94"/>
    <w:rsid w:val="00A050CB"/>
    <w:rsid w:val="00B537E2"/>
    <w:rsid w:val="00BE1F27"/>
    <w:rsid w:val="00BE3E4E"/>
    <w:rsid w:val="00D01080"/>
    <w:rsid w:val="00D75523"/>
    <w:rsid w:val="00E87385"/>
    <w:rsid w:val="00F3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5419D4"/>
  <w15:chartTrackingRefBased/>
  <w15:docId w15:val="{A3A80C98-F538-4D37-9754-2210384A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69D"/>
    <w:pPr>
      <w:spacing w:before="120" w:after="120" w:line="26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eTRM Caption"/>
    <w:basedOn w:val="Normal"/>
    <w:next w:val="Normal"/>
    <w:link w:val="CaptionChar"/>
    <w:autoRedefine/>
    <w:unhideWhenUsed/>
    <w:qFormat/>
    <w:rsid w:val="0074369D"/>
    <w:pPr>
      <w:keepNext/>
      <w:keepLines/>
      <w:spacing w:before="280" w:line="200" w:lineRule="atLeast"/>
    </w:pPr>
    <w:rPr>
      <w:rFonts w:ascii="Arial" w:hAnsi="Arial"/>
      <w:color w:val="8C6E4A"/>
      <w:spacing w:val="10"/>
      <w:sz w:val="20"/>
      <w:szCs w:val="18"/>
    </w:rPr>
  </w:style>
  <w:style w:type="character" w:customStyle="1" w:styleId="CaptionChar">
    <w:name w:val="Caption Char"/>
    <w:aliases w:val="eTRM Caption Char"/>
    <w:link w:val="Caption"/>
    <w:locked/>
    <w:rsid w:val="0074369D"/>
    <w:rPr>
      <w:rFonts w:ascii="Arial" w:hAnsi="Arial" w:cs="Times New Roman"/>
      <w:color w:val="8C6E4A"/>
      <w:spacing w:val="10"/>
      <w:sz w:val="20"/>
      <w:szCs w:val="18"/>
    </w:rPr>
  </w:style>
  <w:style w:type="paragraph" w:customStyle="1" w:styleId="eTRMFootnoteText">
    <w:name w:val="eTRM Footnote Text"/>
    <w:basedOn w:val="FootnoteText"/>
    <w:next w:val="Normal"/>
    <w:link w:val="eTRMFootnoteTextChar"/>
    <w:autoRedefine/>
    <w:qFormat/>
    <w:rsid w:val="0074369D"/>
    <w:pPr>
      <w:spacing w:before="40" w:after="40" w:line="200" w:lineRule="atLeast"/>
    </w:pPr>
  </w:style>
  <w:style w:type="character" w:customStyle="1" w:styleId="eTRMFootnoteTextChar">
    <w:name w:val="eTRM Footnote Text Char"/>
    <w:basedOn w:val="FootnoteTextChar"/>
    <w:link w:val="eTRMFootnoteText"/>
    <w:rsid w:val="0074369D"/>
    <w:rPr>
      <w:rFonts w:ascii="Times New Roman" w:hAnsi="Times New Roman" w:cs="Times New Roman"/>
      <w:sz w:val="18"/>
      <w:szCs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EMI Footnote Text"/>
    <w:basedOn w:val="Normal"/>
    <w:link w:val="FootnoteTextChar"/>
    <w:unhideWhenUsed/>
    <w:qFormat/>
    <w:rsid w:val="0074369D"/>
    <w:rPr>
      <w:sz w:val="18"/>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rsid w:val="0074369D"/>
    <w:rPr>
      <w:rFonts w:ascii="Times New Roman" w:hAnsi="Times New Roman" w:cs="Times New Roman"/>
      <w:sz w:val="18"/>
      <w:szCs w:val="24"/>
    </w:rPr>
  </w:style>
  <w:style w:type="paragraph" w:styleId="Header">
    <w:name w:val="header"/>
    <w:aliases w:val="eTRM Header Text"/>
    <w:basedOn w:val="Normal"/>
    <w:link w:val="HeaderChar"/>
    <w:uiPriority w:val="99"/>
    <w:unhideWhenUsed/>
    <w:rsid w:val="0074369D"/>
    <w:pPr>
      <w:tabs>
        <w:tab w:val="center" w:pos="4320"/>
        <w:tab w:val="right" w:pos="8640"/>
      </w:tabs>
      <w:jc w:val="center"/>
    </w:pPr>
    <w:rPr>
      <w:rFonts w:ascii="Avenir Next" w:hAnsi="Avenir Next"/>
      <w:color w:val="7B7B7B" w:themeColor="accent3" w:themeShade="BF"/>
      <w:sz w:val="16"/>
    </w:rPr>
  </w:style>
  <w:style w:type="character" w:customStyle="1" w:styleId="HeaderChar">
    <w:name w:val="Header Char"/>
    <w:aliases w:val="eTRM Header Text Char"/>
    <w:basedOn w:val="DefaultParagraphFont"/>
    <w:link w:val="Header"/>
    <w:uiPriority w:val="99"/>
    <w:rsid w:val="0074369D"/>
    <w:rPr>
      <w:rFonts w:ascii="Avenir Next" w:hAnsi="Avenir Next" w:cs="Times New Roman"/>
      <w:color w:val="7B7B7B" w:themeColor="accent3" w:themeShade="BF"/>
      <w:sz w:val="16"/>
      <w:szCs w:val="24"/>
    </w:rPr>
  </w:style>
  <w:style w:type="character" w:styleId="Emphasis">
    <w:name w:val="Emphasis"/>
    <w:basedOn w:val="DefaultParagraphFont"/>
    <w:uiPriority w:val="20"/>
    <w:qFormat/>
    <w:rsid w:val="0074369D"/>
    <w:rPr>
      <w:i/>
      <w:iCs/>
    </w:rPr>
  </w:style>
  <w:style w:type="character" w:styleId="CommentReference">
    <w:name w:val="annotation reference"/>
    <w:basedOn w:val="DefaultParagraphFont"/>
    <w:uiPriority w:val="99"/>
    <w:unhideWhenUsed/>
    <w:rsid w:val="0074369D"/>
    <w:rPr>
      <w:sz w:val="16"/>
      <w:szCs w:val="16"/>
    </w:rPr>
  </w:style>
  <w:style w:type="paragraph" w:styleId="CommentText">
    <w:name w:val="annotation text"/>
    <w:basedOn w:val="Normal"/>
    <w:link w:val="CommentTextChar"/>
    <w:uiPriority w:val="99"/>
    <w:unhideWhenUsed/>
    <w:rsid w:val="0074369D"/>
    <w:rPr>
      <w:sz w:val="20"/>
      <w:szCs w:val="20"/>
    </w:rPr>
  </w:style>
  <w:style w:type="character" w:customStyle="1" w:styleId="CommentTextChar">
    <w:name w:val="Comment Text Char"/>
    <w:basedOn w:val="DefaultParagraphFont"/>
    <w:link w:val="CommentText"/>
    <w:uiPriority w:val="99"/>
    <w:rsid w:val="0074369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436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9D"/>
    <w:rPr>
      <w:rFonts w:ascii="Segoe UI" w:hAnsi="Segoe UI" w:cs="Segoe UI"/>
      <w:sz w:val="18"/>
      <w:szCs w:val="18"/>
    </w:rPr>
  </w:style>
  <w:style w:type="paragraph" w:styleId="Footer">
    <w:name w:val="footer"/>
    <w:basedOn w:val="Normal"/>
    <w:link w:val="FooterChar"/>
    <w:uiPriority w:val="99"/>
    <w:unhideWhenUsed/>
    <w:rsid w:val="00BE1F2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E1F27"/>
    <w:rPr>
      <w:rFonts w:ascii="Times New Roman" w:hAnsi="Times New Roman" w:cs="Times New Roman"/>
      <w:szCs w:val="24"/>
    </w:rPr>
  </w:style>
  <w:style w:type="paragraph" w:styleId="ListParagraph">
    <w:name w:val="List Paragraph"/>
    <w:basedOn w:val="Normal"/>
    <w:uiPriority w:val="34"/>
    <w:qFormat/>
    <w:rsid w:val="00A050CB"/>
    <w:pPr>
      <w:spacing w:before="0" w:after="0" w:line="240" w:lineRule="auto"/>
      <w:ind w:left="720"/>
      <w:contextualSpacing/>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1DAE82A0E2C4DB6CB2F5681A8B002" ma:contentTypeVersion="10" ma:contentTypeDescription="Create a new document." ma:contentTypeScope="" ma:versionID="ec8bf69af61832204c316bb7f6a8744a">
  <xsd:schema xmlns:xsd="http://www.w3.org/2001/XMLSchema" xmlns:xs="http://www.w3.org/2001/XMLSchema" xmlns:p="http://schemas.microsoft.com/office/2006/metadata/properties" xmlns:ns3="8957a0ec-67f9-424a-8314-a9ffda23c51d" targetNamespace="http://schemas.microsoft.com/office/2006/metadata/properties" ma:root="true" ma:fieldsID="ba700757025eda721c7504b4e2b848d6" ns3:_="">
    <xsd:import namespace="8957a0ec-67f9-424a-8314-a9ffda23c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7a0ec-67f9-424a-8314-a9ffda23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0CB64-8C99-44CA-9144-4297E2E8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7a0ec-67f9-424a-8314-a9ffda23c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18BFC-13D0-4099-BB05-B54DF8205D64}">
  <ds:schemaRefs>
    <ds:schemaRef ds:uri="http://schemas.microsoft.com/sharepoint/v3/contenttype/forms"/>
  </ds:schemaRefs>
</ds:datastoreItem>
</file>

<file path=customXml/itemProps3.xml><?xml version="1.0" encoding="utf-8"?>
<ds:datastoreItem xmlns:ds="http://schemas.openxmlformats.org/officeDocument/2006/customXml" ds:itemID="{9601ADF5-58F8-4135-A411-386008912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Holmes</dc:creator>
  <cp:keywords/>
  <dc:description/>
  <cp:lastModifiedBy>Jennifer Holmes</cp:lastModifiedBy>
  <cp:revision>5</cp:revision>
  <dcterms:created xsi:type="dcterms:W3CDTF">2020-07-01T22:25:00Z</dcterms:created>
  <dcterms:modified xsi:type="dcterms:W3CDTF">2020-07-02T00:00:00Z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0x0101002491DAE82A0E2C4DB6CB2F5681A8B002</vt:lpwstr>
  </property>
</Properties>
</file>