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467A" w14:textId="26A5950D" w:rsidR="005E13CC" w:rsidRDefault="00695AA4" w:rsidP="00E6199F">
      <w:pPr>
        <w:pStyle w:val="Title"/>
      </w:pPr>
      <w:r>
        <w:t>2023</w:t>
      </w:r>
      <w:r w:rsidR="003C42E6">
        <w:t xml:space="preserve"> </w:t>
      </w:r>
      <w:r w:rsidR="0075608C" w:rsidRPr="00E6199F">
        <w:t>BP METRIC</w:t>
      </w:r>
      <w:r w:rsidR="0080463D">
        <w:t xml:space="preserve"> </w:t>
      </w:r>
      <w:r>
        <w:t>6D</w:t>
      </w:r>
      <w:r w:rsidR="0075608C" w:rsidRPr="00E6199F">
        <w:t xml:space="preserve">: </w:t>
      </w:r>
      <w:r>
        <w:t>Regulatory Updates for Cal TF Membership</w:t>
      </w:r>
    </w:p>
    <w:p w14:paraId="146CCBDA" w14:textId="00C75C49" w:rsidR="003C53F8" w:rsidRDefault="003C53F8" w:rsidP="0067636B">
      <w:pPr>
        <w:pBdr>
          <w:top w:val="single" w:sz="18" w:space="1" w:color="93D042"/>
        </w:pBdr>
        <w:tabs>
          <w:tab w:val="left" w:pos="3840"/>
        </w:tabs>
        <w:spacing w:after="0"/>
        <w:rPr>
          <w:rFonts w:cs="Arial"/>
          <w:sz w:val="20"/>
          <w:szCs w:val="20"/>
        </w:rPr>
      </w:pPr>
    </w:p>
    <w:p w14:paraId="1232270E" w14:textId="0BFC4C3D" w:rsidR="00614AD2" w:rsidRDefault="00604722" w:rsidP="0067636B">
      <w:pPr>
        <w:pBdr>
          <w:top w:val="single" w:sz="18" w:space="1" w:color="93D042"/>
        </w:pBdr>
        <w:tabs>
          <w:tab w:val="left" w:pos="3840"/>
        </w:tabs>
        <w:spacing w:after="0"/>
      </w:pPr>
      <w:r w:rsidRPr="00B34BD2">
        <w:t xml:space="preserve">Metric 6D in the 2023 </w:t>
      </w:r>
      <w:r w:rsidR="005A69D6" w:rsidRPr="00B34BD2">
        <w:t xml:space="preserve">Cal TF </w:t>
      </w:r>
      <w:r w:rsidRPr="00B34BD2">
        <w:t>Business Plan</w:t>
      </w:r>
      <w:r w:rsidR="004B0917">
        <w:t xml:space="preserve"> (BP)</w:t>
      </w:r>
      <w:r w:rsidRPr="00B34BD2">
        <w:t xml:space="preserve"> is to “</w:t>
      </w:r>
      <w:r w:rsidR="004B0917">
        <w:t>p</w:t>
      </w:r>
      <w:r w:rsidR="005A69D6" w:rsidRPr="00B34BD2">
        <w:t>rovide relevant regulatory updates to support Cal TF membership in staying informed with regulatory requirements</w:t>
      </w:r>
      <w:r w:rsidR="0005118C" w:rsidRPr="00B34BD2">
        <w:t>.</w:t>
      </w:r>
      <w:r w:rsidRPr="00B34BD2">
        <w:t xml:space="preserve">” This workplan describes the scope, schedule, and resource </w:t>
      </w:r>
      <w:r w:rsidR="004B0917">
        <w:t>needs</w:t>
      </w:r>
      <w:r w:rsidRPr="00B34BD2">
        <w:t xml:space="preserve"> for this </w:t>
      </w:r>
      <w:r w:rsidR="004B0917">
        <w:t>BP</w:t>
      </w:r>
      <w:r w:rsidRPr="00B34BD2">
        <w:t xml:space="preserve"> activity.</w:t>
      </w:r>
      <w:r w:rsidR="009E76D1">
        <w:t xml:space="preserve"> </w:t>
      </w:r>
    </w:p>
    <w:p w14:paraId="41969455" w14:textId="593F7B92" w:rsidR="005E48EA" w:rsidRPr="00604722" w:rsidRDefault="00C254A1" w:rsidP="0067636B">
      <w:pPr>
        <w:pBdr>
          <w:top w:val="single" w:sz="18" w:space="1" w:color="93D042"/>
        </w:pBdr>
        <w:tabs>
          <w:tab w:val="left" w:pos="3840"/>
        </w:tabs>
        <w:spacing w:after="0"/>
      </w:pPr>
      <w:r>
        <w:t xml:space="preserve">The key focus of </w:t>
      </w:r>
      <w:r w:rsidR="009F52D1">
        <w:t xml:space="preserve">Metric 6D </w:t>
      </w:r>
      <w:r>
        <w:t xml:space="preserve">is effectively communicating regulatory </w:t>
      </w:r>
      <w:r w:rsidR="00D11FD7">
        <w:t>updates related to</w:t>
      </w:r>
      <w:r>
        <w:t xml:space="preserve"> deemed measures. </w:t>
      </w:r>
      <w:r w:rsidR="00614AD2" w:rsidRPr="00614AD2">
        <w:t xml:space="preserve">This activity has similar goals </w:t>
      </w:r>
      <w:r w:rsidR="004E2EC1">
        <w:t xml:space="preserve">to </w:t>
      </w:r>
      <w:r w:rsidR="00614AD2" w:rsidRPr="00614AD2">
        <w:t xml:space="preserve">two concurrent Cal TF activities: Metric 3C, which focuses on improving communication about new measures and measure updates, and Metric 5A, which includes an activity </w:t>
      </w:r>
      <w:r w:rsidR="006E3F8A">
        <w:t>to</w:t>
      </w:r>
      <w:r w:rsidR="00614AD2" w:rsidRPr="00614AD2">
        <w:t xml:space="preserve"> improve clarity and communication </w:t>
      </w:r>
      <w:r w:rsidR="006E3F8A">
        <w:t>of</w:t>
      </w:r>
      <w:r w:rsidR="00614AD2" w:rsidRPr="00614AD2">
        <w:t xml:space="preserve"> </w:t>
      </w:r>
      <w:r w:rsidR="006E3F8A">
        <w:t>regulatory</w:t>
      </w:r>
      <w:r w:rsidR="00614AD2" w:rsidRPr="00614AD2">
        <w:t xml:space="preserve"> guidance for custom projects. Cal TF Staff will coordinate across these and other activities</w:t>
      </w:r>
      <w:r w:rsidR="004E2EC1">
        <w:t xml:space="preserve"> as appropriate</w:t>
      </w:r>
      <w:r w:rsidR="00614AD2" w:rsidRPr="00614AD2">
        <w:t xml:space="preserve"> to avoid redundant efforts, ensure alignment, and optimize consistency and efficiency in proposed and implemented solutions.</w:t>
      </w:r>
    </w:p>
    <w:p w14:paraId="4923E065" w14:textId="022ABFEF" w:rsidR="00577710" w:rsidRDefault="00DA5023" w:rsidP="00170C10">
      <w:pPr>
        <w:pStyle w:val="Heading1"/>
        <w:tabs>
          <w:tab w:val="left" w:pos="360"/>
        </w:tabs>
      </w:pPr>
      <w:r>
        <w:t>Problem Statement</w:t>
      </w:r>
      <w:r w:rsidR="00395D48">
        <w:t xml:space="preserve"> </w:t>
      </w:r>
    </w:p>
    <w:p w14:paraId="11E5CC06" w14:textId="5DB077D0" w:rsidR="00B34BD2" w:rsidRDefault="00B34BD2" w:rsidP="007F583F">
      <w:r>
        <w:t>Regulatory policy and guidance impacting EE measures, savings values, and other important key parameters come in different forms</w:t>
      </w:r>
      <w:r w:rsidR="00764207">
        <w:t xml:space="preserve"> (e.g.</w:t>
      </w:r>
      <w:r w:rsidR="00D006D1">
        <w:t>,</w:t>
      </w:r>
      <w:r w:rsidR="00764207">
        <w:t xml:space="preserve"> regulatory decisions, dispositions)</w:t>
      </w:r>
      <w:r w:rsidR="00FF4284">
        <w:t xml:space="preserve">, </w:t>
      </w:r>
      <w:r w:rsidR="00D11FD7">
        <w:t xml:space="preserve">at </w:t>
      </w:r>
      <w:r w:rsidR="00FF4284">
        <w:t>different times</w:t>
      </w:r>
      <w:r>
        <w:t xml:space="preserve"> </w:t>
      </w:r>
      <w:r w:rsidR="00D11FD7">
        <w:t>during</w:t>
      </w:r>
      <w:r>
        <w:t xml:space="preserve"> the year</w:t>
      </w:r>
      <w:r w:rsidR="00FF4284">
        <w:t>, and to different audiences</w:t>
      </w:r>
      <w:r>
        <w:t xml:space="preserve">. Stakeholders must monitor and assess </w:t>
      </w:r>
      <w:r w:rsidR="00D11FD7">
        <w:t>these</w:t>
      </w:r>
      <w:r>
        <w:t xml:space="preserve"> </w:t>
      </w:r>
      <w:r w:rsidR="00D11FD7">
        <w:t>updates</w:t>
      </w:r>
      <w:r>
        <w:t xml:space="preserve"> to understand </w:t>
      </w:r>
      <w:r w:rsidR="00D11FD7">
        <w:t>their</w:t>
      </w:r>
      <w:r>
        <w:t xml:space="preserve"> impact</w:t>
      </w:r>
      <w:r w:rsidR="00D11FD7">
        <w:t>s</w:t>
      </w:r>
      <w:r>
        <w:t xml:space="preserve"> on EE program</w:t>
      </w:r>
      <w:r w:rsidR="00D11FD7">
        <w:t>s</w:t>
      </w:r>
      <w:r>
        <w:t xml:space="preserve">, such as measure values and eligibility. </w:t>
      </w:r>
    </w:p>
    <w:p w14:paraId="2F9D79F6" w14:textId="74C094B0" w:rsidR="001F6D98" w:rsidRDefault="001F6D98" w:rsidP="007F583F">
      <w:r w:rsidRPr="001F6D98">
        <w:rPr>
          <w:b/>
          <w:bCs/>
        </w:rPr>
        <w:t>There is no central, up-to-date source of key regulatory policy/guidance regarding measure values</w:t>
      </w:r>
      <w:r w:rsidR="00764207">
        <w:rPr>
          <w:b/>
          <w:bCs/>
        </w:rPr>
        <w:t xml:space="preserve"> and related information</w:t>
      </w:r>
      <w:r w:rsidRPr="001F6D98">
        <w:rPr>
          <w:b/>
          <w:bCs/>
        </w:rPr>
        <w:t xml:space="preserve">. </w:t>
      </w:r>
      <w:r w:rsidR="002904E6">
        <w:t xml:space="preserve">Cal TF Stakeholders—including program administrators, </w:t>
      </w:r>
      <w:r w:rsidR="00CC330E">
        <w:t>program implementers, project developers</w:t>
      </w:r>
      <w:r w:rsidR="007114F7">
        <w:t>, technical reviewers and evaluation teams</w:t>
      </w:r>
      <w:r w:rsidR="000E5C56">
        <w:t>—</w:t>
      </w:r>
      <w:r w:rsidR="00E97CF1">
        <w:t xml:space="preserve">spend significant time and resources to track, understand, and implement regulatory policy and information affecting the state’s </w:t>
      </w:r>
      <w:r w:rsidR="006E3F8A">
        <w:t>EE</w:t>
      </w:r>
      <w:r w:rsidR="00E97CF1">
        <w:t xml:space="preserve"> portfolios.</w:t>
      </w:r>
      <w:r w:rsidR="00B34BD2">
        <w:t xml:space="preserve"> </w:t>
      </w:r>
      <w:r>
        <w:t>CPUC Staff updat</w:t>
      </w:r>
      <w:r w:rsidR="006E3F8A">
        <w:t>ing</w:t>
      </w:r>
      <w:r>
        <w:t xml:space="preserve"> </w:t>
      </w:r>
      <w:r w:rsidRPr="00F23F92">
        <w:t xml:space="preserve">the </w:t>
      </w:r>
      <w:hyperlink r:id="rId8" w:history="1">
        <w:r w:rsidR="001173FE" w:rsidRPr="00F23F92">
          <w:rPr>
            <w:rStyle w:val="Hyperlink"/>
          </w:rPr>
          <w:t xml:space="preserve">Statewide </w:t>
        </w:r>
        <w:r w:rsidRPr="00F23F92">
          <w:rPr>
            <w:rStyle w:val="Hyperlink"/>
          </w:rPr>
          <w:t xml:space="preserve">Deemed </w:t>
        </w:r>
        <w:r w:rsidR="00BF3281" w:rsidRPr="00F23F92">
          <w:rPr>
            <w:rStyle w:val="Hyperlink"/>
          </w:rPr>
          <w:t xml:space="preserve">Workpaper </w:t>
        </w:r>
        <w:r w:rsidRPr="00F23F92">
          <w:rPr>
            <w:rStyle w:val="Hyperlink"/>
          </w:rPr>
          <w:t>Rulebook</w:t>
        </w:r>
      </w:hyperlink>
      <w:r w:rsidR="00BF3281" w:rsidRPr="00F23F92">
        <w:t xml:space="preserve"> (Deemed Rulebook</w:t>
      </w:r>
      <w:r w:rsidR="00BF3281">
        <w:t>)</w:t>
      </w:r>
      <w:r>
        <w:t xml:space="preserve">, but </w:t>
      </w:r>
      <w:r w:rsidR="00D70EAA">
        <w:t xml:space="preserve">CPUC Staff indicated </w:t>
      </w:r>
      <w:r>
        <w:t xml:space="preserve">there is not </w:t>
      </w:r>
      <w:r w:rsidR="00D70EAA">
        <w:t xml:space="preserve">currently </w:t>
      </w:r>
      <w:r>
        <w:t>a plan to maintain an up-to-date rulebook on an ongoing basis.</w:t>
      </w:r>
    </w:p>
    <w:p w14:paraId="62C54FDA" w14:textId="2CD5AC7F" w:rsidR="00027367" w:rsidRDefault="001F6D98" w:rsidP="00BF3281">
      <w:r>
        <w:rPr>
          <w:b/>
          <w:bCs/>
        </w:rPr>
        <w:t>S</w:t>
      </w:r>
      <w:r w:rsidR="00B34BD2" w:rsidRPr="001F6D98">
        <w:rPr>
          <w:b/>
          <w:bCs/>
        </w:rPr>
        <w:t xml:space="preserve">takeholders may have different access to </w:t>
      </w:r>
      <w:r w:rsidRPr="001F6D98">
        <w:rPr>
          <w:b/>
          <w:bCs/>
        </w:rPr>
        <w:t>valuable regulator</w:t>
      </w:r>
      <w:r>
        <w:rPr>
          <w:b/>
          <w:bCs/>
        </w:rPr>
        <w:t>y</w:t>
      </w:r>
      <w:r w:rsidRPr="001F6D98">
        <w:rPr>
          <w:b/>
          <w:bCs/>
        </w:rPr>
        <w:t xml:space="preserve"> </w:t>
      </w:r>
      <w:r w:rsidR="00B34BD2" w:rsidRPr="001F6D98">
        <w:rPr>
          <w:b/>
          <w:bCs/>
        </w:rPr>
        <w:t>information.</w:t>
      </w:r>
      <w:r w:rsidR="00B34BD2">
        <w:t xml:space="preserve"> For example</w:t>
      </w:r>
      <w:r w:rsidR="00EE68D5">
        <w:t xml:space="preserve">, </w:t>
      </w:r>
      <w:r w:rsidR="00B34BD2">
        <w:t xml:space="preserve">IOU staff may receive guidance or clarification directly from the CPUC that is not shared with or accessible to other stakeholders. Small implementers and project developers </w:t>
      </w:r>
      <w:r w:rsidR="00C254A1">
        <w:t xml:space="preserve">and firms who primarily have worked out-of-state </w:t>
      </w:r>
      <w:r w:rsidR="00B34BD2">
        <w:t>may not have the resources</w:t>
      </w:r>
      <w:r w:rsidR="00C254A1">
        <w:t>, capacity</w:t>
      </w:r>
      <w:r w:rsidR="00D006D1">
        <w:t>,</w:t>
      </w:r>
      <w:r w:rsidR="00C254A1">
        <w:t xml:space="preserve"> and</w:t>
      </w:r>
      <w:r w:rsidR="00D006D1">
        <w:t xml:space="preserve"> </w:t>
      </w:r>
      <w:r w:rsidR="00B34BD2">
        <w:t>expertise to track and interpret regulatory</w:t>
      </w:r>
      <w:r w:rsidR="00D006D1">
        <w:t xml:space="preserve"> </w:t>
      </w:r>
      <w:r w:rsidR="00C254A1">
        <w:t>directives</w:t>
      </w:r>
      <w:r w:rsidR="00B34BD2">
        <w:t xml:space="preserve">. Similarly, new implementation firms may not have the expertise or connections to identify and/or receive </w:t>
      </w:r>
      <w:r w:rsidR="00D77DBC">
        <w:t xml:space="preserve">all relevant </w:t>
      </w:r>
      <w:r w:rsidR="00B34BD2">
        <w:t>regulatory information</w:t>
      </w:r>
      <w:r w:rsidR="00D77DBC">
        <w:t xml:space="preserve">. </w:t>
      </w:r>
    </w:p>
    <w:p w14:paraId="2B16491F" w14:textId="0880D3D8" w:rsidR="00B34BD2" w:rsidRDefault="001F6D98" w:rsidP="007F583F">
      <w:r w:rsidRPr="001F6D98">
        <w:rPr>
          <w:b/>
          <w:bCs/>
        </w:rPr>
        <w:t>Existing regulator</w:t>
      </w:r>
      <w:r>
        <w:rPr>
          <w:b/>
          <w:bCs/>
        </w:rPr>
        <w:t>y</w:t>
      </w:r>
      <w:r w:rsidRPr="001F6D98">
        <w:rPr>
          <w:b/>
          <w:bCs/>
        </w:rPr>
        <w:t xml:space="preserve"> communication efforts are resource-intensive</w:t>
      </w:r>
      <w:r w:rsidR="00C254A1">
        <w:rPr>
          <w:b/>
          <w:bCs/>
        </w:rPr>
        <w:t xml:space="preserve"> and</w:t>
      </w:r>
      <w:r w:rsidRPr="001F6D98">
        <w:rPr>
          <w:b/>
          <w:bCs/>
        </w:rPr>
        <w:t xml:space="preserve"> involve redundant efforts. </w:t>
      </w:r>
      <w:r w:rsidR="00B73E85">
        <w:t xml:space="preserve">IOUs and other stakeholder groups have </w:t>
      </w:r>
      <w:r w:rsidR="00442A5E">
        <w:t>existing processes to track and share policy/guidance updates and information</w:t>
      </w:r>
      <w:r w:rsidR="00D006D1">
        <w:t xml:space="preserve">. </w:t>
      </w:r>
      <w:r w:rsidR="00B73E85">
        <w:t xml:space="preserve">For example: </w:t>
      </w:r>
    </w:p>
    <w:p w14:paraId="547CAD50" w14:textId="2B237BF9" w:rsidR="00B73E85" w:rsidRDefault="00B73E85" w:rsidP="009625DE">
      <w:pPr>
        <w:pStyle w:val="ListParagraph"/>
        <w:numPr>
          <w:ilvl w:val="0"/>
          <w:numId w:val="16"/>
        </w:numPr>
      </w:pPr>
      <w:r>
        <w:lastRenderedPageBreak/>
        <w:t>Each IOU compiles and provides information to its program implementers through various for</w:t>
      </w:r>
      <w:r w:rsidR="00EC76BE">
        <w:t>u</w:t>
      </w:r>
      <w:r>
        <w:t xml:space="preserve">ms. </w:t>
      </w:r>
      <w:r w:rsidR="00A80788">
        <w:t>Key i</w:t>
      </w:r>
      <w:r>
        <w:t xml:space="preserve">nformation </w:t>
      </w:r>
      <w:r w:rsidR="00A80788">
        <w:t>may</w:t>
      </w:r>
      <w:r>
        <w:t xml:space="preserve"> </w:t>
      </w:r>
      <w:r w:rsidR="00EC76BE">
        <w:t xml:space="preserve">be </w:t>
      </w:r>
      <w:r w:rsidR="00BF3281">
        <w:t>shared</w:t>
      </w:r>
      <w:r>
        <w:t xml:space="preserve"> through newsletters,</w:t>
      </w:r>
      <w:r w:rsidR="00BF3281">
        <w:t xml:space="preserve"> </w:t>
      </w:r>
      <w:r w:rsidR="00A80788">
        <w:t xml:space="preserve">meetings, implementer resources pages (e.g., Wiki or SharePoint), and informal discussions. </w:t>
      </w:r>
    </w:p>
    <w:p w14:paraId="52E739DB" w14:textId="60CFC6B3" w:rsidR="004018D7" w:rsidRDefault="004018D7" w:rsidP="00B73E85">
      <w:pPr>
        <w:pStyle w:val="ListParagraph"/>
        <w:numPr>
          <w:ilvl w:val="0"/>
          <w:numId w:val="16"/>
        </w:numPr>
      </w:pPr>
      <w:r>
        <w:t>The IOUs host a Statewide Coordination Meeting for deemed and custom programs to share and discuss information, issues, clarifications, etc.</w:t>
      </w:r>
      <w:r w:rsidR="00807588">
        <w:t xml:space="preserve"> </w:t>
      </w:r>
    </w:p>
    <w:p w14:paraId="417FA69C" w14:textId="77777777" w:rsidR="00D70EAA" w:rsidRDefault="00B73E85" w:rsidP="007F583F">
      <w:pPr>
        <w:pStyle w:val="ListParagraph"/>
        <w:numPr>
          <w:ilvl w:val="0"/>
          <w:numId w:val="16"/>
        </w:numPr>
      </w:pPr>
      <w:r>
        <w:t xml:space="preserve">CEDMC provides </w:t>
      </w:r>
      <w:r w:rsidR="00A80788">
        <w:t xml:space="preserve">updates to its membership via its newsletter and regularly scheduled </w:t>
      </w:r>
      <w:r w:rsidR="00D95F6E">
        <w:t>meetings to update its membership on key issues.</w:t>
      </w:r>
    </w:p>
    <w:p w14:paraId="7ED1440B" w14:textId="2DB6BD29" w:rsidR="00E316FA" w:rsidRPr="007F583F" w:rsidRDefault="00D95F6E" w:rsidP="007F583F">
      <w:r>
        <w:t>While each activity serves a purpose</w:t>
      </w:r>
      <w:r w:rsidR="00B73E85">
        <w:t xml:space="preserve">, </w:t>
      </w:r>
      <w:r w:rsidR="0097712D">
        <w:t>the activities</w:t>
      </w:r>
      <w:r w:rsidR="00B73E85">
        <w:t xml:space="preserve"> involve some redundant</w:t>
      </w:r>
      <w:r w:rsidR="00BF3281">
        <w:t xml:space="preserve"> </w:t>
      </w:r>
      <w:r w:rsidR="0097712D">
        <w:t>efforts</w:t>
      </w:r>
      <w:r w:rsidR="00BF3281">
        <w:t xml:space="preserve"> and</w:t>
      </w:r>
      <w:r w:rsidR="00B73E85">
        <w:t xml:space="preserve"> are not accessible to all stakeholders.</w:t>
      </w:r>
      <w:r w:rsidR="001F6D98">
        <w:t xml:space="preserve"> </w:t>
      </w:r>
      <w:r w:rsidR="00A80788">
        <w:t xml:space="preserve">Also, these activities do not </w:t>
      </w:r>
      <w:r>
        <w:t xml:space="preserve">consistently interpret, summarize, and share publicly the impacts of new policy/guidance on technical measure information. </w:t>
      </w:r>
    </w:p>
    <w:p w14:paraId="56630F6E" w14:textId="07D8BC9A" w:rsidR="000C4AAE" w:rsidRDefault="00DA5023" w:rsidP="00170C10">
      <w:pPr>
        <w:pStyle w:val="Heading1"/>
        <w:tabs>
          <w:tab w:val="left" w:pos="360"/>
        </w:tabs>
        <w:ind w:hanging="270"/>
      </w:pPr>
      <w:r>
        <w:t>Goals</w:t>
      </w:r>
      <w:r w:rsidR="00027367">
        <w:t>, Metrics,</w:t>
      </w:r>
      <w:r>
        <w:t xml:space="preserve"> and Objectives</w:t>
      </w:r>
    </w:p>
    <w:p w14:paraId="2E14CCDB" w14:textId="02BB8197" w:rsidR="006C0A49" w:rsidRDefault="006C0A49" w:rsidP="00B65CFF">
      <w:r>
        <w:t>Cal TF will develop an approach to consolidate, summarize, clarify, and share regulatory policy</w:t>
      </w:r>
      <w:r w:rsidR="002A75BD">
        <w:t>/</w:t>
      </w:r>
      <w:r>
        <w:t xml:space="preserve">guidance </w:t>
      </w:r>
      <w:r w:rsidR="005A1E31" w:rsidRPr="00557BB0">
        <w:t xml:space="preserve">updates that impact </w:t>
      </w:r>
      <w:r w:rsidRPr="00557BB0">
        <w:t>EE measure values</w:t>
      </w:r>
      <w:r w:rsidR="00F57703" w:rsidRPr="00557BB0">
        <w:t>. The Cal TF</w:t>
      </w:r>
      <w:r w:rsidR="00F57703">
        <w:t xml:space="preserve"> solution will: </w:t>
      </w:r>
      <w:r w:rsidR="005A1E31">
        <w:t xml:space="preserve"> </w:t>
      </w:r>
    </w:p>
    <w:p w14:paraId="2A7F70D6" w14:textId="5FB3F9A0" w:rsidR="00F57703" w:rsidRDefault="00F57703" w:rsidP="006D7BED">
      <w:pPr>
        <w:pStyle w:val="ListParagraph"/>
        <w:numPr>
          <w:ilvl w:val="0"/>
          <w:numId w:val="14"/>
        </w:numPr>
      </w:pPr>
      <w:r>
        <w:t>Improve stakeholder awareness and understanding of relevant regulatory updates.</w:t>
      </w:r>
    </w:p>
    <w:p w14:paraId="4293F0B1" w14:textId="77777777" w:rsidR="00E54B7D" w:rsidRDefault="00E54B7D" w:rsidP="006D7BED">
      <w:pPr>
        <w:pStyle w:val="ListParagraph"/>
        <w:numPr>
          <w:ilvl w:val="0"/>
          <w:numId w:val="14"/>
        </w:numPr>
      </w:pPr>
      <w:r>
        <w:t xml:space="preserve">Provide clear, accurate, and specific (when possible) information about the known or potential impacts of policy/guidance updates to EE measure values. </w:t>
      </w:r>
    </w:p>
    <w:p w14:paraId="1F8EB773" w14:textId="24A9464C" w:rsidR="00F57703" w:rsidRDefault="00F57703" w:rsidP="006D7BED">
      <w:pPr>
        <w:pStyle w:val="ListParagraph"/>
        <w:numPr>
          <w:ilvl w:val="0"/>
          <w:numId w:val="14"/>
        </w:numPr>
      </w:pPr>
      <w:r>
        <w:t xml:space="preserve">Reduce the stakeholder resources and effort </w:t>
      </w:r>
      <w:r w:rsidR="00E54B7D">
        <w:t>currently</w:t>
      </w:r>
      <w:r>
        <w:t xml:space="preserve"> required to track and understand relevant regulatory updates.</w:t>
      </w:r>
    </w:p>
    <w:p w14:paraId="40C9D60A" w14:textId="6767B759" w:rsidR="00F57703" w:rsidRDefault="00F57703" w:rsidP="00F57703">
      <w:pPr>
        <w:pStyle w:val="ListParagraph"/>
        <w:numPr>
          <w:ilvl w:val="0"/>
          <w:numId w:val="14"/>
        </w:numPr>
      </w:pPr>
      <w:r>
        <w:t>Facilitate clarification with regulatory authorities when needed</w:t>
      </w:r>
      <w:r w:rsidR="00E54B7D">
        <w:t>.</w:t>
      </w:r>
    </w:p>
    <w:p w14:paraId="2062EBF9" w14:textId="2B4D5F65" w:rsidR="00F57703" w:rsidRDefault="00F57703" w:rsidP="00F57703">
      <w:pPr>
        <w:pStyle w:val="ListParagraph"/>
        <w:numPr>
          <w:ilvl w:val="0"/>
          <w:numId w:val="14"/>
        </w:numPr>
      </w:pPr>
      <w:r>
        <w:t xml:space="preserve">Be used and useful to EE program and Cal TF stakeholders.  </w:t>
      </w:r>
    </w:p>
    <w:p w14:paraId="188A3D13" w14:textId="4E3FFE65" w:rsidR="0066332A" w:rsidRDefault="0066332A" w:rsidP="0066332A">
      <w:pPr>
        <w:pStyle w:val="Heading2"/>
      </w:pPr>
      <w:r>
        <w:t>Stakeholder Benefits</w:t>
      </w:r>
    </w:p>
    <w:p w14:paraId="665CF45C" w14:textId="45418E59" w:rsidR="00B3360A" w:rsidRPr="00B3360A" w:rsidRDefault="00B3360A" w:rsidP="00B65CFF">
      <w:r>
        <w:t xml:space="preserve">Cal TF anticipates the following stakeholder benefits: </w:t>
      </w:r>
    </w:p>
    <w:p w14:paraId="43473CA9" w14:textId="0A7456CA" w:rsidR="00B3360A" w:rsidRDefault="00B3360A" w:rsidP="00B3360A">
      <w:pPr>
        <w:pStyle w:val="ListParagraph"/>
        <w:numPr>
          <w:ilvl w:val="0"/>
          <w:numId w:val="13"/>
        </w:numPr>
      </w:pPr>
      <w:r w:rsidRPr="00F27B73">
        <w:rPr>
          <w:b/>
          <w:bCs/>
        </w:rPr>
        <w:t>Time</w:t>
      </w:r>
      <w:r w:rsidR="00614AD2">
        <w:rPr>
          <w:b/>
          <w:bCs/>
        </w:rPr>
        <w:t xml:space="preserve"> and Cost</w:t>
      </w:r>
      <w:r w:rsidRPr="00F27B73">
        <w:rPr>
          <w:b/>
          <w:bCs/>
        </w:rPr>
        <w:t xml:space="preserve"> Savings</w:t>
      </w:r>
      <w:r w:rsidR="004E5FE5">
        <w:t xml:space="preserve">, by </w:t>
      </w:r>
      <w:r w:rsidR="00482148">
        <w:t xml:space="preserve">consolidating </w:t>
      </w:r>
      <w:r w:rsidR="00AC35BF">
        <w:t xml:space="preserve">stakeholder efforts into a </w:t>
      </w:r>
      <w:r w:rsidR="00F27B73">
        <w:t>shared</w:t>
      </w:r>
      <w:r w:rsidR="00AC35BF">
        <w:t xml:space="preserve"> statewide activity to identify,</w:t>
      </w:r>
      <w:r w:rsidR="00F27B73">
        <w:t xml:space="preserve"> summar</w:t>
      </w:r>
      <w:r w:rsidR="00807588">
        <w:t>ize</w:t>
      </w:r>
      <w:r w:rsidR="00F27B73">
        <w:t>, document, and distribute key regulatory information</w:t>
      </w:r>
      <w:r w:rsidR="00FA4F23">
        <w:t>.</w:t>
      </w:r>
      <w:r w:rsidR="00AC35BF">
        <w:t xml:space="preserve"> </w:t>
      </w:r>
      <w:r w:rsidR="00482148">
        <w:t xml:space="preserve"> </w:t>
      </w:r>
    </w:p>
    <w:p w14:paraId="1EEEEC6C" w14:textId="1E987EC5" w:rsidR="00B3360A" w:rsidRDefault="00B3360A" w:rsidP="00B3360A">
      <w:pPr>
        <w:pStyle w:val="ListParagraph"/>
        <w:numPr>
          <w:ilvl w:val="0"/>
          <w:numId w:val="13"/>
        </w:numPr>
      </w:pPr>
      <w:r w:rsidRPr="00F27B73">
        <w:rPr>
          <w:b/>
          <w:bCs/>
        </w:rPr>
        <w:t>Statewide Consistency</w:t>
      </w:r>
      <w:r w:rsidR="004E5FE5">
        <w:t>, by creating a</w:t>
      </w:r>
      <w:r w:rsidR="005C469C">
        <w:t xml:space="preserve"> </w:t>
      </w:r>
      <w:r w:rsidR="001239F0">
        <w:t>statewide summary of regulatory updates</w:t>
      </w:r>
      <w:r w:rsidR="009D0A42">
        <w:t xml:space="preserve"> with vetted interpretation</w:t>
      </w:r>
      <w:r w:rsidR="005C469C">
        <w:t xml:space="preserve">s regarding </w:t>
      </w:r>
      <w:r w:rsidR="00FA4F23">
        <w:t>implications and impact.</w:t>
      </w:r>
      <w:r w:rsidR="001239F0">
        <w:t xml:space="preserve"> </w:t>
      </w:r>
    </w:p>
    <w:p w14:paraId="7E0078FA" w14:textId="67A0E1A7" w:rsidR="00FA4F23" w:rsidRPr="007F583F" w:rsidRDefault="00FA4F23" w:rsidP="00FA4F23">
      <w:pPr>
        <w:pStyle w:val="ListParagraph"/>
        <w:numPr>
          <w:ilvl w:val="0"/>
          <w:numId w:val="13"/>
        </w:numPr>
      </w:pPr>
      <w:r>
        <w:rPr>
          <w:b/>
          <w:bCs/>
        </w:rPr>
        <w:t>Transparency</w:t>
      </w:r>
      <w:r>
        <w:t>, by making the statewide summary publicly accessible.</w:t>
      </w:r>
    </w:p>
    <w:p w14:paraId="1A07A510" w14:textId="26028B1F" w:rsidR="007F583F" w:rsidRDefault="00AD49E8" w:rsidP="00B3360A">
      <w:pPr>
        <w:pStyle w:val="ListParagraph"/>
        <w:numPr>
          <w:ilvl w:val="0"/>
          <w:numId w:val="13"/>
        </w:numPr>
      </w:pPr>
      <w:r>
        <w:rPr>
          <w:b/>
          <w:bCs/>
        </w:rPr>
        <w:t>Clarity and Compliance</w:t>
      </w:r>
      <w:r w:rsidR="008A17EB">
        <w:t xml:space="preserve">, by improving stakeholder access to </w:t>
      </w:r>
      <w:r w:rsidR="00FA4F23">
        <w:t xml:space="preserve">and understanding of </w:t>
      </w:r>
      <w:r>
        <w:t xml:space="preserve">all relevant </w:t>
      </w:r>
      <w:r w:rsidR="008A17EB">
        <w:t xml:space="preserve">regulatory </w:t>
      </w:r>
      <w:r w:rsidR="00BF3281">
        <w:t>updates</w:t>
      </w:r>
      <w:r w:rsidR="00FA4F23">
        <w:t>.</w:t>
      </w:r>
    </w:p>
    <w:p w14:paraId="1BEB41E0" w14:textId="257EE2BD" w:rsidR="00614AD2" w:rsidRDefault="00614AD2" w:rsidP="00B3360A">
      <w:pPr>
        <w:pStyle w:val="ListParagraph"/>
        <w:numPr>
          <w:ilvl w:val="0"/>
          <w:numId w:val="13"/>
        </w:numPr>
      </w:pPr>
      <w:r>
        <w:rPr>
          <w:b/>
          <w:bCs/>
        </w:rPr>
        <w:t>Stakeholder Engagement</w:t>
      </w:r>
      <w:r w:rsidRPr="00614AD2">
        <w:t xml:space="preserve">, by facilitating participation by </w:t>
      </w:r>
      <w:r>
        <w:t>small and new implementation firms.</w:t>
      </w:r>
    </w:p>
    <w:p w14:paraId="51E915AE" w14:textId="5F3479EC" w:rsidR="00DA5023" w:rsidRDefault="00DA5023" w:rsidP="00DA5023">
      <w:pPr>
        <w:pStyle w:val="Heading1"/>
        <w:tabs>
          <w:tab w:val="left" w:pos="360"/>
        </w:tabs>
        <w:ind w:hanging="270"/>
      </w:pPr>
      <w:r>
        <w:t>Scope</w:t>
      </w:r>
    </w:p>
    <w:p w14:paraId="2867DFA5" w14:textId="6B925382" w:rsidR="003C6D22" w:rsidRPr="003C6D22" w:rsidRDefault="003C6D22" w:rsidP="003C6D22">
      <w:pPr>
        <w:rPr>
          <w:u w:val="single"/>
        </w:rPr>
      </w:pPr>
      <w:r w:rsidRPr="003C6D22">
        <w:rPr>
          <w:u w:val="single"/>
        </w:rPr>
        <w:t>Task 1. Define Regulatory Scope</w:t>
      </w:r>
      <w:r w:rsidR="00D617AC">
        <w:rPr>
          <w:u w:val="single"/>
        </w:rPr>
        <w:t xml:space="preserve"> and Existing Communication Efforts</w:t>
      </w:r>
    </w:p>
    <w:p w14:paraId="5E76E4CF" w14:textId="5E98ABEE" w:rsidR="00D617AC" w:rsidRDefault="00D617AC" w:rsidP="003C6D22">
      <w:r>
        <w:t xml:space="preserve">Cal TF will coordinate with CPUC Staff to </w:t>
      </w:r>
      <w:r w:rsidR="00D12CED">
        <w:t>determine</w:t>
      </w:r>
      <w:r>
        <w:t xml:space="preserve"> the status of CPUC updates to the Deemed Rulebook and </w:t>
      </w:r>
      <w:r w:rsidR="00D12CED">
        <w:t xml:space="preserve">to understand </w:t>
      </w:r>
      <w:r>
        <w:t>CPUC plans and considerations regarding future updates.</w:t>
      </w:r>
      <w:r w:rsidR="00D12CED">
        <w:t xml:space="preserve"> </w:t>
      </w:r>
    </w:p>
    <w:p w14:paraId="67F176EE" w14:textId="737F2BD9" w:rsidR="007900E6" w:rsidRDefault="00D12CED" w:rsidP="003C6D22">
      <w:r>
        <w:lastRenderedPageBreak/>
        <w:t xml:space="preserve">For both CPUC and CEC policy/guidance, </w:t>
      </w:r>
      <w:r w:rsidR="003C6D22">
        <w:t>Cal TF will summarize the various streams of policy</w:t>
      </w:r>
      <w:r w:rsidR="00D617AC">
        <w:t>/</w:t>
      </w:r>
      <w:r w:rsidR="003C6D22">
        <w:t>guidance information and existing communication efforts by and for stakeholders.</w:t>
      </w:r>
      <w:r w:rsidRPr="00D12CED">
        <w:t xml:space="preserve">  </w:t>
      </w:r>
    </w:p>
    <w:p w14:paraId="04E0CD73" w14:textId="458CA6F1" w:rsidR="007900E6" w:rsidRDefault="007900E6" w:rsidP="007900E6">
      <w:r>
        <w:t xml:space="preserve">Cal TF will develop a proposed </w:t>
      </w:r>
      <w:r w:rsidRPr="003C6D22">
        <w:t xml:space="preserve">regulatory scope for </w:t>
      </w:r>
      <w:r w:rsidR="009B3268">
        <w:t>this activity (</w:t>
      </w:r>
      <w:r w:rsidR="007C622D">
        <w:t xml:space="preserve">i.e., </w:t>
      </w:r>
      <w:r w:rsidR="009B3268">
        <w:t xml:space="preserve">which types of regulatory </w:t>
      </w:r>
      <w:r w:rsidR="00DF47C2">
        <w:t>information</w:t>
      </w:r>
      <w:r w:rsidR="009B3268">
        <w:t xml:space="preserve"> should be included or not included)</w:t>
      </w:r>
      <w:r>
        <w:t xml:space="preserve"> considering Cal TF’s mission, ongoing activities, and expertise areas; other related regulatory efforts within and outside the Cal TF; and value-add opportunities for Cal TF membership.</w:t>
      </w:r>
      <w:r w:rsidRPr="003C6D22">
        <w:t xml:space="preserve"> </w:t>
      </w:r>
    </w:p>
    <w:p w14:paraId="555B28A8" w14:textId="77777777" w:rsidR="00557BB0" w:rsidRPr="003C6D22" w:rsidRDefault="00557BB0" w:rsidP="00557BB0">
      <w:r>
        <w:t>Stage-gate: TF membership buy-in on the regulatory scope.</w:t>
      </w:r>
    </w:p>
    <w:p w14:paraId="3E9F9322" w14:textId="677CF811" w:rsidR="003C6D22" w:rsidRPr="003C6D22" w:rsidRDefault="003C6D22" w:rsidP="003C6D22">
      <w:pPr>
        <w:rPr>
          <w:u w:val="single"/>
        </w:rPr>
      </w:pPr>
      <w:r w:rsidRPr="003C6D22">
        <w:rPr>
          <w:u w:val="single"/>
        </w:rPr>
        <w:t xml:space="preserve">Task 2. Develop Cal TF Regulatory Update </w:t>
      </w:r>
      <w:r w:rsidR="00E97E62">
        <w:rPr>
          <w:u w:val="single"/>
        </w:rPr>
        <w:t>Recommendation</w:t>
      </w:r>
      <w:r w:rsidR="005B71D8">
        <w:rPr>
          <w:u w:val="single"/>
        </w:rPr>
        <w:t xml:space="preserve"> </w:t>
      </w:r>
      <w:r w:rsidR="00E97E62">
        <w:rPr>
          <w:u w:val="single"/>
        </w:rPr>
        <w:t xml:space="preserve"> </w:t>
      </w:r>
      <w:r w:rsidR="00E97E62" w:rsidRPr="003C6D22">
        <w:rPr>
          <w:u w:val="single"/>
        </w:rPr>
        <w:t xml:space="preserve"> </w:t>
      </w:r>
    </w:p>
    <w:p w14:paraId="1C297EBA" w14:textId="2D6F96C4" w:rsidR="009B3268" w:rsidRDefault="007900E6" w:rsidP="00D03B2E">
      <w:r>
        <w:t xml:space="preserve">Cal TF will </w:t>
      </w:r>
      <w:r w:rsidR="009B3268">
        <w:t xml:space="preserve">review the various forms of </w:t>
      </w:r>
      <w:r w:rsidR="0097712D">
        <w:t xml:space="preserve">regulatory </w:t>
      </w:r>
      <w:r w:rsidR="00694D04">
        <w:t xml:space="preserve">information </w:t>
      </w:r>
      <w:r w:rsidR="00D03B2E">
        <w:t xml:space="preserve">within the defined scope </w:t>
      </w:r>
      <w:r w:rsidR="009B3268">
        <w:t xml:space="preserve">to assess </w:t>
      </w:r>
      <w:r w:rsidR="00D03B2E">
        <w:t xml:space="preserve">the formats, </w:t>
      </w:r>
      <w:r w:rsidR="0097712D">
        <w:t xml:space="preserve">frequency, and </w:t>
      </w:r>
      <w:r w:rsidR="00D03B2E">
        <w:t xml:space="preserve">accessibility of </w:t>
      </w:r>
      <w:r w:rsidR="009B3268">
        <w:t>relevant</w:t>
      </w:r>
      <w:r w:rsidR="00D03B2E">
        <w:t xml:space="preserve"> regulatory</w:t>
      </w:r>
      <w:r w:rsidR="0097712D">
        <w:t xml:space="preserve"> policy/guidance updates. </w:t>
      </w:r>
      <w:r w:rsidR="00D03B2E">
        <w:t xml:space="preserve"> </w:t>
      </w:r>
    </w:p>
    <w:p w14:paraId="3E9B3D61" w14:textId="525C095C" w:rsidR="007D292C" w:rsidRDefault="007900E6" w:rsidP="009B3268">
      <w:r>
        <w:t>Cal TF</w:t>
      </w:r>
      <w:r w:rsidR="00D03B2E">
        <w:t xml:space="preserve"> will </w:t>
      </w:r>
      <w:r w:rsidR="00E97E62">
        <w:t xml:space="preserve">solicit input from TF members and stakeholders to </w:t>
      </w:r>
      <w:r w:rsidR="00D03B2E">
        <w:t xml:space="preserve">develop a </w:t>
      </w:r>
      <w:r w:rsidR="00694D04">
        <w:t>proposed format and frequency for Cal TF regulatory updates</w:t>
      </w:r>
      <w:r w:rsidR="00D03B2E">
        <w:t xml:space="preserve"> and </w:t>
      </w:r>
      <w:r w:rsidR="00E97E62">
        <w:t xml:space="preserve">will </w:t>
      </w:r>
      <w:r w:rsidR="00D03B2E">
        <w:t xml:space="preserve">present the proposed </w:t>
      </w:r>
      <w:r w:rsidR="00694D04" w:rsidRPr="00D03B2E">
        <w:t>regulatory update solution to TF Membership for discussion</w:t>
      </w:r>
      <w:r w:rsidR="009B3268">
        <w:t xml:space="preserve">. </w:t>
      </w:r>
      <w:r w:rsidR="00D03B2E">
        <w:t>The proposed solution will include</w:t>
      </w:r>
      <w:r w:rsidR="009B3268">
        <w:t xml:space="preserve"> 1) </w:t>
      </w:r>
      <w:r w:rsidR="007D292C">
        <w:t>a description on how this activity complements (and is not redundant with) other related regulatory communication efforts</w:t>
      </w:r>
      <w:r w:rsidR="009B3268">
        <w:t xml:space="preserve"> and 2) </w:t>
      </w:r>
      <w:r w:rsidR="007D292C">
        <w:t>a summary of level of effort required to implement</w:t>
      </w:r>
      <w:r w:rsidR="009B3268">
        <w:t>.</w:t>
      </w:r>
    </w:p>
    <w:p w14:paraId="6541A588" w14:textId="6189D1A2" w:rsidR="003C6D22" w:rsidRPr="003C6D22" w:rsidRDefault="003C6D22" w:rsidP="003C6D22">
      <w:pPr>
        <w:rPr>
          <w:u w:val="single"/>
        </w:rPr>
      </w:pPr>
      <w:r w:rsidRPr="003C6D22">
        <w:rPr>
          <w:u w:val="single"/>
        </w:rPr>
        <w:t>Task 3. Implement Cal TF Regulatory Update Process</w:t>
      </w:r>
    </w:p>
    <w:p w14:paraId="14847408" w14:textId="45B710C2" w:rsidR="00E97E62" w:rsidRDefault="00E97E62" w:rsidP="003C6D22">
      <w:r>
        <w:t xml:space="preserve">Cal TF will </w:t>
      </w:r>
      <w:r w:rsidRPr="009B3268">
        <w:t>discuss</w:t>
      </w:r>
      <w:r>
        <w:t xml:space="preserve"> the proposed solution with CPUC Staff</w:t>
      </w:r>
      <w:r w:rsidRPr="009B3268">
        <w:t xml:space="preserve"> </w:t>
      </w:r>
      <w:r>
        <w:t xml:space="preserve">and solicit CPUC input regarding both the proposal and implementation approaches (i.e., whether CPUC Staff would like to take on the activity). Cal TF will share CPUC’s input with the TF to determine any next steps. </w:t>
      </w:r>
    </w:p>
    <w:p w14:paraId="398067E4" w14:textId="5CEAC5FB" w:rsidR="00557BB0" w:rsidRPr="003C6D22" w:rsidRDefault="00557BB0" w:rsidP="00557BB0">
      <w:r>
        <w:t>Stage-gate: TF membership and CPUC Staff buy-in on the implementation approach.</w:t>
      </w:r>
    </w:p>
    <w:p w14:paraId="4B8BDED1" w14:textId="6F71B64F" w:rsidR="008A2530" w:rsidRDefault="00DA5023" w:rsidP="007D0F50">
      <w:pPr>
        <w:pStyle w:val="Heading2"/>
      </w:pPr>
      <w:r>
        <w:t>Deliverables</w:t>
      </w:r>
    </w:p>
    <w:p w14:paraId="7885317C" w14:textId="512EC8FB" w:rsidR="00E97E62" w:rsidRDefault="00A52D61" w:rsidP="00E97E62">
      <w:pPr>
        <w:pStyle w:val="ListParagraph"/>
        <w:numPr>
          <w:ilvl w:val="0"/>
          <w:numId w:val="12"/>
        </w:numPr>
      </w:pPr>
      <w:r>
        <w:t>M</w:t>
      </w:r>
      <w:r w:rsidR="00910BFF">
        <w:t>emorandum</w:t>
      </w:r>
      <w:r w:rsidR="007F4EFB">
        <w:t xml:space="preserve"> or </w:t>
      </w:r>
      <w:r w:rsidR="00373AD7">
        <w:t xml:space="preserve">presentation describing the proposed approach, including scope, </w:t>
      </w:r>
      <w:r w:rsidR="00910BFF">
        <w:t>format, and frequency</w:t>
      </w:r>
      <w:r w:rsidR="00373AD7">
        <w:t>.</w:t>
      </w:r>
    </w:p>
    <w:p w14:paraId="040825AA" w14:textId="7F318CBB" w:rsidR="00E97E62" w:rsidRDefault="00E97E62" w:rsidP="00E97E62">
      <w:pPr>
        <w:pStyle w:val="ListParagraph"/>
        <w:numPr>
          <w:ilvl w:val="0"/>
          <w:numId w:val="12"/>
        </w:numPr>
      </w:pPr>
      <w:r>
        <w:t xml:space="preserve">CPUC Staff input on the proposed solution and implementation. </w:t>
      </w:r>
    </w:p>
    <w:p w14:paraId="6C0B20C6" w14:textId="60CE86E7" w:rsidR="00E91580" w:rsidRDefault="00E91580" w:rsidP="00E91580">
      <w:pPr>
        <w:pStyle w:val="Heading2"/>
      </w:pPr>
      <w:r>
        <w:t>Po</w:t>
      </w:r>
      <w:r w:rsidR="00FB063C">
        <w:t>t</w:t>
      </w:r>
      <w:r>
        <w:t xml:space="preserve">ential Obstacles and Preliminary Solutions </w:t>
      </w:r>
    </w:p>
    <w:p w14:paraId="602C8E2E" w14:textId="2EEA31C0" w:rsidR="007B3387" w:rsidRDefault="007B3387" w:rsidP="007B3387">
      <w:pPr>
        <w:pStyle w:val="ListParagraph"/>
        <w:numPr>
          <w:ilvl w:val="0"/>
          <w:numId w:val="12"/>
        </w:numPr>
      </w:pPr>
      <w:r w:rsidRPr="007F2FB7">
        <w:rPr>
          <w:b/>
          <w:bCs/>
        </w:rPr>
        <w:t>Access to information</w:t>
      </w:r>
      <w:r>
        <w:t xml:space="preserve"> </w:t>
      </w:r>
      <w:r w:rsidR="007F2FB7">
        <w:t xml:space="preserve">– In the current state, some regulatory guidance or clarification is provided directly to stakeholders and/or in informal and non-public formats. Cal TF will work with all stakeholders and CPUC to </w:t>
      </w:r>
      <w:r w:rsidR="00C5062B">
        <w:t xml:space="preserve">understand the various streams of regulatory information and devise an approach to ensure relevant regulatory </w:t>
      </w:r>
      <w:r w:rsidR="00614AD2">
        <w:t xml:space="preserve">information </w:t>
      </w:r>
      <w:r w:rsidR="00C5062B">
        <w:t>is available for the stakeholder summaries.</w:t>
      </w:r>
    </w:p>
    <w:p w14:paraId="0E568511" w14:textId="111B6182" w:rsidR="008436B2" w:rsidRDefault="007B3387" w:rsidP="007B3387">
      <w:pPr>
        <w:pStyle w:val="ListParagraph"/>
        <w:numPr>
          <w:ilvl w:val="0"/>
          <w:numId w:val="12"/>
        </w:numPr>
      </w:pPr>
      <w:r w:rsidRPr="00C5062B">
        <w:rPr>
          <w:b/>
          <w:bCs/>
        </w:rPr>
        <w:t>Policy/guidance interpretation</w:t>
      </w:r>
      <w:r>
        <w:t xml:space="preserve"> –</w:t>
      </w:r>
      <w:r w:rsidR="00C5062B">
        <w:t xml:space="preserve"> Some regulatory policy/guidance may be interpreted differently by stakeholders.</w:t>
      </w:r>
      <w:r w:rsidR="008436B2">
        <w:t xml:space="preserve"> </w:t>
      </w:r>
      <w:r w:rsidR="00C5062B">
        <w:t xml:space="preserve">For these cases, Cal TF will work with stakeholders to ensure </w:t>
      </w:r>
      <w:r w:rsidR="0004164B">
        <w:t>regulatory</w:t>
      </w:r>
      <w:r w:rsidR="00C5062B">
        <w:t xml:space="preserve"> summaries </w:t>
      </w:r>
      <w:r w:rsidR="0004164B">
        <w:t xml:space="preserve">are clear to them and </w:t>
      </w:r>
      <w:r w:rsidR="00461F6B">
        <w:t xml:space="preserve">with </w:t>
      </w:r>
      <w:r w:rsidR="0004164B">
        <w:t xml:space="preserve">CPUC Staff to ensure the summaries accurately and completely summarize the regulatory guidance.  </w:t>
      </w:r>
    </w:p>
    <w:p w14:paraId="1DCA43CA" w14:textId="6A85F018" w:rsidR="004B4CEA" w:rsidRDefault="004B4CEA" w:rsidP="007567EB">
      <w:pPr>
        <w:pStyle w:val="Heading1"/>
      </w:pPr>
      <w:r>
        <w:lastRenderedPageBreak/>
        <w:t>Schedule</w:t>
      </w:r>
    </w:p>
    <w:p w14:paraId="64313F3F" w14:textId="209D3D83" w:rsidR="007900E6" w:rsidRDefault="007900E6" w:rsidP="00203978">
      <w:r w:rsidRPr="007900E6">
        <w:t>Cal TF a</w:t>
      </w:r>
      <w:r>
        <w:t>nticipates completing</w:t>
      </w:r>
      <w:r w:rsidR="0097712D">
        <w:t xml:space="preserve"> Tasks 1 and 2 </w:t>
      </w:r>
      <w:r>
        <w:t>by the end of Q2 2023.</w:t>
      </w:r>
      <w:r w:rsidR="0097712D">
        <w:t xml:space="preserve"> Implementation of the recommendation will depend on the outcome of Task 3. </w:t>
      </w:r>
    </w:p>
    <w:p w14:paraId="5072F5C5" w14:textId="5E4F2B4B" w:rsidR="007900E6" w:rsidRPr="007900E6" w:rsidRDefault="007900E6" w:rsidP="00203978">
      <w:r>
        <w:t>Key Milestones:</w:t>
      </w:r>
    </w:p>
    <w:p w14:paraId="35FA288A" w14:textId="77777777" w:rsidR="007900E6" w:rsidRDefault="007900E6" w:rsidP="00B047DE">
      <w:pPr>
        <w:pStyle w:val="ListParagraph"/>
        <w:numPr>
          <w:ilvl w:val="0"/>
          <w:numId w:val="12"/>
        </w:numPr>
      </w:pPr>
      <w:r>
        <w:t xml:space="preserve">Present 6D workplan for TF affirmation – </w:t>
      </w:r>
      <w:r w:rsidRPr="009A5598">
        <w:rPr>
          <w:b/>
          <w:bCs/>
        </w:rPr>
        <w:t>February 2023</w:t>
      </w:r>
      <w:r>
        <w:t xml:space="preserve"> </w:t>
      </w:r>
    </w:p>
    <w:p w14:paraId="649828EC" w14:textId="41A56A4D" w:rsidR="00BF2525" w:rsidRDefault="00BF2525" w:rsidP="00BF2525">
      <w:pPr>
        <w:pStyle w:val="ListParagraph"/>
        <w:numPr>
          <w:ilvl w:val="0"/>
          <w:numId w:val="12"/>
        </w:numPr>
      </w:pPr>
      <w:r>
        <w:t>D</w:t>
      </w:r>
      <w:r w:rsidR="00BB4899">
        <w:t xml:space="preserve">efine the </w:t>
      </w:r>
      <w:r>
        <w:t xml:space="preserve">regulatory </w:t>
      </w:r>
      <w:r w:rsidR="00BB4899">
        <w:t>scop</w:t>
      </w:r>
      <w:r w:rsidR="007900E6">
        <w:t>e</w:t>
      </w:r>
      <w:r w:rsidR="00614AD2">
        <w:t xml:space="preserve"> and understand the ways that regulatory directives are communicated to various stakeholders, including gaps and needs</w:t>
      </w:r>
      <w:r w:rsidR="007900E6">
        <w:t xml:space="preserve"> – </w:t>
      </w:r>
      <w:r w:rsidR="00461F6B" w:rsidRPr="009A5598">
        <w:rPr>
          <w:b/>
          <w:bCs/>
        </w:rPr>
        <w:t>April</w:t>
      </w:r>
      <w:r w:rsidR="007900E6" w:rsidRPr="009A5598">
        <w:rPr>
          <w:b/>
          <w:bCs/>
        </w:rPr>
        <w:t xml:space="preserve"> 2023</w:t>
      </w:r>
      <w:r w:rsidR="007900E6">
        <w:t xml:space="preserve"> </w:t>
      </w:r>
      <w:r>
        <w:t xml:space="preserve"> </w:t>
      </w:r>
    </w:p>
    <w:p w14:paraId="19D92D3B" w14:textId="7251B6C2" w:rsidR="0074650F" w:rsidRDefault="00BF2525" w:rsidP="00BB4899">
      <w:pPr>
        <w:pStyle w:val="ListParagraph"/>
        <w:numPr>
          <w:ilvl w:val="0"/>
          <w:numId w:val="12"/>
        </w:numPr>
      </w:pPr>
      <w:r w:rsidRPr="007900E6">
        <w:t>Present proposed regulatory update solution to TF</w:t>
      </w:r>
      <w:r w:rsidR="0074650F">
        <w:t xml:space="preserve"> </w:t>
      </w:r>
      <w:r w:rsidR="007900E6">
        <w:t xml:space="preserve">– </w:t>
      </w:r>
      <w:r w:rsidR="007900E6" w:rsidRPr="009A5598">
        <w:rPr>
          <w:b/>
          <w:bCs/>
        </w:rPr>
        <w:t>May 2023</w:t>
      </w:r>
    </w:p>
    <w:p w14:paraId="08F648B2" w14:textId="0DEF18FA" w:rsidR="00BB4899" w:rsidRPr="007900E6" w:rsidRDefault="0074650F" w:rsidP="00BB4899">
      <w:pPr>
        <w:pStyle w:val="ListParagraph"/>
        <w:numPr>
          <w:ilvl w:val="0"/>
          <w:numId w:val="12"/>
        </w:numPr>
      </w:pPr>
      <w:r>
        <w:t xml:space="preserve">Solicit CPUC Staff input and buy-in on </w:t>
      </w:r>
      <w:r w:rsidRPr="007900E6">
        <w:t xml:space="preserve">proposed </w:t>
      </w:r>
      <w:r>
        <w:t xml:space="preserve">implementation approach – </w:t>
      </w:r>
      <w:r w:rsidRPr="009A5598">
        <w:rPr>
          <w:b/>
          <w:bCs/>
        </w:rPr>
        <w:t>June 2023</w:t>
      </w:r>
      <w:r w:rsidR="007900E6">
        <w:t xml:space="preserve"> </w:t>
      </w:r>
    </w:p>
    <w:p w14:paraId="025D5193" w14:textId="0D481641" w:rsidR="00B047DE" w:rsidRDefault="0074650F" w:rsidP="007900E6">
      <w:r>
        <w:t>Further activities will depend on discussion with CPUC Staff</w:t>
      </w:r>
      <w:r w:rsidR="007F0E18">
        <w:t xml:space="preserve">. </w:t>
      </w:r>
    </w:p>
    <w:p w14:paraId="2A1AD74D" w14:textId="0441B739" w:rsidR="00590E75" w:rsidRDefault="00834A27" w:rsidP="00170C10">
      <w:pPr>
        <w:pStyle w:val="Heading1"/>
        <w:ind w:left="360" w:hanging="90"/>
      </w:pPr>
      <w:r>
        <w:t>Stakeholders and Team Members</w:t>
      </w:r>
    </w:p>
    <w:p w14:paraId="6C5D96F6" w14:textId="13332750" w:rsidR="007F0E18" w:rsidRDefault="00C5062B" w:rsidP="0066332A">
      <w:r>
        <w:t xml:space="preserve">Cal TF Staff will lead this initiative with input from key stakeholders, including: </w:t>
      </w:r>
      <w:r w:rsidR="00B568E5">
        <w:t xml:space="preserve">CPUC Staff, TF Members, </w:t>
      </w:r>
      <w:r w:rsidR="007F0E18">
        <w:t xml:space="preserve">and Cal TF stakeholders. </w:t>
      </w:r>
    </w:p>
    <w:p w14:paraId="62E0F91F" w14:textId="19B41559" w:rsidR="00C5062B" w:rsidRDefault="00C5062B" w:rsidP="00C5062B">
      <w:pPr>
        <w:pStyle w:val="ListParagraph"/>
        <w:numPr>
          <w:ilvl w:val="0"/>
          <w:numId w:val="12"/>
        </w:numPr>
      </w:pPr>
      <w:r>
        <w:t xml:space="preserve">Cal TF Staff Lead: </w:t>
      </w:r>
      <w:r w:rsidR="00807588">
        <w:t>Arlis Reynolds</w:t>
      </w:r>
    </w:p>
    <w:p w14:paraId="2DA3850E" w14:textId="3286B7B3" w:rsidR="00C66FCC" w:rsidRDefault="00C5062B" w:rsidP="00C5062B">
      <w:pPr>
        <w:pStyle w:val="ListParagraph"/>
        <w:numPr>
          <w:ilvl w:val="0"/>
          <w:numId w:val="12"/>
        </w:numPr>
      </w:pPr>
      <w:r>
        <w:t>T</w:t>
      </w:r>
      <w:r w:rsidR="007F0E18">
        <w:t xml:space="preserve">F Champions: </w:t>
      </w:r>
      <w:r w:rsidR="00CF05F9">
        <w:t>TBD</w:t>
      </w:r>
    </w:p>
    <w:p w14:paraId="617B77DB" w14:textId="23CB1502" w:rsidR="00B568E5" w:rsidRDefault="007F0E18" w:rsidP="00C5062B">
      <w:pPr>
        <w:pStyle w:val="ListParagraph"/>
        <w:numPr>
          <w:ilvl w:val="0"/>
          <w:numId w:val="12"/>
        </w:numPr>
      </w:pPr>
      <w:r w:rsidRPr="00C66FCC">
        <w:t xml:space="preserve">TF Members: </w:t>
      </w:r>
      <w:r w:rsidR="00B568E5">
        <w:t xml:space="preserve">Cal TF </w:t>
      </w:r>
      <w:r w:rsidR="00614AD2">
        <w:t xml:space="preserve">Staff </w:t>
      </w:r>
      <w:r w:rsidR="00B568E5">
        <w:t xml:space="preserve">will solicit input from </w:t>
      </w:r>
      <w:r w:rsidR="00B568E5" w:rsidRPr="00614AD2">
        <w:t>TF members</w:t>
      </w:r>
      <w:r w:rsidR="00C66FCC">
        <w:t>hip</w:t>
      </w:r>
      <w:r w:rsidR="00B568E5">
        <w:t xml:space="preserve"> </w:t>
      </w:r>
      <w:r w:rsidR="001A2FBB">
        <w:t xml:space="preserve">regarding </w:t>
      </w:r>
      <w:r w:rsidR="00E97455" w:rsidRPr="00E97455">
        <w:t>relevant regulatory updates (including guidance, decisions, and resolutions) that may impact existing or proposed measures or otherwise be of interest to Cal TF Stakeholders</w:t>
      </w:r>
      <w:r w:rsidR="001A2FBB">
        <w:t xml:space="preserve"> and the preferred format and frequency for summarized update information. </w:t>
      </w:r>
    </w:p>
    <w:p w14:paraId="3B29D704" w14:textId="438D2047" w:rsidR="007F27DA" w:rsidRDefault="007F27DA" w:rsidP="007F27DA">
      <w:pPr>
        <w:pStyle w:val="Heading1"/>
      </w:pPr>
      <w:r>
        <w:t>Budget</w:t>
      </w:r>
    </w:p>
    <w:p w14:paraId="4F2A8FF1" w14:textId="77777777" w:rsidR="007F27DA" w:rsidRDefault="007F27DA" w:rsidP="007F27DA">
      <w:pPr>
        <w:spacing w:after="0"/>
        <w:rPr>
          <w:rFonts w:cs="Arial"/>
          <w:sz w:val="20"/>
          <w:szCs w:val="20"/>
        </w:rPr>
      </w:pPr>
      <w:r>
        <w:t>Cal TF Staff will conduct this activity within the approved Cal TF budget.</w:t>
      </w:r>
      <w:r>
        <w:rPr>
          <w:rFonts w:cs="Arial"/>
          <w:sz w:val="20"/>
          <w:szCs w:val="20"/>
        </w:rPr>
        <w:t xml:space="preserve"> </w:t>
      </w:r>
    </w:p>
    <w:p w14:paraId="335E7E1E" w14:textId="7E24CFF6" w:rsidR="003A3E46" w:rsidRDefault="003A3E46" w:rsidP="003A3E46">
      <w:pPr>
        <w:pStyle w:val="Heading1"/>
      </w:pPr>
      <w:r>
        <w:t>Affirmation</w:t>
      </w:r>
    </w:p>
    <w:p w14:paraId="752A2EE0" w14:textId="71826AF4" w:rsidR="00442A5E" w:rsidRDefault="000D5CFA" w:rsidP="00B07EC7">
      <w:pPr>
        <w:rPr>
          <w:color w:val="000000" w:themeColor="text1"/>
        </w:rPr>
      </w:pPr>
      <w:r w:rsidRPr="000D5CFA">
        <w:rPr>
          <w:color w:val="000000" w:themeColor="text1"/>
        </w:rPr>
        <w:t>This workplan requires TF affirmation.</w:t>
      </w:r>
    </w:p>
    <w:p w14:paraId="334DFC4A" w14:textId="4C1AEB20" w:rsidR="006D5BBE" w:rsidRPr="000D5CFA" w:rsidRDefault="006D5BBE" w:rsidP="00B07EC7">
      <w:pPr>
        <w:rPr>
          <w:color w:val="000000" w:themeColor="text1"/>
        </w:rPr>
      </w:pPr>
      <w:r>
        <w:rPr>
          <w:color w:val="000000" w:themeColor="text1"/>
        </w:rPr>
        <w:t>The TF affirmed this workplan on February 23, 2023.</w:t>
      </w:r>
    </w:p>
    <w:sectPr w:rsidR="006D5BBE" w:rsidRPr="000D5CFA" w:rsidSect="0066332A">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E1FD" w14:textId="77777777" w:rsidR="006E2CF7" w:rsidRDefault="006E2CF7" w:rsidP="000D6169">
      <w:pPr>
        <w:spacing w:after="0" w:line="240" w:lineRule="auto"/>
      </w:pPr>
      <w:r>
        <w:separator/>
      </w:r>
    </w:p>
  </w:endnote>
  <w:endnote w:type="continuationSeparator" w:id="0">
    <w:p w14:paraId="27DB7E48" w14:textId="77777777" w:rsidR="006E2CF7" w:rsidRDefault="006E2CF7" w:rsidP="000D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A2BC" w14:textId="22C1E41A" w:rsidR="008A2530" w:rsidRPr="005A54F1" w:rsidRDefault="00000000" w:rsidP="0067636B">
    <w:pPr>
      <w:pBdr>
        <w:top w:val="single" w:sz="6" w:space="1" w:color="93D042"/>
      </w:pBdr>
      <w:tabs>
        <w:tab w:val="left" w:pos="3840"/>
      </w:tabs>
      <w:spacing w:after="0"/>
      <w:jc w:val="center"/>
      <w:rPr>
        <w:rFonts w:cs="Arial"/>
        <w:sz w:val="16"/>
        <w:szCs w:val="16"/>
      </w:rPr>
    </w:pPr>
    <w:sdt>
      <w:sdtPr>
        <w:rPr>
          <w:rFonts w:cs="Arial"/>
          <w:sz w:val="16"/>
          <w:szCs w:val="16"/>
        </w:rPr>
        <w:id w:val="-119309963"/>
        <w:docPartObj>
          <w:docPartGallery w:val="Page Numbers (Bottom of Page)"/>
          <w:docPartUnique/>
        </w:docPartObj>
      </w:sdtPr>
      <w:sdtEndPr>
        <w:rPr>
          <w:noProof/>
        </w:rPr>
      </w:sdtEndPr>
      <w:sdtContent>
        <w:r w:rsidR="0059092C" w:rsidRPr="005A54F1">
          <w:rPr>
            <w:rFonts w:cs="Arial"/>
            <w:noProof/>
            <w:sz w:val="16"/>
            <w:szCs w:val="16"/>
          </w:rPr>
          <w:fldChar w:fldCharType="begin"/>
        </w:r>
        <w:r w:rsidR="0059092C" w:rsidRPr="005A54F1">
          <w:rPr>
            <w:rFonts w:cs="Arial"/>
            <w:noProof/>
            <w:sz w:val="16"/>
            <w:szCs w:val="16"/>
          </w:rPr>
          <w:instrText xml:space="preserve"> PAGE   \* MERGEFORMAT </w:instrText>
        </w:r>
        <w:r w:rsidR="0059092C" w:rsidRPr="005A54F1">
          <w:rPr>
            <w:rFonts w:cs="Arial"/>
            <w:noProof/>
            <w:sz w:val="16"/>
            <w:szCs w:val="16"/>
          </w:rPr>
          <w:fldChar w:fldCharType="separate"/>
        </w:r>
        <w:r w:rsidR="0059092C" w:rsidRPr="005A54F1">
          <w:rPr>
            <w:rFonts w:cs="Arial"/>
            <w:noProof/>
            <w:sz w:val="16"/>
            <w:szCs w:val="16"/>
          </w:rPr>
          <w:t>1</w:t>
        </w:r>
        <w:r w:rsidR="0059092C" w:rsidRPr="005A54F1">
          <w:rPr>
            <w:rFonts w:cs="Arial"/>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69E1" w14:textId="77777777" w:rsidR="0059092C" w:rsidRPr="005A54F1" w:rsidRDefault="00000000" w:rsidP="0067636B">
    <w:pPr>
      <w:pBdr>
        <w:top w:val="single" w:sz="6" w:space="1" w:color="93D042"/>
      </w:pBdr>
      <w:tabs>
        <w:tab w:val="left" w:pos="3840"/>
      </w:tabs>
      <w:spacing w:after="0"/>
      <w:jc w:val="center"/>
      <w:rPr>
        <w:rFonts w:cs="Arial"/>
        <w:sz w:val="18"/>
        <w:szCs w:val="20"/>
      </w:rPr>
    </w:pPr>
    <w:sdt>
      <w:sdtPr>
        <w:rPr>
          <w:rFonts w:cs="Arial"/>
          <w:color w:val="7F7F7F" w:themeColor="text1" w:themeTint="80"/>
          <w:sz w:val="16"/>
        </w:rPr>
        <w:id w:val="485210518"/>
        <w:docPartObj>
          <w:docPartGallery w:val="Page Numbers (Bottom of Page)"/>
          <w:docPartUnique/>
        </w:docPartObj>
      </w:sdtPr>
      <w:sdtEndPr>
        <w:rPr>
          <w:noProof/>
        </w:rPr>
      </w:sdtEndPr>
      <w:sdtContent>
        <w:r w:rsidR="002C3899" w:rsidRPr="005A54F1">
          <w:rPr>
            <w:rFonts w:cs="Arial"/>
            <w:noProof/>
            <w:color w:val="7F7F7F" w:themeColor="text1" w:themeTint="80"/>
            <w:sz w:val="16"/>
          </w:rPr>
          <w:fldChar w:fldCharType="begin"/>
        </w:r>
        <w:r w:rsidR="002C3899" w:rsidRPr="005A54F1">
          <w:rPr>
            <w:rFonts w:cs="Arial"/>
            <w:noProof/>
            <w:color w:val="7F7F7F" w:themeColor="text1" w:themeTint="80"/>
            <w:sz w:val="16"/>
          </w:rPr>
          <w:instrText xml:space="preserve"> PAGE   \* MERGEFORMAT </w:instrText>
        </w:r>
        <w:r w:rsidR="002C3899" w:rsidRPr="005A54F1">
          <w:rPr>
            <w:rFonts w:cs="Arial"/>
            <w:noProof/>
            <w:color w:val="7F7F7F" w:themeColor="text1" w:themeTint="80"/>
            <w:sz w:val="16"/>
          </w:rPr>
          <w:fldChar w:fldCharType="separate"/>
        </w:r>
        <w:r w:rsidR="002C3899" w:rsidRPr="005A54F1">
          <w:rPr>
            <w:rFonts w:cs="Arial"/>
            <w:noProof/>
            <w:color w:val="7F7F7F" w:themeColor="text1" w:themeTint="80"/>
            <w:sz w:val="16"/>
          </w:rPr>
          <w:t>2</w:t>
        </w:r>
        <w:r w:rsidR="002C3899" w:rsidRPr="005A54F1">
          <w:rPr>
            <w:rFonts w:cs="Arial"/>
            <w:noProof/>
            <w:color w:val="7F7F7F" w:themeColor="text1" w:themeTint="80"/>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ACC0" w14:textId="77777777" w:rsidR="006E2CF7" w:rsidRDefault="006E2CF7" w:rsidP="000D6169">
      <w:pPr>
        <w:spacing w:after="0" w:line="240" w:lineRule="auto"/>
      </w:pPr>
      <w:r>
        <w:separator/>
      </w:r>
    </w:p>
  </w:footnote>
  <w:footnote w:type="continuationSeparator" w:id="0">
    <w:p w14:paraId="7EF168E5" w14:textId="77777777" w:rsidR="006E2CF7" w:rsidRDefault="006E2CF7" w:rsidP="000D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1FA9" w14:textId="63BDEB2D" w:rsidR="00E0232E" w:rsidRPr="00C83870" w:rsidRDefault="0066332A" w:rsidP="00C83870">
    <w:pPr>
      <w:tabs>
        <w:tab w:val="right" w:pos="9360"/>
      </w:tabs>
      <w:spacing w:after="0"/>
      <w:rPr>
        <w:rFonts w:cs="Arial"/>
        <w:sz w:val="6"/>
        <w:szCs w:val="20"/>
      </w:rPr>
    </w:pPr>
    <w:r>
      <w:rPr>
        <w:b/>
        <w:color w:val="808080" w:themeColor="background1" w:themeShade="80"/>
        <w:spacing w:val="10"/>
        <w:sz w:val="16"/>
      </w:rPr>
      <w:t>WORKPLAN</w:t>
    </w:r>
    <w:r w:rsidR="00CF5E56">
      <w:rPr>
        <w:b/>
        <w:color w:val="808080" w:themeColor="background1" w:themeShade="80"/>
        <w:spacing w:val="10"/>
        <w:sz w:val="16"/>
      </w:rPr>
      <w:t xml:space="preserve"> </w:t>
    </w:r>
    <w:r w:rsidR="00DA6CC5">
      <w:rPr>
        <w:b/>
        <w:color w:val="808080" w:themeColor="background1" w:themeShade="80"/>
        <w:spacing w:val="10"/>
        <w:sz w:val="16"/>
      </w:rPr>
      <w:t xml:space="preserve"> </w:t>
    </w:r>
    <w:r w:rsidR="00E6199F" w:rsidRPr="00BD1E59">
      <w:rPr>
        <w:spacing w:val="10"/>
        <w:sz w:val="16"/>
      </w:rPr>
      <w:fldChar w:fldCharType="begin"/>
    </w:r>
    <w:r w:rsidR="00E6199F" w:rsidRPr="00BD1E59">
      <w:rPr>
        <w:spacing w:val="10"/>
        <w:sz w:val="16"/>
      </w:rPr>
      <w:instrText xml:space="preserve"> STYLEREF  Title  \* MERGEFORMAT </w:instrText>
    </w:r>
    <w:r w:rsidR="00E6199F" w:rsidRPr="00BD1E59">
      <w:rPr>
        <w:spacing w:val="10"/>
        <w:sz w:val="16"/>
      </w:rPr>
      <w:fldChar w:fldCharType="separate"/>
    </w:r>
    <w:r w:rsidR="006D5BBE" w:rsidRPr="006D5BBE">
      <w:rPr>
        <w:b/>
        <w:bCs/>
        <w:noProof/>
        <w:spacing w:val="10"/>
        <w:sz w:val="16"/>
      </w:rPr>
      <w:t xml:space="preserve">2023 BP METRIC 6D: Regulatory Updates for Cal </w:t>
    </w:r>
    <w:r w:rsidR="006D5BBE">
      <w:rPr>
        <w:noProof/>
        <w:spacing w:val="10"/>
        <w:sz w:val="16"/>
      </w:rPr>
      <w:t>TF Membership</w:t>
    </w:r>
    <w:r w:rsidR="00E6199F" w:rsidRPr="00BD1E59">
      <w:rPr>
        <w:spacing w:val="10"/>
        <w:sz w:val="16"/>
      </w:rPr>
      <w:fldChar w:fldCharType="end"/>
    </w:r>
    <w:r w:rsidR="00C83870" w:rsidRPr="00C83870">
      <w:rPr>
        <w:spacing w:val="10"/>
        <w:sz w:val="16"/>
      </w:rPr>
      <w:tab/>
    </w:r>
  </w:p>
  <w:p w14:paraId="3EC11F6C" w14:textId="77777777" w:rsidR="00E0232E" w:rsidRDefault="00E0232E" w:rsidP="0067636B">
    <w:pPr>
      <w:pBdr>
        <w:top w:val="single" w:sz="8" w:space="1" w:color="93D042"/>
      </w:pBdr>
      <w:tabs>
        <w:tab w:val="left" w:pos="3840"/>
      </w:tabs>
      <w:spacing w:after="0"/>
      <w:rPr>
        <w:rFonts w:cs="Arial"/>
        <w:sz w:val="20"/>
        <w:szCs w:val="20"/>
      </w:rPr>
    </w:pPr>
  </w:p>
  <w:p w14:paraId="7A69DE05" w14:textId="233EE772" w:rsidR="000D6169" w:rsidRDefault="000D6169" w:rsidP="00E61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BF47" w14:textId="48C282D9" w:rsidR="00ED388C" w:rsidRDefault="00ED388C" w:rsidP="00E6199F">
    <w:pPr>
      <w:pStyle w:val="Header"/>
    </w:pPr>
    <w:r>
      <w:rPr>
        <w:noProof/>
      </w:rPr>
      <mc:AlternateContent>
        <mc:Choice Requires="wps">
          <w:drawing>
            <wp:anchor distT="45720" distB="45720" distL="114300" distR="114300" simplePos="0" relativeHeight="251662336" behindDoc="0" locked="0" layoutInCell="1" allowOverlap="1" wp14:anchorId="49F10406" wp14:editId="1DC0295B">
              <wp:simplePos x="0" y="0"/>
              <wp:positionH relativeFrom="margin">
                <wp:align>left</wp:align>
              </wp:positionH>
              <wp:positionV relativeFrom="paragraph">
                <wp:posOffset>298450</wp:posOffset>
              </wp:positionV>
              <wp:extent cx="6038850" cy="628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28650"/>
                      </a:xfrm>
                      <a:prstGeom prst="rect">
                        <a:avLst/>
                      </a:prstGeom>
                      <a:solidFill>
                        <a:srgbClr val="FFFFFF"/>
                      </a:solidFill>
                      <a:ln w="9525">
                        <a:noFill/>
                        <a:miter lim="800000"/>
                        <a:headEnd/>
                        <a:tailEnd/>
                      </a:ln>
                    </wps:spPr>
                    <wps:txbx>
                      <w:txbxContent>
                        <w:p w14:paraId="5FEE86FE" w14:textId="77777777" w:rsidR="006963C8" w:rsidRDefault="006963C8" w:rsidP="00850516">
                          <w:pPr>
                            <w:spacing w:after="0" w:line="360" w:lineRule="exact"/>
                            <w:contextualSpacing/>
                            <w:rPr>
                              <w:rFonts w:ascii="Arial Bold" w:hAnsi="Arial Bold"/>
                              <w:b/>
                              <w:color w:val="808080" w:themeColor="background1" w:themeShade="80"/>
                              <w:spacing w:val="14"/>
                              <w:sz w:val="38"/>
                            </w:rPr>
                          </w:pPr>
                        </w:p>
                        <w:p w14:paraId="1B66F4FC" w14:textId="768F98F6" w:rsidR="00ED388C" w:rsidRPr="006E43E0" w:rsidRDefault="00B4763C" w:rsidP="00850516">
                          <w:pPr>
                            <w:spacing w:after="0" w:line="360" w:lineRule="exact"/>
                            <w:contextualSpacing/>
                            <w:rPr>
                              <w:b/>
                              <w:spacing w:val="10"/>
                              <w:sz w:val="40"/>
                            </w:rPr>
                          </w:pPr>
                          <w:r>
                            <w:rPr>
                              <w:rFonts w:ascii="Arial Bold" w:hAnsi="Arial Bold"/>
                              <w:b/>
                              <w:color w:val="808080" w:themeColor="background1" w:themeShade="80"/>
                              <w:spacing w:val="14"/>
                              <w:sz w:val="38"/>
                            </w:rPr>
                            <w:t>WORKPLAN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10406" id="_x0000_t202" coordsize="21600,21600" o:spt="202" path="m,l,21600r21600,l21600,xe">
              <v:stroke joinstyle="miter"/>
              <v:path gradientshapeok="t" o:connecttype="rect"/>
            </v:shapetype>
            <v:shape id="Text Box 2" o:spid="_x0000_s1026" type="#_x0000_t202" style="position:absolute;margin-left:0;margin-top:23.5pt;width:475.5pt;height:4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" stroked="f">
              <v:textbox>
                <w:txbxContent>
                  <w:p w14:paraId="5FEE86FE" w14:textId="77777777" w:rsidR="006963C8" w:rsidRDefault="006963C8" w:rsidP="00850516">
                    <w:pPr>
                      <w:spacing w:after="0" w:line="360" w:lineRule="exact"/>
                      <w:contextualSpacing/>
                      <w:rPr>
                        <w:rFonts w:ascii="Arial Bold" w:hAnsi="Arial Bold"/>
                        <w:b/>
                        <w:color w:val="808080" w:themeColor="background1" w:themeShade="80"/>
                        <w:spacing w:val="14"/>
                        <w:sz w:val="38"/>
                      </w:rPr>
                    </w:pPr>
                  </w:p>
                  <w:p w14:paraId="1B66F4FC" w14:textId="768F98F6" w:rsidR="00ED388C" w:rsidRPr="006E43E0" w:rsidRDefault="00B4763C" w:rsidP="00850516">
                    <w:pPr>
                      <w:spacing w:after="0" w:line="360" w:lineRule="exact"/>
                      <w:contextualSpacing/>
                      <w:rPr>
                        <w:b/>
                        <w:spacing w:val="10"/>
                        <w:sz w:val="40"/>
                      </w:rPr>
                    </w:pPr>
                    <w:r>
                      <w:rPr>
                        <w:rFonts w:ascii="Arial Bold" w:hAnsi="Arial Bold"/>
                        <w:b/>
                        <w:color w:val="808080" w:themeColor="background1" w:themeShade="80"/>
                        <w:spacing w:val="14"/>
                        <w:sz w:val="38"/>
                      </w:rPr>
                      <w:t>WORKPLAN</w:t>
                    </w:r>
                  </w:p>
                </w:txbxContent>
              </v:textbox>
              <w10:wrap type="square" anchorx="margin"/>
            </v:shape>
          </w:pict>
        </mc:Fallback>
      </mc:AlternateContent>
    </w:r>
    <w:r>
      <w:rPr>
        <w:noProof/>
      </w:rPr>
      <w:drawing>
        <wp:anchor distT="0" distB="0" distL="114300" distR="114300" simplePos="0" relativeHeight="251663360" behindDoc="1" locked="0" layoutInCell="1" allowOverlap="1" wp14:anchorId="755D42BC" wp14:editId="15D60FF3">
          <wp:simplePos x="0" y="0"/>
          <wp:positionH relativeFrom="margin">
            <wp:posOffset>5003800</wp:posOffset>
          </wp:positionH>
          <wp:positionV relativeFrom="paragraph">
            <wp:posOffset>-152400</wp:posOffset>
          </wp:positionV>
          <wp:extent cx="939800" cy="1041400"/>
          <wp:effectExtent l="0" t="0" r="0" b="6350"/>
          <wp:wrapTopAndBottom/>
          <wp:docPr id="4" name="Picture 4"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rotWithShape="1">
                  <a:blip r:embed="rId1">
                    <a:extLst>
                      <a:ext uri="{28A0092B-C50C-407E-A947-70E740481C1C}">
                        <a14:useLocalDpi xmlns:a14="http://schemas.microsoft.com/office/drawing/2010/main" val="0"/>
                      </a:ext>
                    </a:extLst>
                  </a:blip>
                  <a:srcRect l="23901" r="24077" b="13043"/>
                  <a:stretch/>
                </pic:blipFill>
                <pic:spPr bwMode="auto">
                  <a:xfrm>
                    <a:off x="0" y="0"/>
                    <a:ext cx="939800" cy="1041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787"/>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942F1"/>
    <w:multiLevelType w:val="hybridMultilevel"/>
    <w:tmpl w:val="C78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45AA0"/>
    <w:multiLevelType w:val="hybridMultilevel"/>
    <w:tmpl w:val="DB2A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A021F5"/>
    <w:multiLevelType w:val="hybridMultilevel"/>
    <w:tmpl w:val="6E5EA660"/>
    <w:lvl w:ilvl="0" w:tplc="095458BC">
      <w:start w:val="1"/>
      <w:numFmt w:val="upperRoman"/>
      <w:pStyle w:val="Heading1"/>
      <w:lvlText w:val="%1."/>
      <w:lvlJc w:val="righ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EFF1DE1"/>
    <w:multiLevelType w:val="hybridMultilevel"/>
    <w:tmpl w:val="DAC8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C5474"/>
    <w:multiLevelType w:val="hybridMultilevel"/>
    <w:tmpl w:val="606446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64C57"/>
    <w:multiLevelType w:val="hybridMultilevel"/>
    <w:tmpl w:val="B4EC74A0"/>
    <w:lvl w:ilvl="0" w:tplc="B88422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00A21"/>
    <w:multiLevelType w:val="hybridMultilevel"/>
    <w:tmpl w:val="6F86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F7A71"/>
    <w:multiLevelType w:val="hybridMultilevel"/>
    <w:tmpl w:val="D16EE472"/>
    <w:lvl w:ilvl="0" w:tplc="46C2D1A8">
      <w:start w:val="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C0FD0"/>
    <w:multiLevelType w:val="hybridMultilevel"/>
    <w:tmpl w:val="906AB2D0"/>
    <w:lvl w:ilvl="0" w:tplc="F3AE1D46">
      <w:start w:val="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07BED"/>
    <w:multiLevelType w:val="hybridMultilevel"/>
    <w:tmpl w:val="038C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243B0"/>
    <w:multiLevelType w:val="hybridMultilevel"/>
    <w:tmpl w:val="F46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4119">
    <w:abstractNumId w:val="0"/>
  </w:num>
  <w:num w:numId="2" w16cid:durableId="1815178864">
    <w:abstractNumId w:val="2"/>
  </w:num>
  <w:num w:numId="3" w16cid:durableId="393049376">
    <w:abstractNumId w:val="1"/>
  </w:num>
  <w:num w:numId="4" w16cid:durableId="214392399">
    <w:abstractNumId w:val="3"/>
  </w:num>
  <w:num w:numId="5" w16cid:durableId="1899633066">
    <w:abstractNumId w:val="5"/>
  </w:num>
  <w:num w:numId="6" w16cid:durableId="419061179">
    <w:abstractNumId w:val="11"/>
  </w:num>
  <w:num w:numId="7" w16cid:durableId="1668558911">
    <w:abstractNumId w:val="7"/>
  </w:num>
  <w:num w:numId="8" w16cid:durableId="1530488718">
    <w:abstractNumId w:val="3"/>
    <w:lvlOverride w:ilvl="0">
      <w:startOverride w:val="1"/>
    </w:lvlOverride>
  </w:num>
  <w:num w:numId="9" w16cid:durableId="1180781291">
    <w:abstractNumId w:val="3"/>
    <w:lvlOverride w:ilvl="0">
      <w:startOverride w:val="1"/>
    </w:lvlOverride>
  </w:num>
  <w:num w:numId="10" w16cid:durableId="1199002173">
    <w:abstractNumId w:val="3"/>
    <w:lvlOverride w:ilvl="0">
      <w:startOverride w:val="1"/>
    </w:lvlOverride>
  </w:num>
  <w:num w:numId="11" w16cid:durableId="1714231622">
    <w:abstractNumId w:val="3"/>
    <w:lvlOverride w:ilvl="0">
      <w:startOverride w:val="1"/>
    </w:lvlOverride>
  </w:num>
  <w:num w:numId="12" w16cid:durableId="1587298992">
    <w:abstractNumId w:val="4"/>
  </w:num>
  <w:num w:numId="13" w16cid:durableId="1451899209">
    <w:abstractNumId w:val="10"/>
  </w:num>
  <w:num w:numId="14" w16cid:durableId="544608634">
    <w:abstractNumId w:val="8"/>
  </w:num>
  <w:num w:numId="15" w16cid:durableId="1408065938">
    <w:abstractNumId w:val="9"/>
  </w:num>
  <w:num w:numId="16" w16cid:durableId="1998073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56"/>
    <w:rsid w:val="00010CD9"/>
    <w:rsid w:val="0001101D"/>
    <w:rsid w:val="000125D1"/>
    <w:rsid w:val="00014943"/>
    <w:rsid w:val="00017FD3"/>
    <w:rsid w:val="00020D4E"/>
    <w:rsid w:val="0002109D"/>
    <w:rsid w:val="00024D6B"/>
    <w:rsid w:val="00026969"/>
    <w:rsid w:val="00027367"/>
    <w:rsid w:val="00035185"/>
    <w:rsid w:val="0004164B"/>
    <w:rsid w:val="000455DC"/>
    <w:rsid w:val="0005118C"/>
    <w:rsid w:val="000668DF"/>
    <w:rsid w:val="0008131F"/>
    <w:rsid w:val="000848D1"/>
    <w:rsid w:val="000868F2"/>
    <w:rsid w:val="000945AA"/>
    <w:rsid w:val="00095414"/>
    <w:rsid w:val="000B3149"/>
    <w:rsid w:val="000C112B"/>
    <w:rsid w:val="000C4AAE"/>
    <w:rsid w:val="000D0A75"/>
    <w:rsid w:val="000D4153"/>
    <w:rsid w:val="000D4ECA"/>
    <w:rsid w:val="000D5CFA"/>
    <w:rsid w:val="000D6169"/>
    <w:rsid w:val="000E1EFF"/>
    <w:rsid w:val="000E455A"/>
    <w:rsid w:val="000E5C56"/>
    <w:rsid w:val="000F7300"/>
    <w:rsid w:val="00107984"/>
    <w:rsid w:val="001173FE"/>
    <w:rsid w:val="001239F0"/>
    <w:rsid w:val="00156D01"/>
    <w:rsid w:val="0017026B"/>
    <w:rsid w:val="00170C10"/>
    <w:rsid w:val="001742A2"/>
    <w:rsid w:val="0017722B"/>
    <w:rsid w:val="0018659A"/>
    <w:rsid w:val="001A1E3A"/>
    <w:rsid w:val="001A2FBB"/>
    <w:rsid w:val="001A505C"/>
    <w:rsid w:val="001A53C2"/>
    <w:rsid w:val="001A58D5"/>
    <w:rsid w:val="001C620D"/>
    <w:rsid w:val="001C733C"/>
    <w:rsid w:val="001D2068"/>
    <w:rsid w:val="001D5F28"/>
    <w:rsid w:val="001D6BF5"/>
    <w:rsid w:val="001E2A3D"/>
    <w:rsid w:val="001F4B53"/>
    <w:rsid w:val="001F4D32"/>
    <w:rsid w:val="001F6D98"/>
    <w:rsid w:val="00200F95"/>
    <w:rsid w:val="00203978"/>
    <w:rsid w:val="00207F88"/>
    <w:rsid w:val="00216D3F"/>
    <w:rsid w:val="0021761A"/>
    <w:rsid w:val="0022310E"/>
    <w:rsid w:val="00224DB7"/>
    <w:rsid w:val="002276A8"/>
    <w:rsid w:val="0024462E"/>
    <w:rsid w:val="0024774F"/>
    <w:rsid w:val="00260230"/>
    <w:rsid w:val="00261785"/>
    <w:rsid w:val="002645E7"/>
    <w:rsid w:val="002904E6"/>
    <w:rsid w:val="00290F9E"/>
    <w:rsid w:val="00294688"/>
    <w:rsid w:val="002A75BD"/>
    <w:rsid w:val="002B3818"/>
    <w:rsid w:val="002C1A6E"/>
    <w:rsid w:val="002C3899"/>
    <w:rsid w:val="002D3B4B"/>
    <w:rsid w:val="002E6271"/>
    <w:rsid w:val="002F36F7"/>
    <w:rsid w:val="003039F9"/>
    <w:rsid w:val="00304FF9"/>
    <w:rsid w:val="003063E4"/>
    <w:rsid w:val="00312728"/>
    <w:rsid w:val="00331FF0"/>
    <w:rsid w:val="00340D8F"/>
    <w:rsid w:val="00341907"/>
    <w:rsid w:val="00354D12"/>
    <w:rsid w:val="00363047"/>
    <w:rsid w:val="00373AD7"/>
    <w:rsid w:val="003760D5"/>
    <w:rsid w:val="003875DA"/>
    <w:rsid w:val="003949F8"/>
    <w:rsid w:val="0039527E"/>
    <w:rsid w:val="00395D48"/>
    <w:rsid w:val="003A3C7B"/>
    <w:rsid w:val="003A3E46"/>
    <w:rsid w:val="003C3251"/>
    <w:rsid w:val="003C42E6"/>
    <w:rsid w:val="003C53F8"/>
    <w:rsid w:val="003C6D22"/>
    <w:rsid w:val="003D26EB"/>
    <w:rsid w:val="003D4A40"/>
    <w:rsid w:val="003D63A0"/>
    <w:rsid w:val="003E0D27"/>
    <w:rsid w:val="003F060C"/>
    <w:rsid w:val="003F402D"/>
    <w:rsid w:val="003F68F5"/>
    <w:rsid w:val="004018D7"/>
    <w:rsid w:val="00403955"/>
    <w:rsid w:val="00406E48"/>
    <w:rsid w:val="00412326"/>
    <w:rsid w:val="0042258F"/>
    <w:rsid w:val="004272DA"/>
    <w:rsid w:val="004351C5"/>
    <w:rsid w:val="00442A5E"/>
    <w:rsid w:val="00461F6B"/>
    <w:rsid w:val="00462579"/>
    <w:rsid w:val="00474B27"/>
    <w:rsid w:val="00482148"/>
    <w:rsid w:val="00482E71"/>
    <w:rsid w:val="004852DB"/>
    <w:rsid w:val="004B0917"/>
    <w:rsid w:val="004B4CEA"/>
    <w:rsid w:val="004C6765"/>
    <w:rsid w:val="004D79DE"/>
    <w:rsid w:val="004E2EC1"/>
    <w:rsid w:val="004E5FE5"/>
    <w:rsid w:val="004E6610"/>
    <w:rsid w:val="004F1A89"/>
    <w:rsid w:val="005123F8"/>
    <w:rsid w:val="00513A68"/>
    <w:rsid w:val="00521FFF"/>
    <w:rsid w:val="00524911"/>
    <w:rsid w:val="00536139"/>
    <w:rsid w:val="0054395E"/>
    <w:rsid w:val="00545EE4"/>
    <w:rsid w:val="0054671C"/>
    <w:rsid w:val="00556830"/>
    <w:rsid w:val="00557BB0"/>
    <w:rsid w:val="00564D54"/>
    <w:rsid w:val="005669D0"/>
    <w:rsid w:val="005733AC"/>
    <w:rsid w:val="00577277"/>
    <w:rsid w:val="00577710"/>
    <w:rsid w:val="005819E3"/>
    <w:rsid w:val="005836B2"/>
    <w:rsid w:val="00583DB0"/>
    <w:rsid w:val="0058660D"/>
    <w:rsid w:val="0059092C"/>
    <w:rsid w:val="00590E75"/>
    <w:rsid w:val="0059433B"/>
    <w:rsid w:val="00594612"/>
    <w:rsid w:val="00596544"/>
    <w:rsid w:val="005A1E31"/>
    <w:rsid w:val="005A54F1"/>
    <w:rsid w:val="005A69D6"/>
    <w:rsid w:val="005B0AF8"/>
    <w:rsid w:val="005B206C"/>
    <w:rsid w:val="005B3778"/>
    <w:rsid w:val="005B4EDC"/>
    <w:rsid w:val="005B71D8"/>
    <w:rsid w:val="005C469C"/>
    <w:rsid w:val="005D35BB"/>
    <w:rsid w:val="005D7722"/>
    <w:rsid w:val="005E13CC"/>
    <w:rsid w:val="005E48EA"/>
    <w:rsid w:val="005F00F6"/>
    <w:rsid w:val="00600B02"/>
    <w:rsid w:val="00604722"/>
    <w:rsid w:val="0060797E"/>
    <w:rsid w:val="00613ABC"/>
    <w:rsid w:val="00614AD2"/>
    <w:rsid w:val="00616F99"/>
    <w:rsid w:val="0062045E"/>
    <w:rsid w:val="006249F9"/>
    <w:rsid w:val="006305B0"/>
    <w:rsid w:val="00637906"/>
    <w:rsid w:val="00646989"/>
    <w:rsid w:val="00652D9C"/>
    <w:rsid w:val="0066332A"/>
    <w:rsid w:val="0067636B"/>
    <w:rsid w:val="0069049F"/>
    <w:rsid w:val="00694D04"/>
    <w:rsid w:val="00695AA4"/>
    <w:rsid w:val="006963C8"/>
    <w:rsid w:val="006A3FE9"/>
    <w:rsid w:val="006A49B8"/>
    <w:rsid w:val="006C0A49"/>
    <w:rsid w:val="006C4362"/>
    <w:rsid w:val="006C4F76"/>
    <w:rsid w:val="006C5625"/>
    <w:rsid w:val="006D5BBE"/>
    <w:rsid w:val="006D7BED"/>
    <w:rsid w:val="006E2CF7"/>
    <w:rsid w:val="006E3F8A"/>
    <w:rsid w:val="006E43E0"/>
    <w:rsid w:val="006E4867"/>
    <w:rsid w:val="006F524E"/>
    <w:rsid w:val="00702668"/>
    <w:rsid w:val="00706579"/>
    <w:rsid w:val="007114F7"/>
    <w:rsid w:val="00711FD0"/>
    <w:rsid w:val="00716118"/>
    <w:rsid w:val="0071743C"/>
    <w:rsid w:val="007220D1"/>
    <w:rsid w:val="0072310C"/>
    <w:rsid w:val="00723143"/>
    <w:rsid w:val="00732C36"/>
    <w:rsid w:val="00737D02"/>
    <w:rsid w:val="0074650F"/>
    <w:rsid w:val="0075608C"/>
    <w:rsid w:val="007567EB"/>
    <w:rsid w:val="0075789B"/>
    <w:rsid w:val="00761841"/>
    <w:rsid w:val="00763B38"/>
    <w:rsid w:val="00764207"/>
    <w:rsid w:val="00764E74"/>
    <w:rsid w:val="007700C4"/>
    <w:rsid w:val="00771B7B"/>
    <w:rsid w:val="007773B4"/>
    <w:rsid w:val="007841FD"/>
    <w:rsid w:val="007874D3"/>
    <w:rsid w:val="007900E6"/>
    <w:rsid w:val="00794D70"/>
    <w:rsid w:val="007B23A4"/>
    <w:rsid w:val="007B3387"/>
    <w:rsid w:val="007C307E"/>
    <w:rsid w:val="007C622D"/>
    <w:rsid w:val="007D0F50"/>
    <w:rsid w:val="007D292C"/>
    <w:rsid w:val="007D3DB7"/>
    <w:rsid w:val="007E376F"/>
    <w:rsid w:val="007E53C7"/>
    <w:rsid w:val="007E6E53"/>
    <w:rsid w:val="007F0AEC"/>
    <w:rsid w:val="007F0E18"/>
    <w:rsid w:val="007F27DA"/>
    <w:rsid w:val="007F2FB7"/>
    <w:rsid w:val="007F4DE2"/>
    <w:rsid w:val="007F4EFB"/>
    <w:rsid w:val="007F583F"/>
    <w:rsid w:val="00802567"/>
    <w:rsid w:val="00803153"/>
    <w:rsid w:val="0080463D"/>
    <w:rsid w:val="00807588"/>
    <w:rsid w:val="00825F7F"/>
    <w:rsid w:val="008346A5"/>
    <w:rsid w:val="00834A27"/>
    <w:rsid w:val="008436B2"/>
    <w:rsid w:val="00850516"/>
    <w:rsid w:val="00850B09"/>
    <w:rsid w:val="008550FE"/>
    <w:rsid w:val="00864FBE"/>
    <w:rsid w:val="00875B9D"/>
    <w:rsid w:val="008849D8"/>
    <w:rsid w:val="0088696B"/>
    <w:rsid w:val="00890446"/>
    <w:rsid w:val="008A17EB"/>
    <w:rsid w:val="008A2530"/>
    <w:rsid w:val="008B360B"/>
    <w:rsid w:val="008B51E9"/>
    <w:rsid w:val="008B7105"/>
    <w:rsid w:val="008F1C0C"/>
    <w:rsid w:val="008F461B"/>
    <w:rsid w:val="008F58F0"/>
    <w:rsid w:val="008F5D2C"/>
    <w:rsid w:val="009022A6"/>
    <w:rsid w:val="00903831"/>
    <w:rsid w:val="00903962"/>
    <w:rsid w:val="00910BFF"/>
    <w:rsid w:val="00917B76"/>
    <w:rsid w:val="0093336B"/>
    <w:rsid w:val="00934656"/>
    <w:rsid w:val="00940EA1"/>
    <w:rsid w:val="00951DE7"/>
    <w:rsid w:val="00961ACE"/>
    <w:rsid w:val="009625DE"/>
    <w:rsid w:val="00966979"/>
    <w:rsid w:val="0097260F"/>
    <w:rsid w:val="0097712D"/>
    <w:rsid w:val="009852E8"/>
    <w:rsid w:val="00991849"/>
    <w:rsid w:val="00993C99"/>
    <w:rsid w:val="009A5598"/>
    <w:rsid w:val="009B3268"/>
    <w:rsid w:val="009C2F4E"/>
    <w:rsid w:val="009D0A42"/>
    <w:rsid w:val="009D4CAE"/>
    <w:rsid w:val="009D5859"/>
    <w:rsid w:val="009E76D1"/>
    <w:rsid w:val="009F1B65"/>
    <w:rsid w:val="009F2CDE"/>
    <w:rsid w:val="009F40EA"/>
    <w:rsid w:val="009F52D1"/>
    <w:rsid w:val="00A07987"/>
    <w:rsid w:val="00A13EAD"/>
    <w:rsid w:val="00A20091"/>
    <w:rsid w:val="00A40D9F"/>
    <w:rsid w:val="00A414B7"/>
    <w:rsid w:val="00A4244E"/>
    <w:rsid w:val="00A43B9D"/>
    <w:rsid w:val="00A50CBF"/>
    <w:rsid w:val="00A52ACE"/>
    <w:rsid w:val="00A52D61"/>
    <w:rsid w:val="00A70FB9"/>
    <w:rsid w:val="00A72DE3"/>
    <w:rsid w:val="00A80788"/>
    <w:rsid w:val="00A97FD4"/>
    <w:rsid w:val="00AB3E0F"/>
    <w:rsid w:val="00AC35BF"/>
    <w:rsid w:val="00AD1D53"/>
    <w:rsid w:val="00AD49E8"/>
    <w:rsid w:val="00AD50DD"/>
    <w:rsid w:val="00AD5E3F"/>
    <w:rsid w:val="00B00119"/>
    <w:rsid w:val="00B001E6"/>
    <w:rsid w:val="00B047DE"/>
    <w:rsid w:val="00B04A19"/>
    <w:rsid w:val="00B05AD8"/>
    <w:rsid w:val="00B07EC7"/>
    <w:rsid w:val="00B22633"/>
    <w:rsid w:val="00B3360A"/>
    <w:rsid w:val="00B34BD2"/>
    <w:rsid w:val="00B4473E"/>
    <w:rsid w:val="00B4763C"/>
    <w:rsid w:val="00B557EE"/>
    <w:rsid w:val="00B568E5"/>
    <w:rsid w:val="00B636E1"/>
    <w:rsid w:val="00B64657"/>
    <w:rsid w:val="00B65CFF"/>
    <w:rsid w:val="00B73E85"/>
    <w:rsid w:val="00B800DA"/>
    <w:rsid w:val="00B826E3"/>
    <w:rsid w:val="00B85B25"/>
    <w:rsid w:val="00B90934"/>
    <w:rsid w:val="00BB226C"/>
    <w:rsid w:val="00BB4899"/>
    <w:rsid w:val="00BC1049"/>
    <w:rsid w:val="00BD1E59"/>
    <w:rsid w:val="00BD73C6"/>
    <w:rsid w:val="00BE1AA5"/>
    <w:rsid w:val="00BE782E"/>
    <w:rsid w:val="00BE7881"/>
    <w:rsid w:val="00BF2525"/>
    <w:rsid w:val="00BF3281"/>
    <w:rsid w:val="00BF7956"/>
    <w:rsid w:val="00C009CB"/>
    <w:rsid w:val="00C06369"/>
    <w:rsid w:val="00C15DA2"/>
    <w:rsid w:val="00C23771"/>
    <w:rsid w:val="00C23B36"/>
    <w:rsid w:val="00C254A1"/>
    <w:rsid w:val="00C27895"/>
    <w:rsid w:val="00C32779"/>
    <w:rsid w:val="00C33814"/>
    <w:rsid w:val="00C446D8"/>
    <w:rsid w:val="00C4631E"/>
    <w:rsid w:val="00C5062B"/>
    <w:rsid w:val="00C55962"/>
    <w:rsid w:val="00C57D0C"/>
    <w:rsid w:val="00C66FCC"/>
    <w:rsid w:val="00C7163C"/>
    <w:rsid w:val="00C82B64"/>
    <w:rsid w:val="00C83870"/>
    <w:rsid w:val="00C91867"/>
    <w:rsid w:val="00C95596"/>
    <w:rsid w:val="00CA0412"/>
    <w:rsid w:val="00CB1616"/>
    <w:rsid w:val="00CC330E"/>
    <w:rsid w:val="00CD6A6B"/>
    <w:rsid w:val="00CE4855"/>
    <w:rsid w:val="00CE489A"/>
    <w:rsid w:val="00CF03BE"/>
    <w:rsid w:val="00CF05F9"/>
    <w:rsid w:val="00CF5E56"/>
    <w:rsid w:val="00D006D1"/>
    <w:rsid w:val="00D00B58"/>
    <w:rsid w:val="00D03B2E"/>
    <w:rsid w:val="00D06FA8"/>
    <w:rsid w:val="00D10FC4"/>
    <w:rsid w:val="00D11FD7"/>
    <w:rsid w:val="00D12CED"/>
    <w:rsid w:val="00D174CA"/>
    <w:rsid w:val="00D24FD8"/>
    <w:rsid w:val="00D309A5"/>
    <w:rsid w:val="00D31B56"/>
    <w:rsid w:val="00D36217"/>
    <w:rsid w:val="00D61628"/>
    <w:rsid w:val="00D617AC"/>
    <w:rsid w:val="00D70EAA"/>
    <w:rsid w:val="00D7547E"/>
    <w:rsid w:val="00D77DBC"/>
    <w:rsid w:val="00D83B09"/>
    <w:rsid w:val="00D95F6E"/>
    <w:rsid w:val="00DA0C73"/>
    <w:rsid w:val="00DA5023"/>
    <w:rsid w:val="00DA54DF"/>
    <w:rsid w:val="00DA5EC5"/>
    <w:rsid w:val="00DA6286"/>
    <w:rsid w:val="00DA6CC5"/>
    <w:rsid w:val="00DB4A44"/>
    <w:rsid w:val="00DC416F"/>
    <w:rsid w:val="00DC59F1"/>
    <w:rsid w:val="00DE1B39"/>
    <w:rsid w:val="00DF27C3"/>
    <w:rsid w:val="00DF47C2"/>
    <w:rsid w:val="00E0232E"/>
    <w:rsid w:val="00E0785A"/>
    <w:rsid w:val="00E11DB2"/>
    <w:rsid w:val="00E1266A"/>
    <w:rsid w:val="00E13177"/>
    <w:rsid w:val="00E16B34"/>
    <w:rsid w:val="00E22A47"/>
    <w:rsid w:val="00E316FA"/>
    <w:rsid w:val="00E31FFF"/>
    <w:rsid w:val="00E41C31"/>
    <w:rsid w:val="00E47CD3"/>
    <w:rsid w:val="00E54B7D"/>
    <w:rsid w:val="00E6199F"/>
    <w:rsid w:val="00E715BB"/>
    <w:rsid w:val="00E75D89"/>
    <w:rsid w:val="00E769EC"/>
    <w:rsid w:val="00E8320F"/>
    <w:rsid w:val="00E91580"/>
    <w:rsid w:val="00E97455"/>
    <w:rsid w:val="00E97CF1"/>
    <w:rsid w:val="00E97E62"/>
    <w:rsid w:val="00EA36E0"/>
    <w:rsid w:val="00EA4A09"/>
    <w:rsid w:val="00EC01D7"/>
    <w:rsid w:val="00EC2E98"/>
    <w:rsid w:val="00EC76BE"/>
    <w:rsid w:val="00ED388C"/>
    <w:rsid w:val="00EE1DC2"/>
    <w:rsid w:val="00EE3340"/>
    <w:rsid w:val="00EE68D5"/>
    <w:rsid w:val="00EF71B8"/>
    <w:rsid w:val="00EF751F"/>
    <w:rsid w:val="00F020BD"/>
    <w:rsid w:val="00F06144"/>
    <w:rsid w:val="00F155F0"/>
    <w:rsid w:val="00F22A88"/>
    <w:rsid w:val="00F23F92"/>
    <w:rsid w:val="00F27B73"/>
    <w:rsid w:val="00F40EDB"/>
    <w:rsid w:val="00F47612"/>
    <w:rsid w:val="00F57703"/>
    <w:rsid w:val="00F611B9"/>
    <w:rsid w:val="00F73C89"/>
    <w:rsid w:val="00F90DFC"/>
    <w:rsid w:val="00F90EEA"/>
    <w:rsid w:val="00F9192C"/>
    <w:rsid w:val="00F94BB2"/>
    <w:rsid w:val="00FA4DC8"/>
    <w:rsid w:val="00FA4F23"/>
    <w:rsid w:val="00FB063C"/>
    <w:rsid w:val="00FC11B6"/>
    <w:rsid w:val="00FC6045"/>
    <w:rsid w:val="00FD12AB"/>
    <w:rsid w:val="00FE02AC"/>
    <w:rsid w:val="00FE2CEC"/>
    <w:rsid w:val="00FE53E0"/>
    <w:rsid w:val="00FE7FC5"/>
    <w:rsid w:val="00FF42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01A0C"/>
  <w15:docId w15:val="{3C0A0ABF-8894-4341-8341-83E276B6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45"/>
    <w:pPr>
      <w:spacing w:before="120" w:after="120"/>
    </w:pPr>
    <w:rPr>
      <w:rFonts w:ascii="Arial" w:hAnsi="Arial"/>
    </w:rPr>
  </w:style>
  <w:style w:type="paragraph" w:styleId="Heading1">
    <w:name w:val="heading 1"/>
    <w:basedOn w:val="Normal"/>
    <w:next w:val="Normal"/>
    <w:link w:val="Heading1Char"/>
    <w:uiPriority w:val="9"/>
    <w:qFormat/>
    <w:rsid w:val="0039527E"/>
    <w:pPr>
      <w:keepNext/>
      <w:keepLines/>
      <w:numPr>
        <w:numId w:val="4"/>
      </w:numPr>
      <w:spacing w:before="360"/>
      <w:outlineLvl w:val="0"/>
    </w:pPr>
    <w:rPr>
      <w:rFonts w:ascii="Arial Bold" w:eastAsiaTheme="majorEastAsia" w:hAnsi="Arial Bold" w:cstheme="majorBidi"/>
      <w:b/>
      <w:spacing w:val="10"/>
      <w:sz w:val="24"/>
      <w:szCs w:val="32"/>
    </w:rPr>
  </w:style>
  <w:style w:type="paragraph" w:styleId="Heading2">
    <w:name w:val="heading 2"/>
    <w:basedOn w:val="Normal"/>
    <w:next w:val="Normal"/>
    <w:link w:val="Heading2Char"/>
    <w:uiPriority w:val="9"/>
    <w:unhideWhenUsed/>
    <w:qFormat/>
    <w:rsid w:val="0062045E"/>
    <w:pPr>
      <w:keepNext/>
      <w:keepLines/>
      <w:spacing w:after="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0C4AAE"/>
    <w:pPr>
      <w:keepNext/>
      <w:keepLines/>
      <w:spacing w:after="0"/>
      <w:ind w:left="216"/>
      <w:outlineLvl w:val="2"/>
    </w:pPr>
    <w:rPr>
      <w:rFonts w:eastAsiaTheme="majorEastAsia" w:cstheme="majorBidi"/>
      <w:i/>
      <w:color w:val="7F7F7F" w:themeColor="text1" w:themeTint="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Title"/>
    <w:link w:val="HeaderChar"/>
    <w:uiPriority w:val="99"/>
    <w:unhideWhenUsed/>
    <w:rsid w:val="003039F9"/>
  </w:style>
  <w:style w:type="character" w:customStyle="1" w:styleId="HeaderChar">
    <w:name w:val="Header Char"/>
    <w:basedOn w:val="DefaultParagraphFont"/>
    <w:link w:val="Header"/>
    <w:uiPriority w:val="99"/>
    <w:rsid w:val="003039F9"/>
    <w:rPr>
      <w:rFonts w:ascii="Arial" w:hAnsi="Arial"/>
      <w:b/>
      <w:bCs/>
      <w:sz w:val="28"/>
      <w:szCs w:val="28"/>
    </w:rPr>
  </w:style>
  <w:style w:type="paragraph" w:styleId="Footer">
    <w:name w:val="footer"/>
    <w:basedOn w:val="Normal"/>
    <w:link w:val="FooterChar"/>
    <w:uiPriority w:val="99"/>
    <w:unhideWhenUsed/>
    <w:rsid w:val="000D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169"/>
  </w:style>
  <w:style w:type="paragraph" w:styleId="BalloonText">
    <w:name w:val="Balloon Text"/>
    <w:basedOn w:val="Normal"/>
    <w:link w:val="BalloonTextChar"/>
    <w:uiPriority w:val="99"/>
    <w:semiHidden/>
    <w:unhideWhenUsed/>
    <w:rsid w:val="000D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69"/>
    <w:rPr>
      <w:rFonts w:ascii="Tahoma" w:hAnsi="Tahoma" w:cs="Tahoma"/>
      <w:sz w:val="16"/>
      <w:szCs w:val="16"/>
    </w:rPr>
  </w:style>
  <w:style w:type="table" w:styleId="TableGrid">
    <w:name w:val="Table Grid"/>
    <w:basedOn w:val="TableNormal"/>
    <w:uiPriority w:val="59"/>
    <w:rsid w:val="000D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530"/>
    <w:pPr>
      <w:ind w:left="720"/>
      <w:contextualSpacing/>
    </w:pPr>
  </w:style>
  <w:style w:type="character" w:styleId="Hyperlink">
    <w:name w:val="Hyperlink"/>
    <w:basedOn w:val="DefaultParagraphFont"/>
    <w:uiPriority w:val="99"/>
    <w:unhideWhenUsed/>
    <w:rsid w:val="008B7105"/>
    <w:rPr>
      <w:color w:val="0000FF" w:themeColor="hyperlink"/>
      <w:u w:val="single"/>
    </w:rPr>
  </w:style>
  <w:style w:type="character" w:styleId="CommentReference">
    <w:name w:val="annotation reference"/>
    <w:basedOn w:val="DefaultParagraphFont"/>
    <w:uiPriority w:val="99"/>
    <w:semiHidden/>
    <w:unhideWhenUsed/>
    <w:rsid w:val="00613ABC"/>
    <w:rPr>
      <w:sz w:val="16"/>
      <w:szCs w:val="16"/>
    </w:rPr>
  </w:style>
  <w:style w:type="paragraph" w:styleId="CommentText">
    <w:name w:val="annotation text"/>
    <w:basedOn w:val="Normal"/>
    <w:link w:val="CommentTextChar"/>
    <w:uiPriority w:val="99"/>
    <w:unhideWhenUsed/>
    <w:rsid w:val="00613ABC"/>
    <w:pPr>
      <w:spacing w:line="240" w:lineRule="auto"/>
    </w:pPr>
    <w:rPr>
      <w:sz w:val="20"/>
      <w:szCs w:val="20"/>
    </w:rPr>
  </w:style>
  <w:style w:type="character" w:customStyle="1" w:styleId="CommentTextChar">
    <w:name w:val="Comment Text Char"/>
    <w:basedOn w:val="DefaultParagraphFont"/>
    <w:link w:val="CommentText"/>
    <w:uiPriority w:val="99"/>
    <w:rsid w:val="00613ABC"/>
    <w:rPr>
      <w:sz w:val="20"/>
      <w:szCs w:val="20"/>
    </w:rPr>
  </w:style>
  <w:style w:type="paragraph" w:styleId="CommentSubject">
    <w:name w:val="annotation subject"/>
    <w:basedOn w:val="CommentText"/>
    <w:next w:val="CommentText"/>
    <w:link w:val="CommentSubjectChar"/>
    <w:uiPriority w:val="99"/>
    <w:semiHidden/>
    <w:unhideWhenUsed/>
    <w:rsid w:val="00613ABC"/>
    <w:rPr>
      <w:b/>
      <w:bCs/>
    </w:rPr>
  </w:style>
  <w:style w:type="character" w:customStyle="1" w:styleId="CommentSubjectChar">
    <w:name w:val="Comment Subject Char"/>
    <w:basedOn w:val="CommentTextChar"/>
    <w:link w:val="CommentSubject"/>
    <w:uiPriority w:val="99"/>
    <w:semiHidden/>
    <w:rsid w:val="00613ABC"/>
    <w:rPr>
      <w:b/>
      <w:bCs/>
      <w:sz w:val="20"/>
      <w:szCs w:val="20"/>
    </w:rPr>
  </w:style>
  <w:style w:type="character" w:customStyle="1" w:styleId="Heading1Char">
    <w:name w:val="Heading 1 Char"/>
    <w:basedOn w:val="DefaultParagraphFont"/>
    <w:link w:val="Heading1"/>
    <w:uiPriority w:val="9"/>
    <w:rsid w:val="0039527E"/>
    <w:rPr>
      <w:rFonts w:ascii="Arial Bold" w:eastAsiaTheme="majorEastAsia" w:hAnsi="Arial Bold" w:cstheme="majorBidi"/>
      <w:b/>
      <w:spacing w:val="10"/>
      <w:sz w:val="24"/>
      <w:szCs w:val="32"/>
    </w:rPr>
  </w:style>
  <w:style w:type="character" w:customStyle="1" w:styleId="Heading2Char">
    <w:name w:val="Heading 2 Char"/>
    <w:basedOn w:val="DefaultParagraphFont"/>
    <w:link w:val="Heading2"/>
    <w:uiPriority w:val="9"/>
    <w:rsid w:val="0062045E"/>
    <w:rPr>
      <w:rFonts w:ascii="Arial" w:eastAsiaTheme="majorEastAsia" w:hAnsi="Arial" w:cstheme="majorBidi"/>
      <w:b/>
      <w:i/>
      <w:szCs w:val="26"/>
    </w:rPr>
  </w:style>
  <w:style w:type="character" w:customStyle="1" w:styleId="Heading3Char">
    <w:name w:val="Heading 3 Char"/>
    <w:basedOn w:val="DefaultParagraphFont"/>
    <w:link w:val="Heading3"/>
    <w:uiPriority w:val="9"/>
    <w:rsid w:val="000C4AAE"/>
    <w:rPr>
      <w:rFonts w:ascii="Arial" w:eastAsiaTheme="majorEastAsia" w:hAnsi="Arial" w:cstheme="majorBidi"/>
      <w:i/>
      <w:color w:val="7F7F7F" w:themeColor="text1" w:themeTint="80"/>
      <w:szCs w:val="24"/>
    </w:rPr>
  </w:style>
  <w:style w:type="table" w:styleId="GridTable1Light-Accent1">
    <w:name w:val="Grid Table 1 Light Accent 1"/>
    <w:basedOn w:val="TableNormal"/>
    <w:uiPriority w:val="46"/>
    <w:rsid w:val="003F060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rsid w:val="00E6199F"/>
    <w:pPr>
      <w:spacing w:before="0" w:after="0" w:line="120" w:lineRule="atLeast"/>
    </w:pPr>
    <w:rPr>
      <w:b/>
      <w:bCs/>
      <w:sz w:val="28"/>
      <w:szCs w:val="28"/>
    </w:rPr>
  </w:style>
  <w:style w:type="character" w:customStyle="1" w:styleId="TitleChar">
    <w:name w:val="Title Char"/>
    <w:basedOn w:val="DefaultParagraphFont"/>
    <w:link w:val="Title"/>
    <w:uiPriority w:val="10"/>
    <w:rsid w:val="00E6199F"/>
    <w:rPr>
      <w:rFonts w:ascii="Arial" w:hAnsi="Arial"/>
      <w:b/>
      <w:bCs/>
      <w:sz w:val="28"/>
      <w:szCs w:val="28"/>
    </w:rPr>
  </w:style>
  <w:style w:type="paragraph" w:styleId="Caption">
    <w:name w:val="caption"/>
    <w:basedOn w:val="Normal"/>
    <w:next w:val="Normal"/>
    <w:uiPriority w:val="35"/>
    <w:unhideWhenUsed/>
    <w:qFormat/>
    <w:rsid w:val="00577277"/>
    <w:pPr>
      <w:spacing w:before="0" w:after="200" w:line="240" w:lineRule="auto"/>
    </w:pPr>
    <w:rPr>
      <w:i/>
      <w:iCs/>
      <w:color w:val="1F497D" w:themeColor="text2"/>
      <w:sz w:val="18"/>
      <w:szCs w:val="18"/>
    </w:rPr>
  </w:style>
  <w:style w:type="paragraph" w:customStyle="1" w:styleId="SUBJECT">
    <w:name w:val="SUBJECT"/>
    <w:basedOn w:val="Header"/>
    <w:qFormat/>
    <w:rsid w:val="00DA5EC5"/>
  </w:style>
  <w:style w:type="character" w:styleId="UnresolvedMention">
    <w:name w:val="Unresolved Mention"/>
    <w:basedOn w:val="DefaultParagraphFont"/>
    <w:uiPriority w:val="99"/>
    <w:semiHidden/>
    <w:unhideWhenUsed/>
    <w:rsid w:val="00D24FD8"/>
    <w:rPr>
      <w:color w:val="605E5C"/>
      <w:shd w:val="clear" w:color="auto" w:fill="E1DFDD"/>
    </w:rPr>
  </w:style>
  <w:style w:type="paragraph" w:styleId="Revision">
    <w:name w:val="Revision"/>
    <w:hidden/>
    <w:uiPriority w:val="99"/>
    <w:semiHidden/>
    <w:rsid w:val="0076420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3c96e16e4b003bdba4f4fee/t/6100a9d65429cb3846a417a3/1627433432394/SW+Deemed+WP+Rulebook+Interim+v4.0+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405D-D10E-4DA2-80D2-78360FF4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Roecks</dc:creator>
  <cp:keywords/>
  <dc:description/>
  <cp:lastModifiedBy>Arlis Reynolds</cp:lastModifiedBy>
  <cp:revision>4</cp:revision>
  <cp:lastPrinted>2019-03-07T19:51:00Z</cp:lastPrinted>
  <dcterms:created xsi:type="dcterms:W3CDTF">2023-02-27T19:46:00Z</dcterms:created>
  <dcterms:modified xsi:type="dcterms:W3CDTF">2023-02-27T19:46:00Z</dcterms:modified>
</cp:coreProperties>
</file>