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6BCC" w14:textId="77777777" w:rsidR="00AA66BE" w:rsidRPr="00736B1D" w:rsidRDefault="00B5658E" w:rsidP="00736B1D">
      <w:pPr>
        <w:pStyle w:val="Title"/>
      </w:pPr>
      <w:r w:rsidRPr="00736B1D">
        <w:t>2023</w:t>
      </w:r>
      <w:r w:rsidR="003C42E6" w:rsidRPr="00736B1D">
        <w:t xml:space="preserve"> </w:t>
      </w:r>
      <w:r w:rsidR="0075608C" w:rsidRPr="00736B1D">
        <w:t>BP METRIC</w:t>
      </w:r>
      <w:r w:rsidR="0080463D" w:rsidRPr="00736B1D">
        <w:t xml:space="preserve"> </w:t>
      </w:r>
      <w:r w:rsidRPr="00736B1D">
        <w:t>4A</w:t>
      </w:r>
      <w:r w:rsidR="0075608C" w:rsidRPr="00736B1D">
        <w:t xml:space="preserve">: </w:t>
      </w:r>
      <w:r w:rsidRPr="00736B1D">
        <w:t xml:space="preserve">Enhanced eTRM </w:t>
      </w:r>
      <w:r w:rsidR="0035155D" w:rsidRPr="00736B1D">
        <w:t>M</w:t>
      </w:r>
      <w:r w:rsidRPr="00736B1D">
        <w:t xml:space="preserve">easure </w:t>
      </w:r>
      <w:r w:rsidR="0035155D" w:rsidRPr="00736B1D">
        <w:t>I</w:t>
      </w:r>
      <w:r w:rsidRPr="00736B1D">
        <w:t xml:space="preserve">deation </w:t>
      </w:r>
      <w:r w:rsidR="0035155D" w:rsidRPr="00736B1D">
        <w:t>P</w:t>
      </w:r>
      <w:r w:rsidRPr="00736B1D">
        <w:t>rocess</w:t>
      </w:r>
    </w:p>
    <w:p w14:paraId="146CCBDA" w14:textId="00C75C49" w:rsidR="003C53F8" w:rsidRDefault="003C53F8" w:rsidP="0067636B">
      <w:pPr>
        <w:pBdr>
          <w:top w:val="single" w:sz="18" w:space="1" w:color="93D042"/>
        </w:pBdr>
        <w:tabs>
          <w:tab w:val="left" w:pos="3840"/>
        </w:tabs>
        <w:spacing w:after="0"/>
        <w:rPr>
          <w:rFonts w:cs="Arial"/>
          <w:sz w:val="20"/>
          <w:szCs w:val="20"/>
        </w:rPr>
      </w:pPr>
    </w:p>
    <w:p w14:paraId="781A60A1" w14:textId="0D8B7CC3" w:rsidR="00DF0146" w:rsidRDefault="05054C86" w:rsidP="00DF0146">
      <w:r>
        <w:t xml:space="preserve">To </w:t>
      </w:r>
      <w:r w:rsidR="00081922">
        <w:t xml:space="preserve">help </w:t>
      </w:r>
      <w:r>
        <w:t xml:space="preserve">meet California’s ambitious energy savings and decarbonization goals, the 2023 Cal TF Business Plan </w:t>
      </w:r>
      <w:r w:rsidR="004A04CE">
        <w:t xml:space="preserve">(BP) </w:t>
      </w:r>
      <w:r>
        <w:t xml:space="preserve">includes a greater focus on identifying and rapidly screening new measure opportunities for the eTRM. </w:t>
      </w:r>
      <w:r w:rsidR="004A04CE">
        <w:t xml:space="preserve">BP </w:t>
      </w:r>
      <w:r>
        <w:t xml:space="preserve">Metric 4A seeks to “Develop and Implement a Measure Identification Strategy.” This workpaper outlines a two-step approach to meet this goal by increasing the outreach activities and stakeholders involved with new measure ideation, along with a </w:t>
      </w:r>
      <w:r w:rsidR="004A04CE">
        <w:t xml:space="preserve">method </w:t>
      </w:r>
      <w:r>
        <w:t xml:space="preserve">for quickly and effectively prioritizing the increased volume of new opportunities. </w:t>
      </w:r>
    </w:p>
    <w:p w14:paraId="398A7967" w14:textId="499BC67C" w:rsidR="00B5658E" w:rsidRDefault="00B5658E" w:rsidP="00DF0146">
      <w:pPr>
        <w:pStyle w:val="Heading1"/>
      </w:pPr>
      <w:r>
        <w:t>Problem Statement</w:t>
      </w:r>
      <w:r w:rsidRPr="00B5658E">
        <w:t xml:space="preserve"> </w:t>
      </w:r>
    </w:p>
    <w:p w14:paraId="62ABE534" w14:textId="5BF7AB95" w:rsidR="00DF0146" w:rsidRPr="00DF0146" w:rsidRDefault="05054C86" w:rsidP="00DF0146">
      <w:r>
        <w:t>Cal TF’s</w:t>
      </w:r>
      <w:r w:rsidR="00BA1775">
        <w:t xml:space="preserve"> current</w:t>
      </w:r>
      <w:r>
        <w:t xml:space="preserve"> New Measure Review process</w:t>
      </w:r>
      <w:r w:rsidR="00BA1775">
        <w:t xml:space="preserve">, </w:t>
      </w:r>
      <w:r>
        <w:t>implemented in 2020</w:t>
      </w:r>
      <w:r w:rsidR="00BA1775">
        <w:t xml:space="preserve">, </w:t>
      </w:r>
      <w:r>
        <w:t>relies on a “push” model to identify new measure opportunities where a measure proponent must be aware of Cal TF’s process and take the initiative to submit an idea. Participants in the current process are largely already part of Cal TF: IOUs, POUs, and implementers</w:t>
      </w:r>
      <w:r w:rsidR="00BA1775">
        <w:t>. Since m</w:t>
      </w:r>
      <w:r w:rsidR="004F649A">
        <w:t>ost</w:t>
      </w:r>
      <w:r>
        <w:t xml:space="preserve"> new measure</w:t>
      </w:r>
      <w:r w:rsidR="00BA1775">
        <w:t>s</w:t>
      </w:r>
      <w:r>
        <w:t xml:space="preserve"> originate from the pool of stakeholders regularly involved with Cal TF, there are almost certainly potential measures that are not being </w:t>
      </w:r>
      <w:r w:rsidR="004F649A">
        <w:t xml:space="preserve">identified and </w:t>
      </w:r>
      <w:r>
        <w:t xml:space="preserve">pursued, which means new energy savings opportunities </w:t>
      </w:r>
      <w:r w:rsidR="004F649A">
        <w:t>that Cal TF can evaluate and shepherd through to new measures are being lost</w:t>
      </w:r>
      <w:r>
        <w:t xml:space="preserve">.  </w:t>
      </w:r>
    </w:p>
    <w:p w14:paraId="67FB9C8C" w14:textId="5258CF7D" w:rsidR="00B5658E" w:rsidRDefault="00B5658E" w:rsidP="00B5658E">
      <w:pPr>
        <w:pStyle w:val="Heading1"/>
      </w:pPr>
      <w:r>
        <w:t>Goals</w:t>
      </w:r>
      <w:r w:rsidR="00DD06F9">
        <w:t>, Metrics,</w:t>
      </w:r>
      <w:r>
        <w:t xml:space="preserve"> and Objectives </w:t>
      </w:r>
    </w:p>
    <w:p w14:paraId="501750EC" w14:textId="00081938" w:rsidR="00E32CB9" w:rsidRDefault="005443BB" w:rsidP="005443BB">
      <w:r>
        <w:t xml:space="preserve">The graphs below show the number of ideas that have been submitted </w:t>
      </w:r>
      <w:r w:rsidR="00793F59">
        <w:t xml:space="preserve">to Cal TF’s New Measure Screening process </w:t>
      </w:r>
      <w:r>
        <w:t xml:space="preserve">and approved as new measures since 2020. </w:t>
      </w:r>
    </w:p>
    <w:p w14:paraId="63034C98" w14:textId="3B7B4BBE" w:rsidR="00E32CB9" w:rsidRDefault="00E32CB9" w:rsidP="00E32CB9">
      <w:pPr>
        <w:jc w:val="center"/>
      </w:pPr>
      <w:r>
        <w:rPr>
          <w:rFonts w:ascii="Times-Roman" w:hAnsi="Times-Roman" w:cs="Times-Roman"/>
          <w:noProof/>
          <w:color w:val="000000"/>
          <w:sz w:val="29"/>
          <w:szCs w:val="29"/>
        </w:rPr>
        <w:drawing>
          <wp:inline distT="0" distB="0" distL="0" distR="0" wp14:anchorId="34CF3131" wp14:editId="0B9EF1D5">
            <wp:extent cx="2743200" cy="1784294"/>
            <wp:effectExtent l="12700" t="12700" r="12700" b="698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120" cy="1808959"/>
                    </a:xfrm>
                    <a:prstGeom prst="rect">
                      <a:avLst/>
                    </a:prstGeom>
                    <a:noFill/>
                    <a:ln>
                      <a:solidFill>
                        <a:schemeClr val="tx1"/>
                      </a:solidFill>
                    </a:ln>
                  </pic:spPr>
                </pic:pic>
              </a:graphicData>
            </a:graphic>
          </wp:inline>
        </w:drawing>
      </w:r>
      <w:r>
        <w:t xml:space="preserve">    </w:t>
      </w:r>
      <w:r>
        <w:rPr>
          <w:rFonts w:ascii="Times-Roman" w:hAnsi="Times-Roman" w:cs="Times-Roman"/>
          <w:noProof/>
          <w:color w:val="000000"/>
          <w:sz w:val="29"/>
          <w:szCs w:val="29"/>
        </w:rPr>
        <w:drawing>
          <wp:inline distT="0" distB="0" distL="0" distR="0" wp14:anchorId="585B24AA" wp14:editId="3B9A70E3">
            <wp:extent cx="2451100" cy="1779317"/>
            <wp:effectExtent l="12700" t="12700" r="12700" b="11430"/>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222" cy="1784487"/>
                    </a:xfrm>
                    <a:prstGeom prst="rect">
                      <a:avLst/>
                    </a:prstGeom>
                    <a:noFill/>
                    <a:ln w="6350">
                      <a:solidFill>
                        <a:schemeClr val="tx1"/>
                      </a:solidFill>
                    </a:ln>
                  </pic:spPr>
                </pic:pic>
              </a:graphicData>
            </a:graphic>
          </wp:inline>
        </w:drawing>
      </w:r>
    </w:p>
    <w:p w14:paraId="2D2F8E73" w14:textId="49793FDA" w:rsidR="005443BB" w:rsidRPr="00E32CB9" w:rsidRDefault="05054C86" w:rsidP="00E32CB9">
      <w:pPr>
        <w:rPr>
          <w:sz w:val="24"/>
          <w:szCs w:val="24"/>
        </w:rPr>
      </w:pPr>
      <w:r>
        <w:t>Though measure throughput has increas</w:t>
      </w:r>
      <w:r w:rsidR="00BA1775">
        <w:t>ed</w:t>
      </w:r>
      <w:r>
        <w:t xml:space="preserve"> each year, augmenting the existing approach with the proposed new intake model outlined in this workplan should accelerate this growth in the future. The </w:t>
      </w:r>
      <w:r w:rsidR="004F649A">
        <w:t xml:space="preserve">proposed </w:t>
      </w:r>
      <w:r>
        <w:t xml:space="preserve">new intake model consists of two key </w:t>
      </w:r>
      <w:r w:rsidR="004F649A">
        <w:t>strategies</w:t>
      </w:r>
      <w:r>
        <w:t>:</w:t>
      </w:r>
      <w:r w:rsidRPr="05054C86">
        <w:rPr>
          <w:rFonts w:cs="Arial"/>
          <w:color w:val="000000" w:themeColor="text1"/>
          <w:sz w:val="24"/>
          <w:szCs w:val="24"/>
        </w:rPr>
        <w:t xml:space="preserve">   </w:t>
      </w:r>
    </w:p>
    <w:p w14:paraId="12F39C91" w14:textId="3B923A5F" w:rsidR="004F649A" w:rsidRDefault="004F649A" w:rsidP="004F649A">
      <w:pPr>
        <w:pStyle w:val="ListParagraph"/>
        <w:numPr>
          <w:ilvl w:val="0"/>
          <w:numId w:val="5"/>
        </w:numPr>
      </w:pPr>
      <w:r>
        <w:rPr>
          <w:b/>
          <w:bCs/>
        </w:rPr>
        <w:t>Strategy</w:t>
      </w:r>
      <w:r w:rsidR="00240785" w:rsidRPr="004F649A">
        <w:rPr>
          <w:b/>
          <w:bCs/>
        </w:rPr>
        <w:t xml:space="preserve"> 1:</w:t>
      </w:r>
      <w:r w:rsidR="00240785" w:rsidRPr="004F649A">
        <w:t xml:space="preserve"> Expand the Cal TF measure identification process to include a “pull” </w:t>
      </w:r>
      <w:r>
        <w:t>approach</w:t>
      </w:r>
      <w:r w:rsidR="00240785" w:rsidRPr="004F649A">
        <w:t xml:space="preserve"> in addition to the current </w:t>
      </w:r>
      <w:r>
        <w:t>approach</w:t>
      </w:r>
      <w:r w:rsidRPr="004F649A">
        <w:t xml:space="preserve"> </w:t>
      </w:r>
      <w:r w:rsidR="00240785" w:rsidRPr="004F649A">
        <w:t xml:space="preserve">of new measure identification where </w:t>
      </w:r>
      <w:r w:rsidR="00F26934">
        <w:t xml:space="preserve">Cal TF </w:t>
      </w:r>
      <w:r w:rsidR="00240785" w:rsidRPr="004F649A">
        <w:t>stakeholders “push” measures to the Cal TF. </w:t>
      </w:r>
    </w:p>
    <w:p w14:paraId="20849CA1" w14:textId="396E46E9" w:rsidR="00DF0146" w:rsidRPr="004F649A" w:rsidRDefault="004F649A" w:rsidP="004F649A">
      <w:pPr>
        <w:pStyle w:val="ListParagraph"/>
        <w:numPr>
          <w:ilvl w:val="0"/>
          <w:numId w:val="5"/>
        </w:numPr>
      </w:pPr>
      <w:r>
        <w:rPr>
          <w:b/>
          <w:bCs/>
        </w:rPr>
        <w:lastRenderedPageBreak/>
        <w:t>Strategy</w:t>
      </w:r>
      <w:r w:rsidRPr="004F649A">
        <w:rPr>
          <w:b/>
          <w:bCs/>
        </w:rPr>
        <w:t xml:space="preserve"> </w:t>
      </w:r>
      <w:r w:rsidR="00240785" w:rsidRPr="004F649A">
        <w:rPr>
          <w:b/>
          <w:bCs/>
        </w:rPr>
        <w:t>2:</w:t>
      </w:r>
      <w:r w:rsidR="00240785" w:rsidRPr="004F649A">
        <w:t xml:space="preserve"> Develop and deploy a rapid scoring process for measures identified through the </w:t>
      </w:r>
      <w:r>
        <w:t xml:space="preserve">new </w:t>
      </w:r>
      <w:r w:rsidR="00240785" w:rsidRPr="004F649A">
        <w:t xml:space="preserve">“pull” strategy to quickly and cost-efficiently </w:t>
      </w:r>
      <w:r w:rsidR="00BA1775">
        <w:t>assess which</w:t>
      </w:r>
      <w:r w:rsidR="00240785" w:rsidRPr="004F649A">
        <w:t xml:space="preserve"> measures may be good candidates for the California energy efficiency portfolio</w:t>
      </w:r>
      <w:r w:rsidR="00BA1775">
        <w:t xml:space="preserve"> and eTRM</w:t>
      </w:r>
      <w:r w:rsidR="00240785" w:rsidRPr="004F649A">
        <w:t>.  </w:t>
      </w:r>
    </w:p>
    <w:p w14:paraId="229D50AC" w14:textId="0279EA1F" w:rsidR="00240785" w:rsidRDefault="004F649A" w:rsidP="00B5658E">
      <w:r>
        <w:t>Strategy</w:t>
      </w:r>
      <w:r w:rsidR="00240785">
        <w:t xml:space="preserve"> 1, the “pull” model, will expand the potential pool of new measures with Cal TF staff conducting outreach to entities that are likely unaware of </w:t>
      </w:r>
      <w:r>
        <w:t>Cal TF’s</w:t>
      </w:r>
      <w:r w:rsidR="00240785">
        <w:t xml:space="preserve"> New Measure Review Process, as well as undertaking more proactive outreach to existing Cal TF stakeholders to encourage additional measure idea submission. Because this </w:t>
      </w:r>
      <w:r>
        <w:t>“pull” approach</w:t>
      </w:r>
      <w:r w:rsidR="00240785">
        <w:t xml:space="preserve"> will yield a greater number of measure ideas, Cal TF proposes </w:t>
      </w:r>
      <w:r>
        <w:t>Strategy</w:t>
      </w:r>
      <w:r w:rsidR="00240785">
        <w:t xml:space="preserve"> 2, which seeks to rapidly and cost-effectively assess the larger new measure candidate pool so that resources aren’t unnecessarily expended pursuing non-viable measures.</w:t>
      </w:r>
    </w:p>
    <w:p w14:paraId="60105C20" w14:textId="77777777" w:rsidR="00DD06F9" w:rsidRDefault="00DD06F9" w:rsidP="00DD06F9">
      <w:pPr>
        <w:pStyle w:val="Heading2"/>
      </w:pPr>
      <w:r>
        <w:t>Stakeholder Benefits</w:t>
      </w:r>
    </w:p>
    <w:p w14:paraId="6465F4B5" w14:textId="728A9014" w:rsidR="001F1CA0" w:rsidRDefault="001F1CA0" w:rsidP="001F1CA0">
      <w:pPr>
        <w:pStyle w:val="ListParagraph"/>
        <w:numPr>
          <w:ilvl w:val="0"/>
          <w:numId w:val="11"/>
        </w:numPr>
      </w:pPr>
      <w:r w:rsidRPr="00F27B73">
        <w:rPr>
          <w:b/>
          <w:bCs/>
        </w:rPr>
        <w:t>Time</w:t>
      </w:r>
      <w:r>
        <w:rPr>
          <w:b/>
          <w:bCs/>
        </w:rPr>
        <w:t xml:space="preserve"> and Cost</w:t>
      </w:r>
      <w:r w:rsidRPr="00F27B73">
        <w:rPr>
          <w:b/>
          <w:bCs/>
        </w:rPr>
        <w:t xml:space="preserve"> Savings</w:t>
      </w:r>
      <w:r>
        <w:t>, by more rapidly and cost-effectively identifying and assessing new measure opportunities for the EE portfolios.</w:t>
      </w:r>
    </w:p>
    <w:p w14:paraId="7F0955D5" w14:textId="51362E86" w:rsidR="001F1CA0" w:rsidRDefault="001F1CA0" w:rsidP="001F1CA0">
      <w:pPr>
        <w:pStyle w:val="ListParagraph"/>
        <w:numPr>
          <w:ilvl w:val="0"/>
          <w:numId w:val="11"/>
        </w:numPr>
        <w:rPr>
          <w:b/>
          <w:bCs/>
        </w:rPr>
      </w:pPr>
      <w:r w:rsidRPr="005A76DD">
        <w:rPr>
          <w:b/>
          <w:bCs/>
        </w:rPr>
        <w:t>Stakeholder Engagement</w:t>
      </w:r>
      <w:r w:rsidRPr="001F1CA0">
        <w:t xml:space="preserve">, by </w:t>
      </w:r>
      <w:r>
        <w:t xml:space="preserve">increasing collaboration with </w:t>
      </w:r>
      <w:r w:rsidRPr="001F1CA0">
        <w:t>early-stage technology developers</w:t>
      </w:r>
      <w:r>
        <w:t xml:space="preserve"> and other sources of potential new measures for the EE portfolios</w:t>
      </w:r>
      <w:r w:rsidRPr="001F1CA0">
        <w:t>.</w:t>
      </w:r>
    </w:p>
    <w:p w14:paraId="31341806" w14:textId="7DF7D061" w:rsidR="001F1CA0" w:rsidRPr="005A76DD" w:rsidRDefault="001F1CA0" w:rsidP="005A76DD">
      <w:pPr>
        <w:pStyle w:val="ListParagraph"/>
        <w:numPr>
          <w:ilvl w:val="0"/>
          <w:numId w:val="11"/>
        </w:numPr>
        <w:rPr>
          <w:b/>
          <w:bCs/>
        </w:rPr>
      </w:pPr>
      <w:r>
        <w:rPr>
          <w:b/>
          <w:bCs/>
        </w:rPr>
        <w:t>Customer Experience</w:t>
      </w:r>
      <w:r w:rsidRPr="005A76DD">
        <w:t>, by in</w:t>
      </w:r>
      <w:r>
        <w:t xml:space="preserve">creasing the eTRM measures available to customers. </w:t>
      </w:r>
    </w:p>
    <w:p w14:paraId="71917E02" w14:textId="0BD818E9" w:rsidR="00240785" w:rsidRDefault="00B5658E" w:rsidP="00240785">
      <w:pPr>
        <w:pStyle w:val="Heading1"/>
      </w:pPr>
      <w:r>
        <w:t>Scope</w:t>
      </w:r>
    </w:p>
    <w:p w14:paraId="7D5E7F59" w14:textId="5BE129B0" w:rsidR="00240785" w:rsidRPr="00F26934" w:rsidRDefault="004F649A" w:rsidP="00F26934">
      <w:pPr>
        <w:pStyle w:val="Heading3"/>
        <w:ind w:left="0"/>
        <w:rPr>
          <w:i w:val="0"/>
          <w:iCs/>
          <w:color w:val="auto"/>
          <w:sz w:val="24"/>
          <w:u w:val="single"/>
        </w:rPr>
      </w:pPr>
      <w:r w:rsidRPr="00F26934">
        <w:rPr>
          <w:i w:val="0"/>
          <w:iCs/>
          <w:color w:val="auto"/>
          <w:u w:val="single"/>
        </w:rPr>
        <w:t>Strategy</w:t>
      </w:r>
      <w:r w:rsidR="00240785" w:rsidRPr="00F26934">
        <w:rPr>
          <w:i w:val="0"/>
          <w:iCs/>
          <w:color w:val="auto"/>
          <w:u w:val="single"/>
        </w:rPr>
        <w:t xml:space="preserve"> 1: “Pull” </w:t>
      </w:r>
      <w:r w:rsidR="00F26934">
        <w:rPr>
          <w:i w:val="0"/>
          <w:iCs/>
          <w:color w:val="auto"/>
          <w:u w:val="single"/>
        </w:rPr>
        <w:t>S</w:t>
      </w:r>
      <w:r w:rsidR="00240785" w:rsidRPr="00F26934">
        <w:rPr>
          <w:i w:val="0"/>
          <w:iCs/>
          <w:color w:val="auto"/>
          <w:u w:val="single"/>
        </w:rPr>
        <w:t xml:space="preserve">trategy with </w:t>
      </w:r>
      <w:r w:rsidR="00F26934">
        <w:rPr>
          <w:i w:val="0"/>
          <w:iCs/>
          <w:color w:val="auto"/>
          <w:u w:val="single"/>
        </w:rPr>
        <w:t>P</w:t>
      </w:r>
      <w:r w:rsidR="00240785" w:rsidRPr="00F26934">
        <w:rPr>
          <w:i w:val="0"/>
          <w:iCs/>
          <w:color w:val="auto"/>
          <w:u w:val="single"/>
        </w:rPr>
        <w:t xml:space="preserve">roactive </w:t>
      </w:r>
      <w:r w:rsidR="00F26934">
        <w:rPr>
          <w:i w:val="0"/>
          <w:iCs/>
          <w:color w:val="auto"/>
          <w:u w:val="single"/>
        </w:rPr>
        <w:t>O</w:t>
      </w:r>
      <w:r w:rsidR="00240785" w:rsidRPr="00F26934">
        <w:rPr>
          <w:i w:val="0"/>
          <w:iCs/>
          <w:color w:val="auto"/>
          <w:u w:val="single"/>
        </w:rPr>
        <w:t>utreach </w:t>
      </w:r>
    </w:p>
    <w:p w14:paraId="5996FFFD" w14:textId="77777777" w:rsidR="007B0AEB" w:rsidRDefault="05054C86" w:rsidP="00240785">
      <w:r>
        <w:t xml:space="preserve">Cal TF proposes regular collaboration with early-stage technology </w:t>
      </w:r>
      <w:r w:rsidR="00F26934">
        <w:t>developers</w:t>
      </w:r>
      <w:r>
        <w:t xml:space="preserve"> who have not previously been engaged with California's measure development process. This collaboration will </w:t>
      </w:r>
      <w:r w:rsidR="007B0AEB">
        <w:t xml:space="preserve">involve </w:t>
      </w:r>
      <w:r>
        <w:t>regular check-ins with leading cleantech, academic, and research organizations</w:t>
      </w:r>
      <w:r w:rsidR="00F26934">
        <w:t xml:space="preserve"> that </w:t>
      </w:r>
      <w:r>
        <w:t>can provide “leads” for new measure opportunities in the form of a technology maker who is entering the marketplace with a new product that has the potential to reliably deliver energy savings. </w:t>
      </w:r>
    </w:p>
    <w:p w14:paraId="69D14BAA" w14:textId="3F953174" w:rsidR="00240785" w:rsidRPr="007B0AEB" w:rsidRDefault="05054C86" w:rsidP="00240785">
      <w:pPr>
        <w:rPr>
          <w:sz w:val="24"/>
          <w:szCs w:val="24"/>
        </w:rPr>
      </w:pPr>
      <w:r>
        <w:t>Additionally, Cal TF will “pull” new measure ideas from other industry resources, including:    </w:t>
      </w:r>
    </w:p>
    <w:p w14:paraId="76E2C1CF" w14:textId="77777777" w:rsidR="00240785" w:rsidRDefault="00240785">
      <w:pPr>
        <w:pStyle w:val="ListParagraph"/>
        <w:numPr>
          <w:ilvl w:val="0"/>
          <w:numId w:val="2"/>
        </w:numPr>
      </w:pPr>
      <w:r>
        <w:t>Existing Cal TF stakeholders (IOUs, POUs, implementers) </w:t>
      </w:r>
    </w:p>
    <w:p w14:paraId="743206AD" w14:textId="77777777" w:rsidR="00240785" w:rsidRDefault="00240785">
      <w:pPr>
        <w:pStyle w:val="ListParagraph"/>
        <w:numPr>
          <w:ilvl w:val="0"/>
          <w:numId w:val="2"/>
        </w:numPr>
      </w:pPr>
      <w:r>
        <w:t>Prior emerging technology projects that were not developed </w:t>
      </w:r>
    </w:p>
    <w:p w14:paraId="3E370B04" w14:textId="77777777" w:rsidR="00240785" w:rsidRDefault="00240785">
      <w:pPr>
        <w:pStyle w:val="ListParagraph"/>
        <w:numPr>
          <w:ilvl w:val="0"/>
          <w:numId w:val="2"/>
        </w:numPr>
      </w:pPr>
      <w:r>
        <w:t>EPIC projects </w:t>
      </w:r>
    </w:p>
    <w:p w14:paraId="60AE6F25" w14:textId="3C814F24" w:rsidR="00240785" w:rsidRDefault="007216E5">
      <w:pPr>
        <w:pStyle w:val="ListParagraph"/>
        <w:numPr>
          <w:ilvl w:val="0"/>
          <w:numId w:val="2"/>
        </w:numPr>
      </w:pPr>
      <w:r>
        <w:t>M</w:t>
      </w:r>
      <w:r w:rsidR="00240785">
        <w:t>easures in other jurisdictions  </w:t>
      </w:r>
    </w:p>
    <w:p w14:paraId="1EEABE5A" w14:textId="5231B91A" w:rsidR="00240785" w:rsidRDefault="05054C86">
      <w:pPr>
        <w:pStyle w:val="ListParagraph"/>
        <w:numPr>
          <w:ilvl w:val="0"/>
          <w:numId w:val="2"/>
        </w:numPr>
      </w:pPr>
      <w:r>
        <w:t>Measures under review by utility emerging technology programs outside California</w:t>
      </w:r>
    </w:p>
    <w:p w14:paraId="2E95495B" w14:textId="559F2628" w:rsidR="00240785" w:rsidRPr="00F26934" w:rsidRDefault="004F649A" w:rsidP="00F26934">
      <w:pPr>
        <w:pStyle w:val="Heading3"/>
        <w:ind w:left="0"/>
        <w:rPr>
          <w:i w:val="0"/>
          <w:iCs/>
          <w:color w:val="auto"/>
          <w:sz w:val="24"/>
          <w:u w:val="single"/>
        </w:rPr>
      </w:pPr>
      <w:r w:rsidRPr="00F26934">
        <w:rPr>
          <w:i w:val="0"/>
          <w:iCs/>
          <w:color w:val="auto"/>
          <w:u w:val="single"/>
        </w:rPr>
        <w:t xml:space="preserve">Strategy </w:t>
      </w:r>
      <w:r w:rsidR="00240785" w:rsidRPr="00F26934">
        <w:rPr>
          <w:i w:val="0"/>
          <w:iCs/>
          <w:color w:val="auto"/>
          <w:u w:val="single"/>
        </w:rPr>
        <w:t xml:space="preserve">2: Rapid </w:t>
      </w:r>
      <w:r w:rsidR="00F26934">
        <w:rPr>
          <w:i w:val="0"/>
          <w:iCs/>
          <w:color w:val="auto"/>
          <w:u w:val="single"/>
        </w:rPr>
        <w:t>S</w:t>
      </w:r>
      <w:r w:rsidR="00240785" w:rsidRPr="00F26934">
        <w:rPr>
          <w:i w:val="0"/>
          <w:iCs/>
          <w:color w:val="auto"/>
          <w:u w:val="single"/>
        </w:rPr>
        <w:t xml:space="preserve">coring </w:t>
      </w:r>
      <w:r w:rsidR="00F26934">
        <w:rPr>
          <w:i w:val="0"/>
          <w:iCs/>
          <w:color w:val="auto"/>
          <w:u w:val="single"/>
        </w:rPr>
        <w:t>P</w:t>
      </w:r>
      <w:r w:rsidR="00240785" w:rsidRPr="00F26934">
        <w:rPr>
          <w:i w:val="0"/>
          <w:iCs/>
          <w:color w:val="auto"/>
          <w:u w:val="single"/>
        </w:rPr>
        <w:t>rocess </w:t>
      </w:r>
    </w:p>
    <w:p w14:paraId="302BE68D" w14:textId="76563459" w:rsidR="00240785" w:rsidRDefault="00C83DAA" w:rsidP="00240785">
      <w:pPr>
        <w:rPr>
          <w:sz w:val="24"/>
          <w:szCs w:val="24"/>
        </w:rPr>
      </w:pPr>
      <w:r>
        <w:t>Cal TF Staff will use a rapid-scoring method on t</w:t>
      </w:r>
      <w:r w:rsidR="00240785">
        <w:t>echnolog</w:t>
      </w:r>
      <w:r w:rsidR="001510DB">
        <w:t>ies and new measure ideas</w:t>
      </w:r>
      <w:r w:rsidR="00240785">
        <w:t xml:space="preserve"> brought in through the “pull” strategy to more formally determine </w:t>
      </w:r>
      <w:r w:rsidR="001510DB">
        <w:t xml:space="preserve">viability </w:t>
      </w:r>
      <w:r w:rsidR="00240785">
        <w:t>for inclusion in the eTRM</w:t>
      </w:r>
      <w:r w:rsidR="001510DB">
        <w:t xml:space="preserve"> and EE portfolios</w:t>
      </w:r>
      <w:r w:rsidR="00240785">
        <w:t>. Th</w:t>
      </w:r>
      <w:r w:rsidR="001627A8">
        <w:t>is</w:t>
      </w:r>
      <w:r w:rsidR="00240785">
        <w:t xml:space="preserve"> new </w:t>
      </w:r>
      <w:r w:rsidR="001510DB">
        <w:t xml:space="preserve">rapid-scoring </w:t>
      </w:r>
      <w:r w:rsidR="00240785">
        <w:t xml:space="preserve">process will efficiently and cost-effectively </w:t>
      </w:r>
      <w:r w:rsidR="001510DB">
        <w:t>assess</w:t>
      </w:r>
      <w:r w:rsidR="00240785">
        <w:t xml:space="preserve"> each measure idea across the following categories: </w:t>
      </w:r>
    </w:p>
    <w:p w14:paraId="1F38756F" w14:textId="77777777" w:rsidR="00240785" w:rsidRDefault="00240785">
      <w:pPr>
        <w:pStyle w:val="ListParagraph"/>
        <w:numPr>
          <w:ilvl w:val="0"/>
          <w:numId w:val="3"/>
        </w:numPr>
      </w:pPr>
      <w:r>
        <w:t>Portfolio impact (energy savings, cost-effectiveness, measure life) </w:t>
      </w:r>
    </w:p>
    <w:p w14:paraId="53FDDE5E" w14:textId="77777777" w:rsidR="00240785" w:rsidRDefault="00240785">
      <w:pPr>
        <w:pStyle w:val="ListParagraph"/>
        <w:numPr>
          <w:ilvl w:val="0"/>
          <w:numId w:val="3"/>
        </w:numPr>
      </w:pPr>
      <w:r>
        <w:t>Customer appeal (affordability, ease of adoption, non-energy benefits) </w:t>
      </w:r>
    </w:p>
    <w:p w14:paraId="4D489B15" w14:textId="77777777" w:rsidR="00240785" w:rsidRDefault="00240785">
      <w:pPr>
        <w:pStyle w:val="ListParagraph"/>
        <w:numPr>
          <w:ilvl w:val="0"/>
          <w:numId w:val="3"/>
        </w:numPr>
      </w:pPr>
      <w:r>
        <w:t>Measure viability (appropriateness for eTRM, ease of implementation, size of market) </w:t>
      </w:r>
    </w:p>
    <w:p w14:paraId="757253C9" w14:textId="35050C3B" w:rsidR="00240785" w:rsidRDefault="00240785" w:rsidP="00240785">
      <w:pPr>
        <w:rPr>
          <w:sz w:val="24"/>
          <w:szCs w:val="24"/>
        </w:rPr>
      </w:pPr>
      <w:r>
        <w:lastRenderedPageBreak/>
        <w:t xml:space="preserve">High-scoring concepts will enter the current New Measure Process at the Measure Screening stage, just like any other measure that is currently identified through the existing “push” approach. Concepts that do not score well may be referred to other stakeholders, such as </w:t>
      </w:r>
      <w:proofErr w:type="spellStart"/>
      <w:r>
        <w:t>CalNext</w:t>
      </w:r>
      <w:proofErr w:type="spellEnd"/>
      <w:r>
        <w:t>, EPIC, or others for follow</w:t>
      </w:r>
      <w:r w:rsidR="001510DB">
        <w:t>-</w:t>
      </w:r>
      <w:r>
        <w:t>up</w:t>
      </w:r>
      <w:r w:rsidR="001510DB">
        <w:t>,</w:t>
      </w:r>
      <w:r>
        <w:t xml:space="preserve"> or they may be eliminated for consideration as a</w:t>
      </w:r>
      <w:r w:rsidR="001510DB">
        <w:t>n eTRM</w:t>
      </w:r>
      <w:r>
        <w:t xml:space="preserve"> measure (though any eliminated concept can be brought back into consideration as new information becomes available, the marketplace changes, or the technology evolves).  </w:t>
      </w:r>
    </w:p>
    <w:p w14:paraId="69921F67" w14:textId="6475C055" w:rsidR="00240785" w:rsidRDefault="00240785" w:rsidP="00240785">
      <w:r>
        <w:t xml:space="preserve">Combined, </w:t>
      </w:r>
      <w:r w:rsidR="007216E5">
        <w:t>Strategies</w:t>
      </w:r>
      <w:r>
        <w:t xml:space="preserve"> 1 and 2 will </w:t>
      </w:r>
      <w:r w:rsidR="00775DEE">
        <w:t>enhance the</w:t>
      </w:r>
      <w:r>
        <w:t xml:space="preserve"> new measure pipeline, which will translate to a more robust statewide portfolio of </w:t>
      </w:r>
      <w:r w:rsidR="007216E5">
        <w:t>eTRM</w:t>
      </w:r>
      <w:r>
        <w:t xml:space="preserve"> measures and associated increased energy</w:t>
      </w:r>
      <w:r w:rsidR="00775DEE">
        <w:t xml:space="preserve"> savings</w:t>
      </w:r>
      <w:r>
        <w:t>.  </w:t>
      </w:r>
    </w:p>
    <w:p w14:paraId="67F9B5D6" w14:textId="77777777" w:rsidR="00DD06F9" w:rsidRDefault="00DD06F9" w:rsidP="00DD06F9">
      <w:pPr>
        <w:pStyle w:val="Heading2"/>
      </w:pPr>
      <w:r>
        <w:t>Deliverables</w:t>
      </w:r>
    </w:p>
    <w:p w14:paraId="53EDF30C" w14:textId="6882FFD7" w:rsidR="00E13D12" w:rsidRDefault="00E13D12" w:rsidP="00C1170B">
      <w:pPr>
        <w:pStyle w:val="ListParagraph"/>
        <w:numPr>
          <w:ilvl w:val="0"/>
          <w:numId w:val="10"/>
        </w:numPr>
      </w:pPr>
      <w:r>
        <w:t>Presentation on Rapid Scoring Tool/Method – by March 2023</w:t>
      </w:r>
    </w:p>
    <w:p w14:paraId="6B06C552" w14:textId="129C9CCC" w:rsidR="00C1170B" w:rsidRPr="004A1069" w:rsidRDefault="00C83DAA" w:rsidP="00C1170B">
      <w:pPr>
        <w:pStyle w:val="ListParagraph"/>
        <w:numPr>
          <w:ilvl w:val="0"/>
          <w:numId w:val="10"/>
        </w:numPr>
      </w:pPr>
      <w:r>
        <w:t>Project update</w:t>
      </w:r>
      <w:r w:rsidR="00770457">
        <w:t xml:space="preserve">, including list of new measures </w:t>
      </w:r>
      <w:r>
        <w:t xml:space="preserve">and scoring outcomes </w:t>
      </w:r>
      <w:r w:rsidR="00C1170B" w:rsidRPr="004A1069">
        <w:t xml:space="preserve">– July 2023 </w:t>
      </w:r>
    </w:p>
    <w:p w14:paraId="39B4767D" w14:textId="77777777" w:rsidR="00DD06F9" w:rsidRDefault="00DD06F9" w:rsidP="00DD06F9">
      <w:pPr>
        <w:pStyle w:val="Heading2"/>
      </w:pPr>
      <w:r>
        <w:t xml:space="preserve">Potential Obstacles and Preliminary Solutions </w:t>
      </w:r>
    </w:p>
    <w:p w14:paraId="389956A4" w14:textId="6B202F53" w:rsidR="00DD06F9" w:rsidRPr="005A76DD" w:rsidRDefault="004A1069" w:rsidP="00240785">
      <w:r w:rsidRPr="005A76DD">
        <w:t xml:space="preserve">Cal TF does not </w:t>
      </w:r>
      <w:r>
        <w:t xml:space="preserve">anticipate significant challenges with this activity. </w:t>
      </w:r>
    </w:p>
    <w:p w14:paraId="29713B1D" w14:textId="2451FFE7" w:rsidR="00B5658E" w:rsidRDefault="00B5658E" w:rsidP="00B5658E">
      <w:pPr>
        <w:pStyle w:val="Heading1"/>
      </w:pPr>
      <w:r>
        <w:t>Schedule</w:t>
      </w:r>
    </w:p>
    <w:p w14:paraId="78D30F11" w14:textId="6908F2BB" w:rsidR="00B5658E" w:rsidRPr="004A1069" w:rsidRDefault="00472122" w:rsidP="00240785">
      <w:r w:rsidRPr="005A76DD">
        <w:t>Cal TF will commence “pull” outreach efforts upon affirmation of the workplan and anticipat</w:t>
      </w:r>
      <w:r w:rsidR="00775DEE">
        <w:t>es</w:t>
      </w:r>
      <w:r w:rsidRPr="005A76DD">
        <w:t xml:space="preserve"> implementing the new model by </w:t>
      </w:r>
      <w:proofErr w:type="spellStart"/>
      <w:r w:rsidRPr="005A76DD">
        <w:t xml:space="preserve">mid </w:t>
      </w:r>
      <w:r w:rsidR="00B5658E" w:rsidRPr="004A1069">
        <w:t>2023</w:t>
      </w:r>
      <w:proofErr w:type="spellEnd"/>
      <w:r w:rsidRPr="004A1069">
        <w:t>.</w:t>
      </w:r>
    </w:p>
    <w:p w14:paraId="5287200E" w14:textId="77777777" w:rsidR="00DD06F9" w:rsidRPr="004A1069" w:rsidRDefault="00DD06F9" w:rsidP="00DD06F9">
      <w:r w:rsidRPr="004A1069">
        <w:t>Key Milestones:</w:t>
      </w:r>
    </w:p>
    <w:p w14:paraId="24E5AC07" w14:textId="2A52304F" w:rsidR="00DD06F9" w:rsidRPr="004A1069" w:rsidRDefault="00DD06F9" w:rsidP="00DD06F9">
      <w:pPr>
        <w:pStyle w:val="ListParagraph"/>
        <w:numPr>
          <w:ilvl w:val="0"/>
          <w:numId w:val="10"/>
        </w:numPr>
      </w:pPr>
      <w:r w:rsidRPr="004A1069">
        <w:t xml:space="preserve">Present 4A workplan for TF affirmation – </w:t>
      </w:r>
      <w:r w:rsidRPr="00092260">
        <w:rPr>
          <w:b/>
          <w:bCs/>
        </w:rPr>
        <w:t>February 2023</w:t>
      </w:r>
      <w:r w:rsidRPr="004A1069">
        <w:t xml:space="preserve"> </w:t>
      </w:r>
    </w:p>
    <w:p w14:paraId="3A37DA54" w14:textId="5F4DDE38" w:rsidR="00DD06F9" w:rsidRPr="004A1069" w:rsidRDefault="00DD06F9" w:rsidP="00DD06F9">
      <w:pPr>
        <w:pStyle w:val="ListParagraph"/>
        <w:numPr>
          <w:ilvl w:val="0"/>
          <w:numId w:val="10"/>
        </w:numPr>
      </w:pPr>
      <w:r w:rsidRPr="004A1069">
        <w:t xml:space="preserve">Initiate Strategy 1 – </w:t>
      </w:r>
      <w:r w:rsidRPr="00092260">
        <w:rPr>
          <w:b/>
          <w:bCs/>
        </w:rPr>
        <w:t>March 2023</w:t>
      </w:r>
      <w:r w:rsidRPr="004A1069">
        <w:t xml:space="preserve"> </w:t>
      </w:r>
    </w:p>
    <w:p w14:paraId="53879342" w14:textId="7AB1FB33" w:rsidR="00DD06F9" w:rsidRPr="004A1069" w:rsidRDefault="00DD06F9" w:rsidP="00DD06F9">
      <w:pPr>
        <w:pStyle w:val="ListParagraph"/>
        <w:numPr>
          <w:ilvl w:val="0"/>
          <w:numId w:val="10"/>
        </w:numPr>
      </w:pPr>
      <w:r w:rsidRPr="004A1069">
        <w:t xml:space="preserve">Present Rapid Scoring Methods to New Measure Screening Committee – </w:t>
      </w:r>
      <w:r w:rsidRPr="00092260">
        <w:rPr>
          <w:b/>
          <w:bCs/>
        </w:rPr>
        <w:t>March 2023</w:t>
      </w:r>
      <w:r w:rsidRPr="004A1069">
        <w:t xml:space="preserve"> </w:t>
      </w:r>
    </w:p>
    <w:p w14:paraId="56DE1E81" w14:textId="37656666" w:rsidR="00DD06F9" w:rsidRPr="004A1069" w:rsidRDefault="00DD06F9" w:rsidP="00DD06F9">
      <w:pPr>
        <w:pStyle w:val="ListParagraph"/>
        <w:numPr>
          <w:ilvl w:val="0"/>
          <w:numId w:val="10"/>
        </w:numPr>
      </w:pPr>
      <w:r w:rsidRPr="004A1069">
        <w:t xml:space="preserve">Project update to TF and PAC – </w:t>
      </w:r>
      <w:r w:rsidRPr="00092260">
        <w:rPr>
          <w:b/>
          <w:bCs/>
        </w:rPr>
        <w:t>July 2023</w:t>
      </w:r>
      <w:r w:rsidRPr="004A1069">
        <w:t xml:space="preserve"> </w:t>
      </w:r>
    </w:p>
    <w:p w14:paraId="3B5021D8" w14:textId="77777777" w:rsidR="00DD06F9" w:rsidRDefault="00DD06F9" w:rsidP="00DD06F9">
      <w:pPr>
        <w:pStyle w:val="Heading1"/>
      </w:pPr>
      <w:r>
        <w:t>Stakeholders and Team Members</w:t>
      </w:r>
    </w:p>
    <w:p w14:paraId="7382F89D" w14:textId="3E3DEF83" w:rsidR="00DD06F9" w:rsidRDefault="00DD06F9" w:rsidP="00DD06F9">
      <w:r>
        <w:t xml:space="preserve">Cal TF Staff </w:t>
      </w:r>
      <w:r w:rsidR="007B0AEB">
        <w:t xml:space="preserve">member Spencer Sator </w:t>
      </w:r>
      <w:r>
        <w:t xml:space="preserve">will lead this initiative with input from TF Members and the Measure Screening Committee. </w:t>
      </w:r>
    </w:p>
    <w:p w14:paraId="4176AFAB" w14:textId="1C6695EC" w:rsidR="00B5658E" w:rsidRDefault="00B5658E" w:rsidP="00B5658E">
      <w:pPr>
        <w:pStyle w:val="Heading1"/>
      </w:pPr>
      <w:r>
        <w:t>Budget</w:t>
      </w:r>
    </w:p>
    <w:p w14:paraId="101ACBC2" w14:textId="62F9930D" w:rsidR="00240785" w:rsidRDefault="00DD06F9" w:rsidP="005A76DD">
      <w:pPr>
        <w:autoSpaceDE w:val="0"/>
        <w:autoSpaceDN w:val="0"/>
        <w:adjustRightInd w:val="0"/>
        <w:spacing w:before="0" w:after="0" w:line="240" w:lineRule="auto"/>
        <w:rPr>
          <w:rFonts w:cs="Arial"/>
          <w:color w:val="535353"/>
          <w:sz w:val="24"/>
          <w:szCs w:val="24"/>
        </w:rPr>
      </w:pPr>
      <w:r w:rsidRPr="00DD06F9">
        <w:t xml:space="preserve">Cal TF Staff will conduct this activity within the approved Cal TF budget. </w:t>
      </w:r>
    </w:p>
    <w:p w14:paraId="60A22E60" w14:textId="77777777" w:rsidR="00DD06F9" w:rsidRDefault="00DD06F9" w:rsidP="00DD06F9">
      <w:pPr>
        <w:pStyle w:val="Heading1"/>
        <w:numPr>
          <w:ilvl w:val="0"/>
          <w:numId w:val="8"/>
        </w:numPr>
      </w:pPr>
      <w:r>
        <w:t>Affirmation</w:t>
      </w:r>
    </w:p>
    <w:p w14:paraId="405E3009" w14:textId="77777777" w:rsidR="00252EE1" w:rsidRDefault="00DD06F9">
      <w:pPr>
        <w:spacing w:before="0" w:after="200"/>
      </w:pPr>
      <w:r w:rsidRPr="00DD06F9">
        <w:t>This workplan requires TF affirmation.</w:t>
      </w:r>
    </w:p>
    <w:p w14:paraId="2FF2C780" w14:textId="4AF1FF14" w:rsidR="00240785" w:rsidRPr="00DD06F9" w:rsidRDefault="00252EE1">
      <w:pPr>
        <w:spacing w:before="0" w:after="200"/>
        <w:rPr>
          <w:rFonts w:cs="Arial"/>
          <w:color w:val="535353"/>
          <w:sz w:val="24"/>
          <w:szCs w:val="24"/>
        </w:rPr>
      </w:pPr>
      <w:r>
        <w:rPr>
          <w:color w:val="000000" w:themeColor="text1"/>
        </w:rPr>
        <w:t>The TF affirmed this workplan on February 23, 2023.</w:t>
      </w:r>
      <w:r w:rsidR="00240785" w:rsidRPr="00DD06F9">
        <w:rPr>
          <w:rFonts w:cs="Arial"/>
          <w:color w:val="535353"/>
          <w:sz w:val="24"/>
          <w:szCs w:val="24"/>
        </w:rPr>
        <w:br w:type="page"/>
      </w:r>
    </w:p>
    <w:p w14:paraId="5046DDC5" w14:textId="5B9C2A7F" w:rsidR="00240785" w:rsidRDefault="00080017" w:rsidP="00240785">
      <w:pPr>
        <w:autoSpaceDE w:val="0"/>
        <w:autoSpaceDN w:val="0"/>
        <w:adjustRightInd w:val="0"/>
        <w:spacing w:before="0" w:after="0" w:line="240" w:lineRule="auto"/>
        <w:rPr>
          <w:b/>
        </w:rPr>
      </w:pPr>
      <w:r>
        <w:rPr>
          <w:b/>
        </w:rPr>
        <w:lastRenderedPageBreak/>
        <w:t xml:space="preserve">Attachment </w:t>
      </w:r>
      <w:r w:rsidR="00240785">
        <w:rPr>
          <w:b/>
        </w:rPr>
        <w:t xml:space="preserve">1: </w:t>
      </w:r>
      <w:r w:rsidR="00AE482F">
        <w:rPr>
          <w:b/>
        </w:rPr>
        <w:t>P</w:t>
      </w:r>
      <w:r w:rsidR="00240785">
        <w:rPr>
          <w:b/>
        </w:rPr>
        <w:t xml:space="preserve">roposed </w:t>
      </w:r>
      <w:r w:rsidR="00AE482F">
        <w:rPr>
          <w:b/>
        </w:rPr>
        <w:t>R</w:t>
      </w:r>
      <w:r w:rsidR="00240785">
        <w:rPr>
          <w:b/>
        </w:rPr>
        <w:t xml:space="preserve">esources and </w:t>
      </w:r>
      <w:r w:rsidR="00AE482F">
        <w:rPr>
          <w:b/>
        </w:rPr>
        <w:t>C</w:t>
      </w:r>
      <w:r w:rsidR="00240785">
        <w:rPr>
          <w:b/>
        </w:rPr>
        <w:t xml:space="preserve">ollaboration </w:t>
      </w:r>
      <w:r w:rsidR="00AE482F">
        <w:rPr>
          <w:b/>
        </w:rPr>
        <w:t>A</w:t>
      </w:r>
      <w:r w:rsidR="00240785">
        <w:rPr>
          <w:b/>
        </w:rPr>
        <w:t>pproach </w:t>
      </w:r>
    </w:p>
    <w:p w14:paraId="32483DAB" w14:textId="2F3BD3A4" w:rsidR="005A76DD" w:rsidRDefault="005A76DD" w:rsidP="00920891">
      <w:r>
        <w:t>There is a rich startup ecosystem from which Cal TF can seek new measure ideas. Potential organizations with whom Cal TF may collaborate with regularly in these efforts includes</w:t>
      </w:r>
      <w:r w:rsidR="00920891">
        <w:t xml:space="preserve"> g</w:t>
      </w:r>
      <w:r>
        <w:t xml:space="preserve">overnment </w:t>
      </w:r>
      <w:r w:rsidR="00920891">
        <w:t xml:space="preserve">and university labs, trade organizations, incubators and accelerators, and venture capital organizations. </w:t>
      </w:r>
      <w:r w:rsidR="003A5066">
        <w:t xml:space="preserve">For example: </w:t>
      </w:r>
    </w:p>
    <w:p w14:paraId="2532FDB7" w14:textId="6CD135DE" w:rsidR="003A5066" w:rsidRDefault="003A5066" w:rsidP="003A5066">
      <w:pPr>
        <w:pStyle w:val="ListParagraph"/>
        <w:numPr>
          <w:ilvl w:val="0"/>
          <w:numId w:val="9"/>
        </w:numPr>
      </w:pPr>
      <w:r>
        <w:t>CA Research Entities</w:t>
      </w:r>
    </w:p>
    <w:p w14:paraId="35C38228" w14:textId="4BFB0BE9" w:rsidR="003A5066" w:rsidRPr="003A5066" w:rsidRDefault="003A5066" w:rsidP="003A5066">
      <w:pPr>
        <w:pStyle w:val="ListParagraph"/>
        <w:numPr>
          <w:ilvl w:val="1"/>
          <w:numId w:val="9"/>
        </w:numPr>
      </w:pPr>
      <w:r>
        <w:t>Western Cooling Efficiency Center (</w:t>
      </w:r>
      <w:r w:rsidRPr="003A5066">
        <w:t>WCEC</w:t>
      </w:r>
      <w:r>
        <w:t>)</w:t>
      </w:r>
    </w:p>
    <w:p w14:paraId="2864FAB2" w14:textId="476A96D3" w:rsidR="003A5066" w:rsidRPr="003A5066" w:rsidRDefault="003A5066" w:rsidP="003A5066">
      <w:pPr>
        <w:pStyle w:val="ListParagraph"/>
        <w:numPr>
          <w:ilvl w:val="1"/>
          <w:numId w:val="9"/>
        </w:numPr>
      </w:pPr>
      <w:r>
        <w:t>California Plug Load Research Center (</w:t>
      </w:r>
      <w:proofErr w:type="spellStart"/>
      <w:r w:rsidRPr="003A5066">
        <w:t>CalPlug</w:t>
      </w:r>
      <w:proofErr w:type="spellEnd"/>
      <w:r>
        <w:t>)</w:t>
      </w:r>
    </w:p>
    <w:p w14:paraId="44F2410D" w14:textId="2955B45B" w:rsidR="003A5066" w:rsidRPr="003A5066" w:rsidRDefault="003A5066" w:rsidP="003A5066">
      <w:pPr>
        <w:pStyle w:val="ListParagraph"/>
        <w:numPr>
          <w:ilvl w:val="1"/>
          <w:numId w:val="9"/>
        </w:numPr>
      </w:pPr>
      <w:r>
        <w:t>California Lighting Technology Center (</w:t>
      </w:r>
      <w:r w:rsidRPr="003A5066">
        <w:t>CLTC</w:t>
      </w:r>
      <w:r>
        <w:t>)</w:t>
      </w:r>
    </w:p>
    <w:p w14:paraId="54A02983" w14:textId="77777777" w:rsidR="003A5066" w:rsidRDefault="003A5066" w:rsidP="003A5066">
      <w:pPr>
        <w:pStyle w:val="ListParagraph"/>
        <w:numPr>
          <w:ilvl w:val="0"/>
          <w:numId w:val="9"/>
        </w:numPr>
      </w:pPr>
      <w:r>
        <w:t>Government Labs</w:t>
      </w:r>
    </w:p>
    <w:p w14:paraId="1F6567B3" w14:textId="77777777" w:rsidR="003A5066" w:rsidRPr="003A5066" w:rsidRDefault="003A5066" w:rsidP="003A5066">
      <w:pPr>
        <w:pStyle w:val="ListParagraph"/>
        <w:numPr>
          <w:ilvl w:val="1"/>
          <w:numId w:val="9"/>
        </w:numPr>
      </w:pPr>
      <w:r w:rsidRPr="003A5066">
        <w:t>ARPA-E</w:t>
      </w:r>
    </w:p>
    <w:p w14:paraId="10480117" w14:textId="77777777" w:rsidR="003A5066" w:rsidRDefault="003A5066" w:rsidP="003A5066">
      <w:pPr>
        <w:pStyle w:val="ListParagraph"/>
        <w:numPr>
          <w:ilvl w:val="1"/>
          <w:numId w:val="9"/>
        </w:numPr>
      </w:pPr>
      <w:r w:rsidRPr="003A5066">
        <w:t xml:space="preserve">National labs </w:t>
      </w:r>
    </w:p>
    <w:p w14:paraId="15EB9321" w14:textId="77777777" w:rsidR="003A5066" w:rsidRDefault="003A5066" w:rsidP="003A5066">
      <w:pPr>
        <w:pStyle w:val="ListParagraph"/>
        <w:numPr>
          <w:ilvl w:val="0"/>
          <w:numId w:val="9"/>
        </w:numPr>
      </w:pPr>
      <w:r>
        <w:t>I</w:t>
      </w:r>
      <w:r w:rsidRPr="003A5066">
        <w:t>ncubators and accelerators</w:t>
      </w:r>
    </w:p>
    <w:p w14:paraId="097825CB" w14:textId="77777777" w:rsidR="003A5066" w:rsidRPr="003A5066" w:rsidRDefault="003A5066" w:rsidP="003A5066">
      <w:pPr>
        <w:pStyle w:val="ListParagraph"/>
        <w:numPr>
          <w:ilvl w:val="1"/>
          <w:numId w:val="9"/>
        </w:numPr>
      </w:pPr>
      <w:r w:rsidRPr="003A5066">
        <w:t xml:space="preserve">IN2 Innovation Incubator </w:t>
      </w:r>
    </w:p>
    <w:p w14:paraId="614E9730" w14:textId="77777777" w:rsidR="003A5066" w:rsidRPr="003A5066" w:rsidRDefault="003A5066" w:rsidP="003A5066">
      <w:pPr>
        <w:pStyle w:val="ListParagraph"/>
        <w:numPr>
          <w:ilvl w:val="1"/>
          <w:numId w:val="9"/>
        </w:numPr>
      </w:pPr>
      <w:proofErr w:type="spellStart"/>
      <w:r w:rsidRPr="003A5066">
        <w:t>Incubatenergy</w:t>
      </w:r>
      <w:proofErr w:type="spellEnd"/>
      <w:r w:rsidRPr="003A5066">
        <w:t xml:space="preserve"> Network</w:t>
      </w:r>
    </w:p>
    <w:p w14:paraId="1F0B005B" w14:textId="709A63A6" w:rsidR="003A5066" w:rsidRPr="003A5066" w:rsidRDefault="003A5066" w:rsidP="003A5066">
      <w:pPr>
        <w:pStyle w:val="ListParagraph"/>
        <w:numPr>
          <w:ilvl w:val="1"/>
          <w:numId w:val="9"/>
        </w:numPr>
      </w:pPr>
      <w:r>
        <w:t>LA Cleantech Incubator (</w:t>
      </w:r>
      <w:r w:rsidRPr="003A5066">
        <w:t>LACI</w:t>
      </w:r>
      <w:r>
        <w:t>)</w:t>
      </w:r>
    </w:p>
    <w:p w14:paraId="04195677" w14:textId="77777777" w:rsidR="003A5066" w:rsidRPr="003A5066" w:rsidRDefault="003A5066" w:rsidP="003A5066">
      <w:pPr>
        <w:pStyle w:val="ListParagraph"/>
        <w:numPr>
          <w:ilvl w:val="1"/>
          <w:numId w:val="9"/>
        </w:numPr>
      </w:pPr>
      <w:proofErr w:type="spellStart"/>
      <w:r w:rsidRPr="003A5066">
        <w:t>CleanTech</w:t>
      </w:r>
      <w:proofErr w:type="spellEnd"/>
      <w:r w:rsidRPr="003A5066">
        <w:t xml:space="preserve"> Open</w:t>
      </w:r>
    </w:p>
    <w:p w14:paraId="5B16B792" w14:textId="77777777" w:rsidR="003A5066" w:rsidRDefault="003A5066" w:rsidP="003A5066">
      <w:pPr>
        <w:pStyle w:val="ListParagraph"/>
        <w:numPr>
          <w:ilvl w:val="1"/>
          <w:numId w:val="9"/>
        </w:numPr>
      </w:pPr>
      <w:r w:rsidRPr="003A5066">
        <w:t>Build Edison</w:t>
      </w:r>
    </w:p>
    <w:p w14:paraId="310C66FB" w14:textId="58424FCC" w:rsidR="003A5066" w:rsidRDefault="003A5066" w:rsidP="003A5066">
      <w:pPr>
        <w:pStyle w:val="ListParagraph"/>
        <w:numPr>
          <w:ilvl w:val="0"/>
          <w:numId w:val="9"/>
        </w:numPr>
      </w:pPr>
      <w:r>
        <w:t>ET Leaders Outside CA</w:t>
      </w:r>
    </w:p>
    <w:p w14:paraId="07C45EA5" w14:textId="77777777" w:rsidR="003A5066" w:rsidRPr="003A5066" w:rsidRDefault="003A5066" w:rsidP="003A5066">
      <w:pPr>
        <w:pStyle w:val="ListParagraph"/>
        <w:numPr>
          <w:ilvl w:val="1"/>
          <w:numId w:val="9"/>
        </w:numPr>
      </w:pPr>
      <w:r w:rsidRPr="003A5066">
        <w:t>Con Edison</w:t>
      </w:r>
    </w:p>
    <w:p w14:paraId="136FA34E" w14:textId="509CC239" w:rsidR="003A5066" w:rsidRPr="003A5066" w:rsidRDefault="003A5066" w:rsidP="003A5066">
      <w:pPr>
        <w:pStyle w:val="ListParagraph"/>
        <w:numPr>
          <w:ilvl w:val="1"/>
          <w:numId w:val="9"/>
        </w:numPr>
      </w:pPr>
      <w:proofErr w:type="spellStart"/>
      <w:r w:rsidRPr="003A5066">
        <w:t>Co</w:t>
      </w:r>
      <w:r>
        <w:t>m</w:t>
      </w:r>
      <w:r w:rsidRPr="003A5066">
        <w:t>Ed</w:t>
      </w:r>
      <w:proofErr w:type="spellEnd"/>
    </w:p>
    <w:p w14:paraId="3CD8A620" w14:textId="77777777" w:rsidR="003A5066" w:rsidRPr="003A5066" w:rsidRDefault="003A5066" w:rsidP="003A5066">
      <w:pPr>
        <w:pStyle w:val="ListParagraph"/>
        <w:numPr>
          <w:ilvl w:val="1"/>
          <w:numId w:val="9"/>
        </w:numPr>
      </w:pPr>
      <w:r w:rsidRPr="003A5066">
        <w:t>Xcel Energy</w:t>
      </w:r>
    </w:p>
    <w:p w14:paraId="5E69FBB4" w14:textId="77777777" w:rsidR="003A5066" w:rsidRPr="003A5066" w:rsidRDefault="003A5066" w:rsidP="003A5066">
      <w:pPr>
        <w:pStyle w:val="ListParagraph"/>
        <w:numPr>
          <w:ilvl w:val="1"/>
          <w:numId w:val="9"/>
        </w:numPr>
      </w:pPr>
      <w:r w:rsidRPr="003A5066">
        <w:t>Duke Energy</w:t>
      </w:r>
    </w:p>
    <w:p w14:paraId="51F705FE" w14:textId="06FBB297" w:rsidR="003A5066" w:rsidRDefault="003A5066" w:rsidP="003A5066">
      <w:pPr>
        <w:pStyle w:val="ListParagraph"/>
        <w:numPr>
          <w:ilvl w:val="0"/>
          <w:numId w:val="9"/>
        </w:numPr>
      </w:pPr>
      <w:r>
        <w:t>Other key industry groups</w:t>
      </w:r>
    </w:p>
    <w:p w14:paraId="70F4F90C" w14:textId="77777777" w:rsidR="003A5066" w:rsidRPr="003A5066" w:rsidRDefault="003A5066" w:rsidP="003A5066">
      <w:pPr>
        <w:pStyle w:val="ListParagraph"/>
        <w:numPr>
          <w:ilvl w:val="1"/>
          <w:numId w:val="9"/>
        </w:numPr>
      </w:pPr>
      <w:r w:rsidRPr="003A5066">
        <w:t>GSA Green Proving Ground</w:t>
      </w:r>
    </w:p>
    <w:p w14:paraId="01033880" w14:textId="77777777" w:rsidR="003A5066" w:rsidRPr="003A5066" w:rsidRDefault="003A5066" w:rsidP="003A5066">
      <w:pPr>
        <w:pStyle w:val="ListParagraph"/>
        <w:numPr>
          <w:ilvl w:val="1"/>
          <w:numId w:val="9"/>
        </w:numPr>
      </w:pPr>
      <w:r w:rsidRPr="003A5066">
        <w:t>Pecan Street</w:t>
      </w:r>
    </w:p>
    <w:p w14:paraId="739B32C8" w14:textId="77777777" w:rsidR="003A5066" w:rsidRPr="003A5066" w:rsidRDefault="003A5066" w:rsidP="003A5066">
      <w:pPr>
        <w:pStyle w:val="ListParagraph"/>
        <w:numPr>
          <w:ilvl w:val="1"/>
          <w:numId w:val="9"/>
        </w:numPr>
      </w:pPr>
      <w:r w:rsidRPr="003A5066">
        <w:t>NYSERDA</w:t>
      </w:r>
    </w:p>
    <w:p w14:paraId="417CF709" w14:textId="23F809E9" w:rsidR="003A5066" w:rsidRDefault="003A5066" w:rsidP="003A5066">
      <w:pPr>
        <w:pStyle w:val="ListParagraph"/>
        <w:numPr>
          <w:ilvl w:val="1"/>
          <w:numId w:val="9"/>
        </w:numPr>
      </w:pPr>
      <w:r w:rsidRPr="003A5066">
        <w:t>Energy Trust</w:t>
      </w:r>
    </w:p>
    <w:p w14:paraId="49B6B990" w14:textId="6301D74A" w:rsidR="00240785" w:rsidRDefault="00240785" w:rsidP="00240785">
      <w:pPr>
        <w:rPr>
          <w:sz w:val="24"/>
          <w:szCs w:val="24"/>
        </w:rPr>
      </w:pPr>
      <w:r>
        <w:t>The anticipated cadence of interacting with relevant organizations is subject to adjustment as this process is refined in the coming months but will be primarily based on the volume of new technologies each organization typically interacts with. Those organizations who are involved with a large number of startups/technologies warrant more frequent meetings, while those who only have a throughput of new technologies in the range of single digits per year will be contacted perhaps only once a year.  </w:t>
      </w:r>
    </w:p>
    <w:p w14:paraId="01F9B1D7" w14:textId="77777777" w:rsidR="00240785" w:rsidRDefault="00240785" w:rsidP="00240785">
      <w:pPr>
        <w:rPr>
          <w:sz w:val="24"/>
          <w:szCs w:val="24"/>
        </w:rPr>
      </w:pPr>
      <w:r>
        <w:t>It is important to note that while this effort will significantly broaden the number and variety of new technologies entering the new measure development pipeline, there will always be gaps. The gaps that will still exist in this “pull” approach to pipeline development include: </w:t>
      </w:r>
    </w:p>
    <w:p w14:paraId="3B16621C" w14:textId="22412E2B" w:rsidR="00240785" w:rsidRDefault="00240785" w:rsidP="005A76DD">
      <w:pPr>
        <w:pStyle w:val="ListParagraph"/>
        <w:numPr>
          <w:ilvl w:val="0"/>
          <w:numId w:val="13"/>
        </w:numPr>
      </w:pPr>
      <w:r>
        <w:t>New startups with significant VC funding who are in ‘stealth mode’ and are unwilling to publicly share information, lest they lose a competitive advantage. Technologies from large and established companies (</w:t>
      </w:r>
      <w:r w:rsidR="005A76DD">
        <w:t xml:space="preserve">e.g., </w:t>
      </w:r>
      <w:r>
        <w:t xml:space="preserve">GE, Trane, Johnson Controls). While not universal, many of these companies also tend to share less about products in </w:t>
      </w:r>
      <w:r>
        <w:lastRenderedPageBreak/>
        <w:t>development and typically have no use for the ecosystem of accelerators and incubators that are more focused on smaller entrepreneurs and startups. Products that are developed overseas and are expanding into the US without interacting with the ecosystem of accelerators, incubators, and other stakeholders identified in this workplan. </w:t>
      </w:r>
    </w:p>
    <w:sectPr w:rsidR="00240785" w:rsidSect="0066332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2E03" w14:textId="77777777" w:rsidR="00B16720" w:rsidRDefault="00B16720" w:rsidP="000D6169">
      <w:pPr>
        <w:spacing w:after="0" w:line="240" w:lineRule="auto"/>
      </w:pPr>
      <w:r>
        <w:separator/>
      </w:r>
    </w:p>
  </w:endnote>
  <w:endnote w:type="continuationSeparator" w:id="0">
    <w:p w14:paraId="19D62163" w14:textId="77777777" w:rsidR="00B16720" w:rsidRDefault="00B16720" w:rsidP="000D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F07A" w14:textId="77777777" w:rsidR="00CD617F" w:rsidRDefault="00CD6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2BC" w14:textId="22C1E41A" w:rsidR="008A2530" w:rsidRPr="005A54F1" w:rsidRDefault="00000000" w:rsidP="0067636B">
    <w:pPr>
      <w:pBdr>
        <w:top w:val="single" w:sz="6" w:space="1" w:color="93D042"/>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0059092C" w:rsidRPr="005A54F1">
          <w:rPr>
            <w:rFonts w:cs="Arial"/>
            <w:noProof/>
            <w:sz w:val="16"/>
            <w:szCs w:val="16"/>
          </w:rPr>
          <w:fldChar w:fldCharType="begin"/>
        </w:r>
        <w:r w:rsidR="0059092C" w:rsidRPr="005A54F1">
          <w:rPr>
            <w:rFonts w:cs="Arial"/>
            <w:noProof/>
            <w:sz w:val="16"/>
            <w:szCs w:val="16"/>
          </w:rPr>
          <w:instrText xml:space="preserve"> PAGE   \* MERGEFORMAT </w:instrText>
        </w:r>
        <w:r w:rsidR="0059092C" w:rsidRPr="005A54F1">
          <w:rPr>
            <w:rFonts w:cs="Arial"/>
            <w:noProof/>
            <w:sz w:val="16"/>
            <w:szCs w:val="16"/>
          </w:rPr>
          <w:fldChar w:fldCharType="separate"/>
        </w:r>
        <w:r w:rsidR="0059092C" w:rsidRPr="005A54F1">
          <w:rPr>
            <w:rFonts w:cs="Arial"/>
            <w:noProof/>
            <w:sz w:val="16"/>
            <w:szCs w:val="16"/>
          </w:rPr>
          <w:t>1</w:t>
        </w:r>
        <w:r w:rsidR="0059092C" w:rsidRPr="005A54F1">
          <w:rPr>
            <w:rFonts w:cs="Arial"/>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9E1" w14:textId="77777777" w:rsidR="0059092C" w:rsidRPr="005A54F1" w:rsidRDefault="00000000" w:rsidP="0067636B">
    <w:pPr>
      <w:pBdr>
        <w:top w:val="single" w:sz="6" w:space="1" w:color="93D042"/>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002C3899" w:rsidRPr="005A54F1">
          <w:rPr>
            <w:rFonts w:cs="Arial"/>
            <w:noProof/>
            <w:color w:val="7F7F7F" w:themeColor="text1" w:themeTint="80"/>
            <w:sz w:val="16"/>
          </w:rPr>
          <w:fldChar w:fldCharType="begin"/>
        </w:r>
        <w:r w:rsidR="002C3899" w:rsidRPr="005A54F1">
          <w:rPr>
            <w:rFonts w:cs="Arial"/>
            <w:noProof/>
            <w:color w:val="7F7F7F" w:themeColor="text1" w:themeTint="80"/>
            <w:sz w:val="16"/>
          </w:rPr>
          <w:instrText xml:space="preserve"> PAGE   \* MERGEFORMAT </w:instrText>
        </w:r>
        <w:r w:rsidR="002C3899" w:rsidRPr="005A54F1">
          <w:rPr>
            <w:rFonts w:cs="Arial"/>
            <w:noProof/>
            <w:color w:val="7F7F7F" w:themeColor="text1" w:themeTint="80"/>
            <w:sz w:val="16"/>
          </w:rPr>
          <w:fldChar w:fldCharType="separate"/>
        </w:r>
        <w:r w:rsidR="002C3899" w:rsidRPr="005A54F1">
          <w:rPr>
            <w:rFonts w:cs="Arial"/>
            <w:noProof/>
            <w:color w:val="7F7F7F" w:themeColor="text1" w:themeTint="80"/>
            <w:sz w:val="16"/>
          </w:rPr>
          <w:t>2</w:t>
        </w:r>
        <w:r w:rsidR="002C3899" w:rsidRPr="005A54F1">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161D" w14:textId="77777777" w:rsidR="00B16720" w:rsidRDefault="00B16720" w:rsidP="000D6169">
      <w:pPr>
        <w:spacing w:after="0" w:line="240" w:lineRule="auto"/>
      </w:pPr>
      <w:r>
        <w:separator/>
      </w:r>
    </w:p>
  </w:footnote>
  <w:footnote w:type="continuationSeparator" w:id="0">
    <w:p w14:paraId="7FCF4DB6" w14:textId="77777777" w:rsidR="00B16720" w:rsidRDefault="00B16720" w:rsidP="000D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D3CD" w14:textId="77777777" w:rsidR="00CD617F" w:rsidRDefault="00CD6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FA9" w14:textId="7A024A97" w:rsidR="00E0232E" w:rsidRPr="00C83870" w:rsidRDefault="0066332A" w:rsidP="00C83870">
    <w:pPr>
      <w:tabs>
        <w:tab w:val="right" w:pos="9360"/>
      </w:tabs>
      <w:spacing w:after="0"/>
      <w:rPr>
        <w:rFonts w:cs="Arial"/>
        <w:sz w:val="6"/>
        <w:szCs w:val="20"/>
      </w:rPr>
    </w:pPr>
    <w:r>
      <w:rPr>
        <w:b/>
        <w:color w:val="808080" w:themeColor="background1" w:themeShade="80"/>
        <w:spacing w:val="10"/>
        <w:sz w:val="16"/>
      </w:rPr>
      <w:t>WORKPLAN</w:t>
    </w:r>
    <w:r w:rsidR="00CF5E56">
      <w:rPr>
        <w:b/>
        <w:color w:val="808080" w:themeColor="background1" w:themeShade="80"/>
        <w:spacing w:val="10"/>
        <w:sz w:val="16"/>
      </w:rPr>
      <w:t xml:space="preserve"> </w:t>
    </w:r>
    <w:r w:rsidR="00DA6CC5">
      <w:rPr>
        <w:b/>
        <w:color w:val="808080" w:themeColor="background1" w:themeShade="80"/>
        <w:spacing w:val="10"/>
        <w:sz w:val="16"/>
      </w:rPr>
      <w:t xml:space="preserve"> </w:t>
    </w:r>
    <w:r w:rsidR="00E6199F" w:rsidRPr="00BD1E59">
      <w:rPr>
        <w:spacing w:val="10"/>
        <w:sz w:val="16"/>
      </w:rPr>
      <w:fldChar w:fldCharType="begin"/>
    </w:r>
    <w:r w:rsidR="00E6199F" w:rsidRPr="00BD1E59">
      <w:rPr>
        <w:spacing w:val="10"/>
        <w:sz w:val="16"/>
      </w:rPr>
      <w:instrText xml:space="preserve"> STYLEREF  Title  \* MERGEFORMAT </w:instrText>
    </w:r>
    <w:r w:rsidR="00E6199F" w:rsidRPr="00BD1E59">
      <w:rPr>
        <w:spacing w:val="10"/>
        <w:sz w:val="16"/>
      </w:rPr>
      <w:fldChar w:fldCharType="separate"/>
    </w:r>
    <w:r w:rsidR="00252EE1" w:rsidRPr="00252EE1">
      <w:rPr>
        <w:b/>
        <w:bCs/>
        <w:noProof/>
        <w:spacing w:val="10"/>
        <w:sz w:val="16"/>
      </w:rPr>
      <w:t xml:space="preserve">2023 BP METRIC 4A: Enhanced eTRM Measure Ideation </w:t>
    </w:r>
    <w:r w:rsidR="00252EE1">
      <w:rPr>
        <w:noProof/>
        <w:spacing w:val="10"/>
        <w:sz w:val="16"/>
      </w:rPr>
      <w:t>Process</w:t>
    </w:r>
    <w:r w:rsidR="00E6199F" w:rsidRPr="00BD1E59">
      <w:rPr>
        <w:spacing w:val="10"/>
        <w:sz w:val="16"/>
      </w:rPr>
      <w:fldChar w:fldCharType="end"/>
    </w:r>
    <w:r w:rsidR="00C83870" w:rsidRPr="00C83870">
      <w:rPr>
        <w:spacing w:val="10"/>
        <w:sz w:val="16"/>
      </w:rPr>
      <w:tab/>
    </w:r>
  </w:p>
  <w:p w14:paraId="3EC11F6C" w14:textId="77777777" w:rsidR="00E0232E" w:rsidRDefault="00E0232E" w:rsidP="0067636B">
    <w:pPr>
      <w:pBdr>
        <w:top w:val="single" w:sz="8" w:space="1" w:color="93D042"/>
      </w:pBdr>
      <w:tabs>
        <w:tab w:val="left" w:pos="3840"/>
      </w:tabs>
      <w:spacing w:after="0"/>
      <w:rPr>
        <w:rFonts w:cs="Arial"/>
        <w:sz w:val="20"/>
        <w:szCs w:val="20"/>
      </w:rPr>
    </w:pPr>
  </w:p>
  <w:p w14:paraId="7A69DE05" w14:textId="233EE772" w:rsidR="000D6169" w:rsidRDefault="000D6169" w:rsidP="00E61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F47" w14:textId="48C282D9" w:rsidR="00ED388C" w:rsidRDefault="00ED388C" w:rsidP="00E6199F">
    <w:pPr>
      <w:pStyle w:val="Header"/>
    </w:pPr>
    <w:r>
      <w:rPr>
        <w:noProof/>
      </w:rPr>
      <mc:AlternateContent>
        <mc:Choice Requires="wps">
          <w:drawing>
            <wp:anchor distT="45720" distB="45720" distL="114300" distR="114300" simplePos="0" relativeHeight="251662336" behindDoc="0" locked="0" layoutInCell="1" allowOverlap="1" wp14:anchorId="49F10406" wp14:editId="1DC0295B">
              <wp:simplePos x="0" y="0"/>
              <wp:positionH relativeFrom="margin">
                <wp:align>left</wp:align>
              </wp:positionH>
              <wp:positionV relativeFrom="paragraph">
                <wp:posOffset>298450</wp:posOffset>
              </wp:positionV>
              <wp:extent cx="6038850" cy="628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10406" id="_x0000_t202" coordsize="21600,21600" o:spt="202" path="m,l,21600r21600,l21600,xe">
              <v:stroke joinstyle="miter"/>
              <v:path gradientshapeok="t" o:connecttype="rect"/>
            </v:shapetype>
            <v:shape id="Text Box 2" o:spid="_x0000_s1026" type="#_x0000_t202" style="position:absolute;margin-left:0;margin-top:23.5pt;width:475.5pt;height:4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" stroked="f">
              <v:textbo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v:textbox>
              <w10:wrap type="square" anchorx="margin"/>
            </v:shape>
          </w:pict>
        </mc:Fallback>
      </mc:AlternateContent>
    </w:r>
    <w:r>
      <w:rPr>
        <w:noProof/>
      </w:rPr>
      <w:drawing>
        <wp:anchor distT="0" distB="0" distL="114300" distR="114300" simplePos="0" relativeHeight="251663360" behindDoc="1" locked="0" layoutInCell="1" allowOverlap="1" wp14:anchorId="755D42BC" wp14:editId="15D60FF3">
          <wp:simplePos x="0" y="0"/>
          <wp:positionH relativeFrom="margin">
            <wp:posOffset>5003800</wp:posOffset>
          </wp:positionH>
          <wp:positionV relativeFrom="paragraph">
            <wp:posOffset>-152400</wp:posOffset>
          </wp:positionV>
          <wp:extent cx="939800" cy="1041400"/>
          <wp:effectExtent l="0" t="0" r="0" b="6350"/>
          <wp:wrapTopAndBottom/>
          <wp:docPr id="5" name="Picture 5"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extLst>
                      <a:ext uri="{28A0092B-C50C-407E-A947-70E740481C1C}">
                        <a14:useLocalDpi xmlns:a14="http://schemas.microsoft.com/office/drawing/2010/main" val="0"/>
                      </a:ext>
                    </a:extLst>
                  </a:blip>
                  <a:srcRect l="23901" r="24077" b="13043"/>
                  <a:stretch/>
                </pic:blipFill>
                <pic:spPr bwMode="auto">
                  <a:xfrm>
                    <a:off x="0" y="0"/>
                    <a:ext cx="939800" cy="1041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5B1AB5"/>
    <w:multiLevelType w:val="hybridMultilevel"/>
    <w:tmpl w:val="B43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76DD"/>
    <w:multiLevelType w:val="hybridMultilevel"/>
    <w:tmpl w:val="A0D4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16AC"/>
    <w:multiLevelType w:val="hybridMultilevel"/>
    <w:tmpl w:val="D5084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02488"/>
    <w:multiLevelType w:val="hybridMultilevel"/>
    <w:tmpl w:val="4F04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95C39"/>
    <w:multiLevelType w:val="hybridMultilevel"/>
    <w:tmpl w:val="5CB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021F5"/>
    <w:multiLevelType w:val="hybridMultilevel"/>
    <w:tmpl w:val="35EAD0C0"/>
    <w:lvl w:ilvl="0" w:tplc="095458BC">
      <w:start w:val="1"/>
      <w:numFmt w:val="upperRoman"/>
      <w:pStyle w:val="Heading1"/>
      <w:lvlText w:val="%1."/>
      <w:lvlJc w:val="righ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FF1DE1"/>
    <w:multiLevelType w:val="hybridMultilevel"/>
    <w:tmpl w:val="DAC8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B7082"/>
    <w:multiLevelType w:val="hybridMultilevel"/>
    <w:tmpl w:val="E020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67BCA"/>
    <w:multiLevelType w:val="hybridMultilevel"/>
    <w:tmpl w:val="AA4C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731EB"/>
    <w:multiLevelType w:val="hybridMultilevel"/>
    <w:tmpl w:val="8892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07BED"/>
    <w:multiLevelType w:val="hybridMultilevel"/>
    <w:tmpl w:val="038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704C9"/>
    <w:multiLevelType w:val="hybridMultilevel"/>
    <w:tmpl w:val="662AC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92399">
    <w:abstractNumId w:val="6"/>
  </w:num>
  <w:num w:numId="2" w16cid:durableId="836651067">
    <w:abstractNumId w:val="9"/>
  </w:num>
  <w:num w:numId="3" w16cid:durableId="203448149">
    <w:abstractNumId w:val="1"/>
  </w:num>
  <w:num w:numId="4" w16cid:durableId="798567416">
    <w:abstractNumId w:val="12"/>
  </w:num>
  <w:num w:numId="5" w16cid:durableId="1023172194">
    <w:abstractNumId w:val="8"/>
  </w:num>
  <w:num w:numId="6" w16cid:durableId="1724594398">
    <w:abstractNumId w:val="0"/>
  </w:num>
  <w:num w:numId="7" w16cid:durableId="1284188857">
    <w:abstractNumId w:val="6"/>
    <w:lvlOverride w:ilvl="0">
      <w:startOverride w:val="1"/>
    </w:lvlOverride>
  </w:num>
  <w:num w:numId="8" w16cid:durableId="1109664598">
    <w:abstractNumId w:val="6"/>
    <w:lvlOverride w:ilvl="0">
      <w:startOverride w:val="1"/>
    </w:lvlOverride>
  </w:num>
  <w:num w:numId="9" w16cid:durableId="221254553">
    <w:abstractNumId w:val="3"/>
  </w:num>
  <w:num w:numId="10" w16cid:durableId="2145997962">
    <w:abstractNumId w:val="7"/>
  </w:num>
  <w:num w:numId="11" w16cid:durableId="660348325">
    <w:abstractNumId w:val="2"/>
  </w:num>
  <w:num w:numId="12" w16cid:durableId="1251087391">
    <w:abstractNumId w:val="11"/>
  </w:num>
  <w:num w:numId="13" w16cid:durableId="2020500197">
    <w:abstractNumId w:val="10"/>
  </w:num>
  <w:num w:numId="14" w16cid:durableId="200703211">
    <w:abstractNumId w:val="4"/>
  </w:num>
  <w:num w:numId="15" w16cid:durableId="3988654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1101D"/>
    <w:rsid w:val="000125D1"/>
    <w:rsid w:val="00020D4E"/>
    <w:rsid w:val="0002109D"/>
    <w:rsid w:val="00024D6B"/>
    <w:rsid w:val="00035185"/>
    <w:rsid w:val="000455DC"/>
    <w:rsid w:val="00080017"/>
    <w:rsid w:val="0008131F"/>
    <w:rsid w:val="00081922"/>
    <w:rsid w:val="000848D1"/>
    <w:rsid w:val="00092260"/>
    <w:rsid w:val="000945AA"/>
    <w:rsid w:val="000B3149"/>
    <w:rsid w:val="000C4AAE"/>
    <w:rsid w:val="000D4153"/>
    <w:rsid w:val="000D4ECA"/>
    <w:rsid w:val="000D6169"/>
    <w:rsid w:val="00107984"/>
    <w:rsid w:val="001510DB"/>
    <w:rsid w:val="00156D01"/>
    <w:rsid w:val="001627A8"/>
    <w:rsid w:val="0017026B"/>
    <w:rsid w:val="00170C10"/>
    <w:rsid w:val="001742A2"/>
    <w:rsid w:val="001909C5"/>
    <w:rsid w:val="001A505C"/>
    <w:rsid w:val="001A53C2"/>
    <w:rsid w:val="001C620D"/>
    <w:rsid w:val="001D1C9C"/>
    <w:rsid w:val="001D5F28"/>
    <w:rsid w:val="001F1CA0"/>
    <w:rsid w:val="00200F95"/>
    <w:rsid w:val="00203978"/>
    <w:rsid w:val="00207F88"/>
    <w:rsid w:val="00216D3F"/>
    <w:rsid w:val="0022310E"/>
    <w:rsid w:val="00224DB7"/>
    <w:rsid w:val="002276A8"/>
    <w:rsid w:val="00240785"/>
    <w:rsid w:val="0024462E"/>
    <w:rsid w:val="0024774F"/>
    <w:rsid w:val="00252350"/>
    <w:rsid w:val="00252EE1"/>
    <w:rsid w:val="00260230"/>
    <w:rsid w:val="002645E7"/>
    <w:rsid w:val="00290F9E"/>
    <w:rsid w:val="00294688"/>
    <w:rsid w:val="002B3818"/>
    <w:rsid w:val="002C3899"/>
    <w:rsid w:val="002E6271"/>
    <w:rsid w:val="002F36F7"/>
    <w:rsid w:val="003039F9"/>
    <w:rsid w:val="00304FF9"/>
    <w:rsid w:val="003063E4"/>
    <w:rsid w:val="00312728"/>
    <w:rsid w:val="00324B63"/>
    <w:rsid w:val="00340D8F"/>
    <w:rsid w:val="00341907"/>
    <w:rsid w:val="0035155D"/>
    <w:rsid w:val="00354D12"/>
    <w:rsid w:val="00363047"/>
    <w:rsid w:val="003875DA"/>
    <w:rsid w:val="003949F8"/>
    <w:rsid w:val="0039527E"/>
    <w:rsid w:val="00395D48"/>
    <w:rsid w:val="003A3C7B"/>
    <w:rsid w:val="003A3E46"/>
    <w:rsid w:val="003A5066"/>
    <w:rsid w:val="003C3251"/>
    <w:rsid w:val="003C42E6"/>
    <w:rsid w:val="003C53F8"/>
    <w:rsid w:val="003D63A0"/>
    <w:rsid w:val="003E0D27"/>
    <w:rsid w:val="003F060C"/>
    <w:rsid w:val="003F68F5"/>
    <w:rsid w:val="00403955"/>
    <w:rsid w:val="00405AA3"/>
    <w:rsid w:val="00406E48"/>
    <w:rsid w:val="00412326"/>
    <w:rsid w:val="0042258F"/>
    <w:rsid w:val="004351C5"/>
    <w:rsid w:val="00462579"/>
    <w:rsid w:val="00472122"/>
    <w:rsid w:val="004A04CE"/>
    <w:rsid w:val="004A1069"/>
    <w:rsid w:val="004B4CEA"/>
    <w:rsid w:val="004C4FF5"/>
    <w:rsid w:val="004E6610"/>
    <w:rsid w:val="004F1A89"/>
    <w:rsid w:val="004F649A"/>
    <w:rsid w:val="005123F8"/>
    <w:rsid w:val="0053312F"/>
    <w:rsid w:val="00536139"/>
    <w:rsid w:val="005443BB"/>
    <w:rsid w:val="00545EE4"/>
    <w:rsid w:val="0054671C"/>
    <w:rsid w:val="00564D54"/>
    <w:rsid w:val="005669D0"/>
    <w:rsid w:val="0057339F"/>
    <w:rsid w:val="00577277"/>
    <w:rsid w:val="00577710"/>
    <w:rsid w:val="005819E3"/>
    <w:rsid w:val="005836B2"/>
    <w:rsid w:val="00583DB0"/>
    <w:rsid w:val="0059092C"/>
    <w:rsid w:val="00590E75"/>
    <w:rsid w:val="0059433B"/>
    <w:rsid w:val="00596544"/>
    <w:rsid w:val="005A54F1"/>
    <w:rsid w:val="005A76DD"/>
    <w:rsid w:val="005B0AF8"/>
    <w:rsid w:val="005B3778"/>
    <w:rsid w:val="005B4EDC"/>
    <w:rsid w:val="005D35BB"/>
    <w:rsid w:val="005D7722"/>
    <w:rsid w:val="005E13CC"/>
    <w:rsid w:val="005E48EA"/>
    <w:rsid w:val="005F00F6"/>
    <w:rsid w:val="0060797E"/>
    <w:rsid w:val="00613ABC"/>
    <w:rsid w:val="0062045E"/>
    <w:rsid w:val="006249F9"/>
    <w:rsid w:val="006305B0"/>
    <w:rsid w:val="00637906"/>
    <w:rsid w:val="00646989"/>
    <w:rsid w:val="00652D9C"/>
    <w:rsid w:val="0066332A"/>
    <w:rsid w:val="0067636B"/>
    <w:rsid w:val="0069049F"/>
    <w:rsid w:val="006963C8"/>
    <w:rsid w:val="006A3FE9"/>
    <w:rsid w:val="006A49B8"/>
    <w:rsid w:val="006C4362"/>
    <w:rsid w:val="006C5625"/>
    <w:rsid w:val="006E43E0"/>
    <w:rsid w:val="006E4867"/>
    <w:rsid w:val="006F524E"/>
    <w:rsid w:val="00702668"/>
    <w:rsid w:val="00706579"/>
    <w:rsid w:val="00711FD0"/>
    <w:rsid w:val="00716118"/>
    <w:rsid w:val="007216E5"/>
    <w:rsid w:val="0072310C"/>
    <w:rsid w:val="00723143"/>
    <w:rsid w:val="00736B1D"/>
    <w:rsid w:val="00737D02"/>
    <w:rsid w:val="0075608C"/>
    <w:rsid w:val="007567EB"/>
    <w:rsid w:val="0075789B"/>
    <w:rsid w:val="00761841"/>
    <w:rsid w:val="00763B38"/>
    <w:rsid w:val="00764E74"/>
    <w:rsid w:val="007700C4"/>
    <w:rsid w:val="00770457"/>
    <w:rsid w:val="00771B7B"/>
    <w:rsid w:val="00775DEE"/>
    <w:rsid w:val="007773B4"/>
    <w:rsid w:val="007841FD"/>
    <w:rsid w:val="007874D3"/>
    <w:rsid w:val="00793F59"/>
    <w:rsid w:val="007B0AEB"/>
    <w:rsid w:val="007B23A4"/>
    <w:rsid w:val="007C307E"/>
    <w:rsid w:val="007D0F50"/>
    <w:rsid w:val="007D3DB7"/>
    <w:rsid w:val="007E53C7"/>
    <w:rsid w:val="007F0AEC"/>
    <w:rsid w:val="007F4DE2"/>
    <w:rsid w:val="007F583F"/>
    <w:rsid w:val="00802567"/>
    <w:rsid w:val="00803153"/>
    <w:rsid w:val="0080463D"/>
    <w:rsid w:val="00825F7F"/>
    <w:rsid w:val="008346A5"/>
    <w:rsid w:val="00834A27"/>
    <w:rsid w:val="00850516"/>
    <w:rsid w:val="00850B09"/>
    <w:rsid w:val="008550FE"/>
    <w:rsid w:val="00864FBE"/>
    <w:rsid w:val="00875B9D"/>
    <w:rsid w:val="008849D8"/>
    <w:rsid w:val="0088696B"/>
    <w:rsid w:val="00890446"/>
    <w:rsid w:val="00890DB0"/>
    <w:rsid w:val="008A2530"/>
    <w:rsid w:val="008B7105"/>
    <w:rsid w:val="008F1C0C"/>
    <w:rsid w:val="008F461B"/>
    <w:rsid w:val="008F58F0"/>
    <w:rsid w:val="008F5D2C"/>
    <w:rsid w:val="009022A6"/>
    <w:rsid w:val="00920891"/>
    <w:rsid w:val="0093336B"/>
    <w:rsid w:val="00966979"/>
    <w:rsid w:val="0097260F"/>
    <w:rsid w:val="009852E8"/>
    <w:rsid w:val="00991849"/>
    <w:rsid w:val="00993C99"/>
    <w:rsid w:val="009A2763"/>
    <w:rsid w:val="009C2F4E"/>
    <w:rsid w:val="009D5859"/>
    <w:rsid w:val="009F1B65"/>
    <w:rsid w:val="009F2CDE"/>
    <w:rsid w:val="009F40EA"/>
    <w:rsid w:val="00A20091"/>
    <w:rsid w:val="00A40D9F"/>
    <w:rsid w:val="00A414B7"/>
    <w:rsid w:val="00A4244E"/>
    <w:rsid w:val="00A43B9D"/>
    <w:rsid w:val="00A50CBF"/>
    <w:rsid w:val="00A52ACE"/>
    <w:rsid w:val="00A70FB9"/>
    <w:rsid w:val="00A72DE3"/>
    <w:rsid w:val="00A97FD4"/>
    <w:rsid w:val="00AA66BE"/>
    <w:rsid w:val="00AB3E0F"/>
    <w:rsid w:val="00AD1D53"/>
    <w:rsid w:val="00AE482F"/>
    <w:rsid w:val="00B00119"/>
    <w:rsid w:val="00B001E6"/>
    <w:rsid w:val="00B04A19"/>
    <w:rsid w:val="00B07EC7"/>
    <w:rsid w:val="00B16720"/>
    <w:rsid w:val="00B22633"/>
    <w:rsid w:val="00B4763C"/>
    <w:rsid w:val="00B557EE"/>
    <w:rsid w:val="00B5658E"/>
    <w:rsid w:val="00B636E1"/>
    <w:rsid w:val="00B65CFF"/>
    <w:rsid w:val="00B800DA"/>
    <w:rsid w:val="00BA1775"/>
    <w:rsid w:val="00BC1049"/>
    <w:rsid w:val="00BD1E59"/>
    <w:rsid w:val="00BD73C6"/>
    <w:rsid w:val="00BE1AA5"/>
    <w:rsid w:val="00BF7956"/>
    <w:rsid w:val="00C009CB"/>
    <w:rsid w:val="00C06369"/>
    <w:rsid w:val="00C1170B"/>
    <w:rsid w:val="00C15DA2"/>
    <w:rsid w:val="00C17DD0"/>
    <w:rsid w:val="00C27895"/>
    <w:rsid w:val="00C32779"/>
    <w:rsid w:val="00C33814"/>
    <w:rsid w:val="00C4631E"/>
    <w:rsid w:val="00C55962"/>
    <w:rsid w:val="00C57D0C"/>
    <w:rsid w:val="00C65A93"/>
    <w:rsid w:val="00C7163C"/>
    <w:rsid w:val="00C83870"/>
    <w:rsid w:val="00C83DAA"/>
    <w:rsid w:val="00C91867"/>
    <w:rsid w:val="00CA0412"/>
    <w:rsid w:val="00CB1616"/>
    <w:rsid w:val="00CD617F"/>
    <w:rsid w:val="00CD6A6B"/>
    <w:rsid w:val="00CF5E56"/>
    <w:rsid w:val="00D00B58"/>
    <w:rsid w:val="00D06FA8"/>
    <w:rsid w:val="00D24FD8"/>
    <w:rsid w:val="00D31B56"/>
    <w:rsid w:val="00D36217"/>
    <w:rsid w:val="00D7547E"/>
    <w:rsid w:val="00D83B09"/>
    <w:rsid w:val="00DA5023"/>
    <w:rsid w:val="00DA5EC5"/>
    <w:rsid w:val="00DA6286"/>
    <w:rsid w:val="00DA6CC5"/>
    <w:rsid w:val="00DB4A44"/>
    <w:rsid w:val="00DC59F1"/>
    <w:rsid w:val="00DD06F9"/>
    <w:rsid w:val="00DE1B39"/>
    <w:rsid w:val="00DF0146"/>
    <w:rsid w:val="00E0232E"/>
    <w:rsid w:val="00E11DB2"/>
    <w:rsid w:val="00E1266A"/>
    <w:rsid w:val="00E13177"/>
    <w:rsid w:val="00E13D12"/>
    <w:rsid w:val="00E22A47"/>
    <w:rsid w:val="00E32CB9"/>
    <w:rsid w:val="00E6199F"/>
    <w:rsid w:val="00E715BB"/>
    <w:rsid w:val="00E75D89"/>
    <w:rsid w:val="00E769EC"/>
    <w:rsid w:val="00E91580"/>
    <w:rsid w:val="00EA4A09"/>
    <w:rsid w:val="00EC01D7"/>
    <w:rsid w:val="00EC2E98"/>
    <w:rsid w:val="00ED388C"/>
    <w:rsid w:val="00EE1DC2"/>
    <w:rsid w:val="00EE3340"/>
    <w:rsid w:val="00EE4E60"/>
    <w:rsid w:val="00EF751F"/>
    <w:rsid w:val="00F06144"/>
    <w:rsid w:val="00F155F0"/>
    <w:rsid w:val="00F22A88"/>
    <w:rsid w:val="00F26934"/>
    <w:rsid w:val="00F40EDB"/>
    <w:rsid w:val="00F47612"/>
    <w:rsid w:val="00F65CEC"/>
    <w:rsid w:val="00F73C89"/>
    <w:rsid w:val="00F838C0"/>
    <w:rsid w:val="00F9192C"/>
    <w:rsid w:val="00F94BB2"/>
    <w:rsid w:val="00FA4DC8"/>
    <w:rsid w:val="00FB063C"/>
    <w:rsid w:val="00FC59A1"/>
    <w:rsid w:val="00FC6045"/>
    <w:rsid w:val="00FE02AC"/>
    <w:rsid w:val="00FE2CEC"/>
    <w:rsid w:val="00FE53E0"/>
    <w:rsid w:val="00FE7FC5"/>
    <w:rsid w:val="05054C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1B4F3A9A-CB8A-4D27-AB57-CA92C8A3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1"/>
      </w:numPr>
      <w:spacing w:before="360"/>
      <w:outlineLvl w:val="0"/>
    </w:pPr>
    <w:rPr>
      <w:rFonts w:ascii="Arial Bold" w:eastAsiaTheme="majorEastAsia" w:hAnsi="Arial Bold" w:cstheme="majorBidi"/>
      <w:b/>
      <w:spacing w:val="10"/>
      <w:sz w:val="24"/>
      <w:szCs w:val="32"/>
    </w:rPr>
  </w:style>
  <w:style w:type="paragraph" w:styleId="Heading2">
    <w:name w:val="heading 2"/>
    <w:basedOn w:val="Normal"/>
    <w:next w:val="Normal"/>
    <w:link w:val="Heading2Char"/>
    <w:uiPriority w:val="9"/>
    <w:unhideWhenUsed/>
    <w:qFormat/>
    <w:rsid w:val="0062045E"/>
    <w:pPr>
      <w:keepNext/>
      <w:keepLines/>
      <w:spacing w:after="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0C4AAE"/>
    <w:pPr>
      <w:keepNext/>
      <w:keepLines/>
      <w:spacing w:after="0"/>
      <w:ind w:left="216"/>
      <w:outlineLvl w:val="2"/>
    </w:pPr>
    <w:rPr>
      <w:rFonts w:eastAsiaTheme="majorEastAsia" w:cstheme="majorBidi"/>
      <w:i/>
      <w:color w:val="7F7F7F" w:themeColor="text1" w:themeTint="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039F9"/>
  </w:style>
  <w:style w:type="character" w:customStyle="1" w:styleId="HeaderChar">
    <w:name w:val="Header Char"/>
    <w:basedOn w:val="DefaultParagraphFont"/>
    <w:link w:val="Header"/>
    <w:uiPriority w:val="99"/>
    <w:rsid w:val="003039F9"/>
    <w:rPr>
      <w:rFonts w:ascii="Arial" w:hAnsi="Arial"/>
      <w:b/>
      <w:bCs/>
      <w:sz w:val="28"/>
      <w:szCs w:val="28"/>
    </w:rPr>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character" w:customStyle="1" w:styleId="Heading1Char">
    <w:name w:val="Heading 1 Char"/>
    <w:basedOn w:val="DefaultParagraphFont"/>
    <w:link w:val="Heading1"/>
    <w:uiPriority w:val="9"/>
    <w:rsid w:val="0039527E"/>
    <w:rPr>
      <w:rFonts w:ascii="Arial Bold" w:eastAsiaTheme="majorEastAsia" w:hAnsi="Arial Bold" w:cstheme="majorBidi"/>
      <w:b/>
      <w:spacing w:val="10"/>
      <w:sz w:val="24"/>
      <w:szCs w:val="32"/>
    </w:rPr>
  </w:style>
  <w:style w:type="character" w:customStyle="1" w:styleId="Heading2Char">
    <w:name w:val="Heading 2 Char"/>
    <w:basedOn w:val="DefaultParagraphFont"/>
    <w:link w:val="Heading2"/>
    <w:uiPriority w:val="9"/>
    <w:rsid w:val="0062045E"/>
    <w:rPr>
      <w:rFonts w:ascii="Arial" w:eastAsiaTheme="majorEastAsia" w:hAnsi="Arial" w:cstheme="majorBidi"/>
      <w:b/>
      <w:i/>
      <w:szCs w:val="26"/>
    </w:rPr>
  </w:style>
  <w:style w:type="character" w:customStyle="1" w:styleId="Heading3Char">
    <w:name w:val="Heading 3 Char"/>
    <w:basedOn w:val="DefaultParagraphFont"/>
    <w:link w:val="Heading3"/>
    <w:uiPriority w:val="9"/>
    <w:rsid w:val="000C4AAE"/>
    <w:rPr>
      <w:rFonts w:ascii="Arial" w:eastAsiaTheme="majorEastAsia" w:hAnsi="Arial" w:cstheme="majorBidi"/>
      <w:i/>
      <w:color w:val="7F7F7F" w:themeColor="text1" w:themeTint="80"/>
      <w:szCs w:val="24"/>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rsid w:val="00E6199F"/>
    <w:pPr>
      <w:spacing w:before="0" w:after="0" w:line="120" w:lineRule="atLeast"/>
    </w:pPr>
    <w:rPr>
      <w:b/>
      <w:bCs/>
      <w:sz w:val="28"/>
      <w:szCs w:val="28"/>
    </w:rPr>
  </w:style>
  <w:style w:type="character" w:customStyle="1" w:styleId="TitleChar">
    <w:name w:val="Title Char"/>
    <w:basedOn w:val="DefaultParagraphFont"/>
    <w:link w:val="Title"/>
    <w:uiPriority w:val="10"/>
    <w:rsid w:val="00E6199F"/>
    <w:rPr>
      <w:rFonts w:ascii="Arial" w:hAnsi="Arial"/>
      <w:b/>
      <w:bCs/>
      <w:sz w:val="28"/>
      <w:szCs w:val="28"/>
    </w:rPr>
  </w:style>
  <w:style w:type="paragraph" w:styleId="Caption">
    <w:name w:val="caption"/>
    <w:basedOn w:val="Normal"/>
    <w:next w:val="Normal"/>
    <w:uiPriority w:val="35"/>
    <w:unhideWhenUsed/>
    <w:qFormat/>
    <w:rsid w:val="00577277"/>
    <w:pPr>
      <w:spacing w:before="0" w:after="200" w:line="240" w:lineRule="auto"/>
    </w:pPr>
    <w:rPr>
      <w:i/>
      <w:iCs/>
      <w:color w:val="1F497D" w:themeColor="text2"/>
      <w:sz w:val="18"/>
      <w:szCs w:val="18"/>
    </w:rPr>
  </w:style>
  <w:style w:type="paragraph" w:customStyle="1" w:styleId="SUBJECT">
    <w:name w:val="SUBJECT"/>
    <w:basedOn w:val="Header"/>
    <w:qFormat/>
    <w:rsid w:val="00DA5EC5"/>
  </w:style>
  <w:style w:type="character" w:styleId="UnresolvedMention">
    <w:name w:val="Unresolved Mention"/>
    <w:basedOn w:val="DefaultParagraphFont"/>
    <w:uiPriority w:val="99"/>
    <w:semiHidden/>
    <w:unhideWhenUsed/>
    <w:rsid w:val="00D24FD8"/>
    <w:rPr>
      <w:color w:val="605E5C"/>
      <w:shd w:val="clear" w:color="auto" w:fill="E1DFDD"/>
    </w:rPr>
  </w:style>
  <w:style w:type="paragraph" w:styleId="Revision">
    <w:name w:val="Revision"/>
    <w:hidden/>
    <w:uiPriority w:val="99"/>
    <w:semiHidden/>
    <w:rsid w:val="0008192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424286">
      <w:bodyDiv w:val="1"/>
      <w:marLeft w:val="0"/>
      <w:marRight w:val="0"/>
      <w:marTop w:val="0"/>
      <w:marBottom w:val="0"/>
      <w:divBdr>
        <w:top w:val="none" w:sz="0" w:space="0" w:color="auto"/>
        <w:left w:val="none" w:sz="0" w:space="0" w:color="auto"/>
        <w:bottom w:val="none" w:sz="0" w:space="0" w:color="auto"/>
        <w:right w:val="none" w:sz="0" w:space="0" w:color="auto"/>
      </w:divBdr>
    </w:div>
    <w:div w:id="18807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405D-D10E-4DA2-80D2-78360FF4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Roecks</dc:creator>
  <cp:lastModifiedBy>Arlis Reynolds</cp:lastModifiedBy>
  <cp:revision>3</cp:revision>
  <cp:lastPrinted>2019-03-07T19:51:00Z</cp:lastPrinted>
  <dcterms:created xsi:type="dcterms:W3CDTF">2023-02-27T19:45:00Z</dcterms:created>
  <dcterms:modified xsi:type="dcterms:W3CDTF">2023-02-27T19:45:00Z</dcterms:modified>
</cp:coreProperties>
</file>