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91548" w14:textId="2D1ACEE0" w:rsidR="0075789B" w:rsidRDefault="007D3DB7" w:rsidP="005A2AC2">
      <w:pPr>
        <w:spacing w:after="0"/>
        <w:jc w:val="center"/>
        <w:rPr>
          <w:rFonts w:ascii="Arial" w:eastAsiaTheme="minorEastAsia" w:hAnsi="Arial" w:cs="Arial"/>
          <w:b/>
          <w:sz w:val="32"/>
          <w:szCs w:val="32"/>
        </w:rPr>
      </w:pPr>
      <w:r>
        <w:rPr>
          <w:rFonts w:ascii="Arial" w:eastAsiaTheme="minorEastAsia" w:hAnsi="Arial" w:cs="Arial"/>
          <w:b/>
          <w:sz w:val="32"/>
          <w:szCs w:val="32"/>
        </w:rPr>
        <w:t>Subcommittee Summary</w:t>
      </w:r>
      <w:r w:rsidR="00702790">
        <w:rPr>
          <w:rFonts w:ascii="Arial" w:eastAsiaTheme="minorEastAsia" w:hAnsi="Arial" w:cs="Arial"/>
          <w:b/>
          <w:sz w:val="32"/>
          <w:szCs w:val="32"/>
        </w:rPr>
        <w:t>:</w:t>
      </w:r>
    </w:p>
    <w:p w14:paraId="6EB21B8F" w14:textId="7FC7BFEC" w:rsidR="005A2AC2" w:rsidRPr="007D3DB7" w:rsidRDefault="005A2AC2" w:rsidP="005A2AC2">
      <w:pPr>
        <w:spacing w:after="0"/>
        <w:jc w:val="center"/>
        <w:rPr>
          <w:rFonts w:ascii="Arial" w:eastAsiaTheme="minorEastAsia" w:hAnsi="Arial" w:cs="Arial"/>
          <w:b/>
          <w:sz w:val="32"/>
          <w:szCs w:val="32"/>
        </w:rPr>
      </w:pPr>
      <w:r>
        <w:rPr>
          <w:rFonts w:ascii="Arial" w:eastAsiaTheme="minorEastAsia" w:hAnsi="Arial" w:cs="Arial"/>
          <w:b/>
          <w:sz w:val="32"/>
          <w:szCs w:val="32"/>
        </w:rPr>
        <w:t>Residential HVAC Quality Installation</w:t>
      </w:r>
      <w:r w:rsidR="00702790">
        <w:rPr>
          <w:rFonts w:ascii="Arial" w:eastAsiaTheme="minorEastAsia" w:hAnsi="Arial" w:cs="Arial"/>
          <w:b/>
          <w:sz w:val="32"/>
          <w:szCs w:val="32"/>
        </w:rPr>
        <w:t xml:space="preserve"> Data Sources</w:t>
      </w:r>
    </w:p>
    <w:p w14:paraId="41D823D4" w14:textId="77777777" w:rsidR="00BF7956" w:rsidRPr="000D6169" w:rsidRDefault="00BF7956" w:rsidP="00BF7956">
      <w:pPr>
        <w:spacing w:after="0"/>
        <w:rPr>
          <w:rFonts w:ascii="Arial" w:hAnsi="Arial" w:cs="Arial"/>
          <w:sz w:val="20"/>
          <w:szCs w:val="20"/>
        </w:rPr>
      </w:pPr>
    </w:p>
    <w:tbl>
      <w:tblPr>
        <w:tblStyle w:val="TableGrid"/>
        <w:tblW w:w="9450" w:type="dxa"/>
        <w:tblInd w:w="468" w:type="dxa"/>
        <w:shd w:val="clear" w:color="auto" w:fill="FFCC00"/>
        <w:tblLayout w:type="fixed"/>
        <w:tblLook w:val="04A0" w:firstRow="1" w:lastRow="0" w:firstColumn="1" w:lastColumn="0" w:noHBand="0" w:noVBand="1"/>
      </w:tblPr>
      <w:tblGrid>
        <w:gridCol w:w="2070"/>
        <w:gridCol w:w="2070"/>
        <w:gridCol w:w="5310"/>
      </w:tblGrid>
      <w:tr w:rsidR="008B7105" w:rsidRPr="005840C5" w14:paraId="34321DE1" w14:textId="77777777" w:rsidTr="00BC73B7">
        <w:trPr>
          <w:trHeight w:val="368"/>
        </w:trPr>
        <w:tc>
          <w:tcPr>
            <w:tcW w:w="2070" w:type="dxa"/>
            <w:shd w:val="clear" w:color="auto" w:fill="FFCC00"/>
            <w:vAlign w:val="center"/>
          </w:tcPr>
          <w:p w14:paraId="1BE34A2B" w14:textId="77777777" w:rsidR="008B7105" w:rsidRPr="005840C5" w:rsidRDefault="008B7105" w:rsidP="00F554D3">
            <w:pPr>
              <w:rPr>
                <w:rFonts w:ascii="Arial" w:hAnsi="Arial" w:cs="Arial"/>
                <w:b/>
                <w:sz w:val="24"/>
                <w:szCs w:val="24"/>
              </w:rPr>
            </w:pPr>
            <w:r w:rsidRPr="005840C5">
              <w:rPr>
                <w:rFonts w:ascii="Arial" w:hAnsi="Arial" w:cs="Arial"/>
                <w:b/>
                <w:sz w:val="24"/>
                <w:szCs w:val="24"/>
              </w:rPr>
              <w:t xml:space="preserve">Subcommittee </w:t>
            </w:r>
          </w:p>
        </w:tc>
        <w:tc>
          <w:tcPr>
            <w:tcW w:w="7380" w:type="dxa"/>
            <w:gridSpan w:val="2"/>
            <w:shd w:val="clear" w:color="auto" w:fill="FFCC00"/>
            <w:vAlign w:val="center"/>
          </w:tcPr>
          <w:p w14:paraId="79A11867" w14:textId="77777777" w:rsidR="008B7105" w:rsidRPr="008B7105" w:rsidRDefault="008B7105" w:rsidP="00F554D3">
            <w:pPr>
              <w:rPr>
                <w:rFonts w:ascii="Arial" w:hAnsi="Arial" w:cs="Arial"/>
                <w:b/>
                <w:i/>
                <w:sz w:val="24"/>
                <w:szCs w:val="24"/>
              </w:rPr>
            </w:pPr>
            <w:r>
              <w:rPr>
                <w:rFonts w:ascii="Arial" w:hAnsi="Arial" w:cs="Arial"/>
                <w:b/>
                <w:i/>
                <w:sz w:val="24"/>
                <w:szCs w:val="24"/>
              </w:rPr>
              <w:t>Subcommittee Name Here</w:t>
            </w:r>
          </w:p>
        </w:tc>
      </w:tr>
      <w:tr w:rsidR="008B7105" w:rsidRPr="000D6169" w14:paraId="3C36A9BC" w14:textId="77777777" w:rsidTr="00702790">
        <w:trPr>
          <w:trHeight w:val="305"/>
        </w:trPr>
        <w:tc>
          <w:tcPr>
            <w:tcW w:w="2070" w:type="dxa"/>
            <w:shd w:val="clear" w:color="auto" w:fill="auto"/>
            <w:vAlign w:val="center"/>
          </w:tcPr>
          <w:p w14:paraId="01B12153" w14:textId="77777777" w:rsidR="008B7105" w:rsidRPr="00066D9A" w:rsidRDefault="008B7105" w:rsidP="00F554D3">
            <w:pPr>
              <w:rPr>
                <w:rFonts w:ascii="Arial" w:hAnsi="Arial" w:cs="Arial"/>
                <w:b/>
                <w:sz w:val="20"/>
                <w:szCs w:val="20"/>
              </w:rPr>
            </w:pPr>
            <w:r w:rsidRPr="00066D9A">
              <w:rPr>
                <w:rFonts w:ascii="Arial" w:hAnsi="Arial" w:cs="Arial"/>
                <w:b/>
                <w:sz w:val="20"/>
                <w:szCs w:val="20"/>
              </w:rPr>
              <w:t>Champion</w:t>
            </w:r>
          </w:p>
        </w:tc>
        <w:tc>
          <w:tcPr>
            <w:tcW w:w="2070" w:type="dxa"/>
            <w:shd w:val="clear" w:color="auto" w:fill="auto"/>
            <w:vAlign w:val="center"/>
          </w:tcPr>
          <w:p w14:paraId="035825CD" w14:textId="77777777" w:rsidR="008B7105" w:rsidRPr="007F24BD" w:rsidRDefault="005A2AC2" w:rsidP="00F554D3">
            <w:pPr>
              <w:rPr>
                <w:rFonts w:ascii="Arial" w:hAnsi="Arial" w:cs="Arial"/>
                <w:sz w:val="20"/>
                <w:szCs w:val="20"/>
              </w:rPr>
            </w:pPr>
            <w:r>
              <w:rPr>
                <w:rFonts w:ascii="Arial" w:hAnsi="Arial" w:cs="Arial"/>
                <w:sz w:val="20"/>
                <w:szCs w:val="20"/>
              </w:rPr>
              <w:t>Andres Fergadiotti</w:t>
            </w:r>
          </w:p>
        </w:tc>
        <w:tc>
          <w:tcPr>
            <w:tcW w:w="5310" w:type="dxa"/>
            <w:vAlign w:val="center"/>
          </w:tcPr>
          <w:p w14:paraId="67AEE93D" w14:textId="77777777" w:rsidR="008B7105" w:rsidRPr="007F24BD" w:rsidRDefault="005A2AC2" w:rsidP="00F554D3">
            <w:pPr>
              <w:rPr>
                <w:rFonts w:ascii="Arial" w:hAnsi="Arial" w:cs="Arial"/>
                <w:sz w:val="20"/>
                <w:szCs w:val="20"/>
              </w:rPr>
            </w:pPr>
            <w:r>
              <w:rPr>
                <w:rFonts w:ascii="Arial" w:hAnsi="Arial" w:cs="Arial"/>
                <w:sz w:val="20"/>
                <w:szCs w:val="20"/>
              </w:rPr>
              <w:t xml:space="preserve">SCE, </w:t>
            </w:r>
            <w:hyperlink r:id="rId9" w:history="1">
              <w:r w:rsidRPr="00326D23">
                <w:rPr>
                  <w:rStyle w:val="Hyperlink"/>
                  <w:rFonts w:ascii="Arial" w:hAnsi="Arial" w:cs="Arial"/>
                  <w:sz w:val="20"/>
                  <w:szCs w:val="20"/>
                </w:rPr>
                <w:t>Andres.Fergadiotti@sce.com</w:t>
              </w:r>
            </w:hyperlink>
          </w:p>
        </w:tc>
      </w:tr>
      <w:tr w:rsidR="008B7105" w:rsidRPr="000D6169" w14:paraId="1210CC15" w14:textId="77777777" w:rsidTr="00702790">
        <w:trPr>
          <w:trHeight w:val="2105"/>
        </w:trPr>
        <w:tc>
          <w:tcPr>
            <w:tcW w:w="2070" w:type="dxa"/>
            <w:shd w:val="clear" w:color="auto" w:fill="auto"/>
            <w:vAlign w:val="center"/>
          </w:tcPr>
          <w:p w14:paraId="181A6106" w14:textId="77777777" w:rsidR="008B7105" w:rsidRPr="00066D9A" w:rsidRDefault="008B7105" w:rsidP="00F554D3">
            <w:pPr>
              <w:rPr>
                <w:rFonts w:ascii="Arial" w:hAnsi="Arial" w:cs="Arial"/>
                <w:b/>
                <w:sz w:val="20"/>
                <w:szCs w:val="20"/>
              </w:rPr>
            </w:pPr>
            <w:r w:rsidRPr="00066D9A">
              <w:rPr>
                <w:rFonts w:ascii="Arial" w:hAnsi="Arial" w:cs="Arial"/>
                <w:b/>
                <w:sz w:val="20"/>
                <w:szCs w:val="20"/>
              </w:rPr>
              <w:t>Subcommittee Members:</w:t>
            </w:r>
          </w:p>
          <w:p w14:paraId="4708E0D8" w14:textId="77777777" w:rsidR="008B7105" w:rsidRPr="000D6169" w:rsidRDefault="008B7105" w:rsidP="00F554D3">
            <w:pPr>
              <w:rPr>
                <w:rFonts w:ascii="Arial" w:hAnsi="Arial" w:cs="Arial"/>
                <w:sz w:val="20"/>
                <w:szCs w:val="20"/>
              </w:rPr>
            </w:pPr>
            <w:r>
              <w:rPr>
                <w:rFonts w:ascii="Arial" w:hAnsi="Arial" w:cs="Arial"/>
                <w:sz w:val="20"/>
                <w:szCs w:val="20"/>
              </w:rPr>
              <w:t>Cal TF Members</w:t>
            </w:r>
          </w:p>
        </w:tc>
        <w:tc>
          <w:tcPr>
            <w:tcW w:w="2070" w:type="dxa"/>
            <w:shd w:val="clear" w:color="auto" w:fill="auto"/>
            <w:vAlign w:val="center"/>
          </w:tcPr>
          <w:p w14:paraId="3AA6AB1E" w14:textId="77777777" w:rsidR="008B7105" w:rsidRDefault="005A2AC2" w:rsidP="00F554D3">
            <w:pPr>
              <w:rPr>
                <w:rFonts w:ascii="Arial" w:hAnsi="Arial" w:cs="Arial"/>
                <w:sz w:val="20"/>
                <w:szCs w:val="20"/>
              </w:rPr>
            </w:pPr>
            <w:r>
              <w:rPr>
                <w:rFonts w:ascii="Arial" w:hAnsi="Arial" w:cs="Arial"/>
                <w:sz w:val="20"/>
                <w:szCs w:val="20"/>
              </w:rPr>
              <w:t xml:space="preserve">Srinivas </w:t>
            </w:r>
            <w:proofErr w:type="spellStart"/>
            <w:r>
              <w:rPr>
                <w:rFonts w:ascii="Arial" w:hAnsi="Arial" w:cs="Arial"/>
                <w:sz w:val="20"/>
                <w:szCs w:val="20"/>
              </w:rPr>
              <w:t>Katipamula</w:t>
            </w:r>
            <w:proofErr w:type="spellEnd"/>
          </w:p>
          <w:p w14:paraId="26FF5FEA" w14:textId="77777777" w:rsidR="005A2AC2" w:rsidRDefault="005A2AC2" w:rsidP="00F554D3">
            <w:pPr>
              <w:rPr>
                <w:rFonts w:ascii="Arial" w:hAnsi="Arial" w:cs="Arial"/>
                <w:sz w:val="20"/>
                <w:szCs w:val="20"/>
              </w:rPr>
            </w:pPr>
            <w:r>
              <w:rPr>
                <w:rFonts w:ascii="Arial" w:hAnsi="Arial" w:cs="Arial"/>
                <w:sz w:val="20"/>
                <w:szCs w:val="20"/>
              </w:rPr>
              <w:t>Tom Eckhart</w:t>
            </w:r>
          </w:p>
          <w:p w14:paraId="2E0F4876" w14:textId="77777777" w:rsidR="005A2AC2" w:rsidRDefault="005A2AC2" w:rsidP="00F554D3">
            <w:pPr>
              <w:rPr>
                <w:rFonts w:ascii="Arial" w:hAnsi="Arial" w:cs="Arial"/>
                <w:sz w:val="20"/>
                <w:szCs w:val="20"/>
              </w:rPr>
            </w:pPr>
            <w:r>
              <w:rPr>
                <w:rFonts w:ascii="Arial" w:hAnsi="Arial" w:cs="Arial"/>
                <w:sz w:val="20"/>
                <w:szCs w:val="20"/>
              </w:rPr>
              <w:t>David Pruitt</w:t>
            </w:r>
          </w:p>
          <w:p w14:paraId="1B5B900A" w14:textId="77777777" w:rsidR="005A2AC2" w:rsidRDefault="005A2AC2" w:rsidP="00F554D3">
            <w:pPr>
              <w:rPr>
                <w:rFonts w:ascii="Arial" w:hAnsi="Arial" w:cs="Arial"/>
                <w:sz w:val="20"/>
                <w:szCs w:val="20"/>
              </w:rPr>
            </w:pPr>
            <w:r>
              <w:rPr>
                <w:rFonts w:ascii="Arial" w:hAnsi="Arial" w:cs="Arial"/>
                <w:sz w:val="20"/>
                <w:szCs w:val="20"/>
              </w:rPr>
              <w:t>Steven Long</w:t>
            </w:r>
          </w:p>
          <w:p w14:paraId="22B199D0" w14:textId="77777777" w:rsidR="005A2AC2" w:rsidRDefault="005A2AC2" w:rsidP="00F554D3">
            <w:pPr>
              <w:rPr>
                <w:rFonts w:ascii="Arial" w:hAnsi="Arial" w:cs="Arial"/>
                <w:sz w:val="20"/>
                <w:szCs w:val="20"/>
              </w:rPr>
            </w:pPr>
            <w:r>
              <w:rPr>
                <w:rFonts w:ascii="Arial" w:hAnsi="Arial" w:cs="Arial"/>
                <w:sz w:val="20"/>
                <w:szCs w:val="20"/>
              </w:rPr>
              <w:t>Andrew Brooks</w:t>
            </w:r>
          </w:p>
          <w:p w14:paraId="126693A9" w14:textId="77777777" w:rsidR="005A2AC2" w:rsidRDefault="005A2AC2" w:rsidP="00F554D3">
            <w:pPr>
              <w:rPr>
                <w:rFonts w:ascii="Arial" w:hAnsi="Arial" w:cs="Arial"/>
                <w:sz w:val="20"/>
                <w:szCs w:val="20"/>
              </w:rPr>
            </w:pPr>
            <w:r>
              <w:rPr>
                <w:rFonts w:ascii="Arial" w:hAnsi="Arial" w:cs="Arial"/>
                <w:sz w:val="20"/>
                <w:szCs w:val="20"/>
              </w:rPr>
              <w:t>Christopher Rogers</w:t>
            </w:r>
          </w:p>
          <w:p w14:paraId="043B7EBC" w14:textId="77777777" w:rsidR="005A2AC2" w:rsidRDefault="005A2AC2" w:rsidP="00F554D3">
            <w:pPr>
              <w:rPr>
                <w:rFonts w:ascii="Arial" w:hAnsi="Arial" w:cs="Arial"/>
                <w:sz w:val="20"/>
                <w:szCs w:val="20"/>
              </w:rPr>
            </w:pPr>
            <w:r>
              <w:rPr>
                <w:rFonts w:ascii="Arial" w:hAnsi="Arial" w:cs="Arial"/>
                <w:sz w:val="20"/>
                <w:szCs w:val="20"/>
              </w:rPr>
              <w:t>George Roemer</w:t>
            </w:r>
          </w:p>
          <w:p w14:paraId="56C5C4C4" w14:textId="77777777" w:rsidR="005A2AC2" w:rsidRDefault="005A2AC2" w:rsidP="00F554D3">
            <w:pPr>
              <w:rPr>
                <w:rFonts w:ascii="Arial" w:hAnsi="Arial" w:cs="Arial"/>
                <w:sz w:val="20"/>
                <w:szCs w:val="20"/>
              </w:rPr>
            </w:pPr>
            <w:r>
              <w:rPr>
                <w:rFonts w:ascii="Arial" w:hAnsi="Arial" w:cs="Arial"/>
                <w:sz w:val="20"/>
                <w:szCs w:val="20"/>
              </w:rPr>
              <w:t>Sherry Hu</w:t>
            </w:r>
          </w:p>
          <w:p w14:paraId="79799895" w14:textId="7C1A7727" w:rsidR="00E71247" w:rsidRPr="007F24BD" w:rsidRDefault="00E71247" w:rsidP="00F554D3">
            <w:pPr>
              <w:rPr>
                <w:rFonts w:ascii="Arial" w:hAnsi="Arial" w:cs="Arial"/>
                <w:sz w:val="20"/>
                <w:szCs w:val="20"/>
              </w:rPr>
            </w:pPr>
            <w:r>
              <w:rPr>
                <w:rFonts w:ascii="Arial" w:hAnsi="Arial" w:cs="Arial"/>
                <w:sz w:val="20"/>
                <w:szCs w:val="20"/>
              </w:rPr>
              <w:t>John Proctor</w:t>
            </w:r>
          </w:p>
        </w:tc>
        <w:tc>
          <w:tcPr>
            <w:tcW w:w="5310" w:type="dxa"/>
            <w:vAlign w:val="center"/>
          </w:tcPr>
          <w:p w14:paraId="420C16BA" w14:textId="77777777" w:rsidR="00BC73B7" w:rsidRDefault="00BC73B7" w:rsidP="00BC73B7">
            <w:pPr>
              <w:rPr>
                <w:rStyle w:val="Hyperlink"/>
                <w:rFonts w:ascii="Arial" w:hAnsi="Arial" w:cs="Arial"/>
                <w:sz w:val="20"/>
                <w:szCs w:val="20"/>
              </w:rPr>
            </w:pPr>
            <w:r>
              <w:rPr>
                <w:rFonts w:ascii="Arial" w:hAnsi="Arial" w:cs="Arial"/>
                <w:sz w:val="20"/>
                <w:szCs w:val="20"/>
              </w:rPr>
              <w:t xml:space="preserve">PNNL, </w:t>
            </w:r>
            <w:hyperlink r:id="rId10" w:history="1">
              <w:r w:rsidRPr="00326D23">
                <w:rPr>
                  <w:rStyle w:val="Hyperlink"/>
                  <w:rFonts w:ascii="Arial" w:hAnsi="Arial" w:cs="Arial"/>
                  <w:sz w:val="20"/>
                  <w:szCs w:val="20"/>
                </w:rPr>
                <w:t>Srinivas.Katipamula@pnnl.gov</w:t>
              </w:r>
            </w:hyperlink>
          </w:p>
          <w:p w14:paraId="64D0C485" w14:textId="77777777" w:rsidR="00BC73B7" w:rsidRDefault="00BC73B7" w:rsidP="00BC73B7">
            <w:pPr>
              <w:rPr>
                <w:rFonts w:ascii="Arial" w:hAnsi="Arial" w:cs="Arial"/>
                <w:sz w:val="20"/>
                <w:szCs w:val="20"/>
              </w:rPr>
            </w:pPr>
            <w:r>
              <w:rPr>
                <w:rFonts w:ascii="Arial" w:hAnsi="Arial" w:cs="Arial"/>
                <w:sz w:val="20"/>
                <w:szCs w:val="20"/>
              </w:rPr>
              <w:t xml:space="preserve">UCONS, </w:t>
            </w:r>
            <w:hyperlink r:id="rId11" w:history="1">
              <w:r w:rsidRPr="00A52528">
                <w:rPr>
                  <w:rStyle w:val="Hyperlink"/>
                  <w:rFonts w:ascii="Arial" w:hAnsi="Arial" w:cs="Arial"/>
                  <w:sz w:val="20"/>
                  <w:szCs w:val="20"/>
                </w:rPr>
                <w:t>tom@UCONS.com</w:t>
              </w:r>
            </w:hyperlink>
            <w:r>
              <w:rPr>
                <w:rFonts w:ascii="Arial" w:hAnsi="Arial" w:cs="Arial"/>
                <w:sz w:val="20"/>
                <w:szCs w:val="20"/>
              </w:rPr>
              <w:t xml:space="preserve"> </w:t>
            </w:r>
          </w:p>
          <w:p w14:paraId="3810122F" w14:textId="77777777" w:rsidR="00BC73B7" w:rsidRDefault="00BC73B7" w:rsidP="00BC73B7">
            <w:pPr>
              <w:rPr>
                <w:rFonts w:ascii="Arial" w:hAnsi="Arial" w:cs="Arial"/>
                <w:sz w:val="20"/>
                <w:szCs w:val="20"/>
              </w:rPr>
            </w:pPr>
            <w:r>
              <w:rPr>
                <w:rFonts w:ascii="Arial" w:hAnsi="Arial" w:cs="Arial"/>
                <w:sz w:val="20"/>
                <w:szCs w:val="20"/>
              </w:rPr>
              <w:t xml:space="preserve">PL Energy, </w:t>
            </w:r>
            <w:hyperlink r:id="rId12" w:history="1">
              <w:r w:rsidRPr="00A52528">
                <w:rPr>
                  <w:rStyle w:val="Hyperlink"/>
                  <w:rFonts w:ascii="Arial" w:hAnsi="Arial" w:cs="Arial"/>
                  <w:sz w:val="20"/>
                  <w:szCs w:val="20"/>
                </w:rPr>
                <w:t>david@pl-energy.com</w:t>
              </w:r>
            </w:hyperlink>
            <w:r>
              <w:rPr>
                <w:rFonts w:ascii="Arial" w:hAnsi="Arial" w:cs="Arial"/>
                <w:sz w:val="20"/>
                <w:szCs w:val="20"/>
              </w:rPr>
              <w:t xml:space="preserve"> </w:t>
            </w:r>
          </w:p>
          <w:p w14:paraId="5B96762E" w14:textId="77777777" w:rsidR="00BC73B7" w:rsidRDefault="00BC73B7" w:rsidP="00BC73B7">
            <w:pPr>
              <w:rPr>
                <w:rFonts w:ascii="Arial" w:hAnsi="Arial" w:cs="Arial"/>
                <w:sz w:val="20"/>
                <w:szCs w:val="20"/>
              </w:rPr>
            </w:pPr>
            <w:r>
              <w:rPr>
                <w:rFonts w:ascii="Arial" w:hAnsi="Arial" w:cs="Arial"/>
                <w:sz w:val="20"/>
                <w:szCs w:val="20"/>
              </w:rPr>
              <w:t xml:space="preserve">SCE, </w:t>
            </w:r>
            <w:hyperlink r:id="rId13" w:history="1">
              <w:r w:rsidRPr="00A52528">
                <w:rPr>
                  <w:rStyle w:val="Hyperlink"/>
                  <w:rFonts w:ascii="Arial" w:hAnsi="Arial" w:cs="Arial"/>
                  <w:sz w:val="20"/>
                  <w:szCs w:val="20"/>
                </w:rPr>
                <w:t>steven.long@sce.com</w:t>
              </w:r>
            </w:hyperlink>
            <w:r>
              <w:rPr>
                <w:rFonts w:ascii="Arial" w:hAnsi="Arial" w:cs="Arial"/>
                <w:sz w:val="20"/>
                <w:szCs w:val="20"/>
              </w:rPr>
              <w:t xml:space="preserve"> </w:t>
            </w:r>
          </w:p>
          <w:p w14:paraId="3640AC23" w14:textId="77777777" w:rsidR="005A2AC2" w:rsidRDefault="00BC73B7" w:rsidP="005A2AC2">
            <w:pPr>
              <w:rPr>
                <w:rFonts w:ascii="Arial" w:hAnsi="Arial" w:cs="Arial"/>
                <w:sz w:val="20"/>
                <w:szCs w:val="20"/>
              </w:rPr>
            </w:pPr>
            <w:r>
              <w:rPr>
                <w:rFonts w:ascii="Arial" w:hAnsi="Arial" w:cs="Arial"/>
                <w:sz w:val="20"/>
                <w:szCs w:val="20"/>
              </w:rPr>
              <w:t xml:space="preserve">Association for Energy Affordability, </w:t>
            </w:r>
            <w:hyperlink r:id="rId14" w:history="1">
              <w:r w:rsidRPr="00A52528">
                <w:rPr>
                  <w:rStyle w:val="Hyperlink"/>
                  <w:rFonts w:ascii="Arial" w:hAnsi="Arial" w:cs="Arial"/>
                  <w:sz w:val="20"/>
                  <w:szCs w:val="20"/>
                </w:rPr>
                <w:t>abrooks@aea.us.org</w:t>
              </w:r>
            </w:hyperlink>
          </w:p>
          <w:p w14:paraId="6A1883FE" w14:textId="77777777" w:rsidR="00BC73B7" w:rsidRDefault="00BC73B7" w:rsidP="005A2AC2">
            <w:pPr>
              <w:rPr>
                <w:rFonts w:ascii="Arial" w:hAnsi="Arial" w:cs="Arial"/>
                <w:sz w:val="20"/>
                <w:szCs w:val="20"/>
              </w:rPr>
            </w:pPr>
            <w:r>
              <w:rPr>
                <w:rFonts w:ascii="Arial" w:hAnsi="Arial" w:cs="Arial"/>
                <w:sz w:val="20"/>
                <w:szCs w:val="20"/>
              </w:rPr>
              <w:t xml:space="preserve">PECI, </w:t>
            </w:r>
            <w:hyperlink r:id="rId15" w:history="1">
              <w:r w:rsidRPr="00A52528">
                <w:rPr>
                  <w:rStyle w:val="Hyperlink"/>
                  <w:rFonts w:ascii="Arial" w:hAnsi="Arial" w:cs="Arial"/>
                  <w:sz w:val="20"/>
                  <w:szCs w:val="20"/>
                </w:rPr>
                <w:t>crogers@peci.org</w:t>
              </w:r>
            </w:hyperlink>
            <w:r>
              <w:rPr>
                <w:rFonts w:ascii="Arial" w:hAnsi="Arial" w:cs="Arial"/>
                <w:sz w:val="20"/>
                <w:szCs w:val="20"/>
              </w:rPr>
              <w:t xml:space="preserve"> </w:t>
            </w:r>
          </w:p>
          <w:p w14:paraId="498C99D7" w14:textId="77777777" w:rsidR="00BC73B7" w:rsidRDefault="00BC73B7" w:rsidP="00F554D3">
            <w:pPr>
              <w:rPr>
                <w:rStyle w:val="Hyperlink"/>
                <w:rFonts w:ascii="Arial" w:hAnsi="Arial" w:cs="Arial"/>
                <w:sz w:val="20"/>
                <w:szCs w:val="20"/>
              </w:rPr>
            </w:pPr>
            <w:r>
              <w:rPr>
                <w:rFonts w:ascii="Arial" w:hAnsi="Arial" w:cs="Arial"/>
                <w:sz w:val="20"/>
                <w:szCs w:val="20"/>
              </w:rPr>
              <w:t xml:space="preserve">Franklin Energy, </w:t>
            </w:r>
            <w:hyperlink r:id="rId16" w:history="1">
              <w:r w:rsidRPr="00326D23">
                <w:rPr>
                  <w:rStyle w:val="Hyperlink"/>
                  <w:rFonts w:ascii="Arial" w:hAnsi="Arial" w:cs="Arial"/>
                  <w:sz w:val="20"/>
                  <w:szCs w:val="20"/>
                </w:rPr>
                <w:t>groemer@franklinenergy.com</w:t>
              </w:r>
            </w:hyperlink>
          </w:p>
          <w:p w14:paraId="5CDFD590" w14:textId="43296AD2" w:rsidR="008B7105" w:rsidRPr="007F24BD" w:rsidRDefault="005A2AC2" w:rsidP="00F554D3">
            <w:pPr>
              <w:rPr>
                <w:rFonts w:ascii="Arial" w:hAnsi="Arial" w:cs="Arial"/>
                <w:sz w:val="20"/>
                <w:szCs w:val="20"/>
              </w:rPr>
            </w:pPr>
            <w:r w:rsidRPr="007F24BD">
              <w:rPr>
                <w:rFonts w:ascii="Arial" w:hAnsi="Arial" w:cs="Arial"/>
                <w:sz w:val="20"/>
                <w:szCs w:val="20"/>
              </w:rPr>
              <w:t xml:space="preserve">PG&amp;E, </w:t>
            </w:r>
            <w:hyperlink r:id="rId17" w:history="1">
              <w:r w:rsidRPr="007F24BD">
                <w:rPr>
                  <w:rStyle w:val="Hyperlink"/>
                  <w:rFonts w:ascii="Arial" w:hAnsi="Arial" w:cs="Arial"/>
                  <w:sz w:val="20"/>
                  <w:szCs w:val="20"/>
                </w:rPr>
                <w:t>S1HU@pge.com</w:t>
              </w:r>
            </w:hyperlink>
            <w:r>
              <w:rPr>
                <w:rFonts w:ascii="Arial" w:hAnsi="Arial" w:cs="Arial"/>
                <w:sz w:val="20"/>
                <w:szCs w:val="20"/>
              </w:rPr>
              <w:t xml:space="preserve"> </w:t>
            </w:r>
            <w:r w:rsidR="00E71247">
              <w:rPr>
                <w:rFonts w:ascii="Arial" w:hAnsi="Arial" w:cs="Arial"/>
                <w:sz w:val="20"/>
                <w:szCs w:val="20"/>
              </w:rPr>
              <w:br/>
              <w:t xml:space="preserve">Proctor Engineering, </w:t>
            </w:r>
            <w:hyperlink r:id="rId18" w:history="1">
              <w:r w:rsidR="00E71247" w:rsidRPr="00B825F9">
                <w:rPr>
                  <w:rStyle w:val="Hyperlink"/>
                  <w:rFonts w:ascii="Arial" w:hAnsi="Arial" w:cs="Arial"/>
                  <w:sz w:val="20"/>
                  <w:szCs w:val="20"/>
                </w:rPr>
                <w:t>john@proctoreng.com</w:t>
              </w:r>
            </w:hyperlink>
            <w:r w:rsidR="00E71247">
              <w:rPr>
                <w:rFonts w:ascii="Arial" w:hAnsi="Arial" w:cs="Arial"/>
                <w:sz w:val="20"/>
                <w:szCs w:val="20"/>
              </w:rPr>
              <w:t xml:space="preserve"> </w:t>
            </w:r>
          </w:p>
        </w:tc>
      </w:tr>
      <w:tr w:rsidR="008B7105" w:rsidRPr="000D6169" w14:paraId="47F5DC56" w14:textId="77777777" w:rsidTr="00702790">
        <w:trPr>
          <w:trHeight w:val="1790"/>
        </w:trPr>
        <w:tc>
          <w:tcPr>
            <w:tcW w:w="2070" w:type="dxa"/>
            <w:shd w:val="clear" w:color="auto" w:fill="auto"/>
            <w:vAlign w:val="center"/>
          </w:tcPr>
          <w:p w14:paraId="29720225" w14:textId="77777777" w:rsidR="008B7105" w:rsidRPr="00066D9A" w:rsidRDefault="008B7105" w:rsidP="00F554D3">
            <w:pPr>
              <w:rPr>
                <w:rFonts w:ascii="Arial" w:hAnsi="Arial" w:cs="Arial"/>
                <w:b/>
                <w:sz w:val="20"/>
                <w:szCs w:val="20"/>
              </w:rPr>
            </w:pPr>
            <w:r w:rsidRPr="00066D9A">
              <w:rPr>
                <w:rFonts w:ascii="Arial" w:hAnsi="Arial" w:cs="Arial"/>
                <w:b/>
                <w:sz w:val="20"/>
                <w:szCs w:val="20"/>
              </w:rPr>
              <w:t>Subcommittee Members:</w:t>
            </w:r>
          </w:p>
          <w:p w14:paraId="15C907FB" w14:textId="77777777" w:rsidR="008B7105" w:rsidRPr="00066D9A" w:rsidRDefault="008B7105" w:rsidP="00F554D3">
            <w:pPr>
              <w:rPr>
                <w:rFonts w:ascii="Arial" w:hAnsi="Arial" w:cs="Arial"/>
                <w:b/>
                <w:sz w:val="20"/>
                <w:szCs w:val="20"/>
              </w:rPr>
            </w:pPr>
            <w:r>
              <w:rPr>
                <w:rFonts w:ascii="Arial" w:hAnsi="Arial" w:cs="Arial"/>
                <w:sz w:val="20"/>
                <w:szCs w:val="20"/>
              </w:rPr>
              <w:t>non-TF Members</w:t>
            </w:r>
          </w:p>
        </w:tc>
        <w:tc>
          <w:tcPr>
            <w:tcW w:w="2070" w:type="dxa"/>
            <w:shd w:val="clear" w:color="auto" w:fill="auto"/>
            <w:vAlign w:val="center"/>
          </w:tcPr>
          <w:p w14:paraId="5C43E70C" w14:textId="77777777" w:rsidR="008B7105" w:rsidRDefault="005A2AC2" w:rsidP="00F554D3">
            <w:pPr>
              <w:rPr>
                <w:rFonts w:ascii="Arial" w:hAnsi="Arial" w:cs="Arial"/>
                <w:sz w:val="20"/>
                <w:szCs w:val="20"/>
              </w:rPr>
            </w:pPr>
            <w:r>
              <w:rPr>
                <w:rFonts w:ascii="Arial" w:hAnsi="Arial" w:cs="Arial"/>
                <w:sz w:val="20"/>
                <w:szCs w:val="20"/>
              </w:rPr>
              <w:t xml:space="preserve">Dale </w:t>
            </w:r>
            <w:proofErr w:type="spellStart"/>
            <w:r>
              <w:rPr>
                <w:rFonts w:ascii="Arial" w:hAnsi="Arial" w:cs="Arial"/>
                <w:sz w:val="20"/>
                <w:szCs w:val="20"/>
              </w:rPr>
              <w:t>Gustavson</w:t>
            </w:r>
            <w:proofErr w:type="spellEnd"/>
          </w:p>
          <w:p w14:paraId="3403A069" w14:textId="77777777" w:rsidR="005A2AC2" w:rsidRDefault="005A2AC2" w:rsidP="00F554D3">
            <w:pPr>
              <w:rPr>
                <w:rFonts w:ascii="Arial" w:hAnsi="Arial" w:cs="Arial"/>
                <w:sz w:val="20"/>
                <w:szCs w:val="20"/>
              </w:rPr>
            </w:pPr>
            <w:r>
              <w:rPr>
                <w:rFonts w:ascii="Arial" w:hAnsi="Arial" w:cs="Arial"/>
                <w:sz w:val="20"/>
                <w:szCs w:val="20"/>
              </w:rPr>
              <w:t>John Neal</w:t>
            </w:r>
          </w:p>
          <w:p w14:paraId="0A2DA8F3" w14:textId="77777777" w:rsidR="005A2AC2" w:rsidRDefault="005A2AC2" w:rsidP="00F554D3">
            <w:pPr>
              <w:rPr>
                <w:rFonts w:ascii="Arial" w:hAnsi="Arial" w:cs="Arial"/>
                <w:sz w:val="20"/>
                <w:szCs w:val="20"/>
              </w:rPr>
            </w:pPr>
            <w:r>
              <w:rPr>
                <w:rFonts w:ascii="Arial" w:hAnsi="Arial" w:cs="Arial"/>
                <w:sz w:val="20"/>
                <w:szCs w:val="20"/>
              </w:rPr>
              <w:t>Scott Higa</w:t>
            </w:r>
          </w:p>
          <w:p w14:paraId="14B72CB9" w14:textId="77777777" w:rsidR="005A2AC2" w:rsidRDefault="005A2AC2" w:rsidP="00F554D3">
            <w:pPr>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Ganimian</w:t>
            </w:r>
            <w:proofErr w:type="spellEnd"/>
          </w:p>
          <w:p w14:paraId="5014263D" w14:textId="77777777" w:rsidR="005A2AC2" w:rsidRDefault="005A2AC2" w:rsidP="00F554D3">
            <w:pPr>
              <w:rPr>
                <w:rFonts w:ascii="Arial" w:hAnsi="Arial" w:cs="Arial"/>
                <w:sz w:val="20"/>
                <w:szCs w:val="20"/>
              </w:rPr>
            </w:pPr>
            <w:r>
              <w:rPr>
                <w:rFonts w:ascii="Arial" w:hAnsi="Arial" w:cs="Arial"/>
                <w:sz w:val="20"/>
                <w:szCs w:val="20"/>
              </w:rPr>
              <w:t>Buck Taylor</w:t>
            </w:r>
          </w:p>
          <w:p w14:paraId="300BE33A" w14:textId="77777777" w:rsidR="00EC450B" w:rsidRDefault="00EC450B" w:rsidP="00F554D3">
            <w:pPr>
              <w:rPr>
                <w:rFonts w:ascii="Arial" w:hAnsi="Arial" w:cs="Arial"/>
                <w:sz w:val="20"/>
                <w:szCs w:val="20"/>
              </w:rPr>
            </w:pPr>
            <w:r>
              <w:rPr>
                <w:rFonts w:ascii="Arial" w:hAnsi="Arial" w:cs="Arial"/>
                <w:sz w:val="20"/>
                <w:szCs w:val="20"/>
              </w:rPr>
              <w:t>Chris Li</w:t>
            </w:r>
          </w:p>
          <w:p w14:paraId="53190594" w14:textId="7A13EE2D" w:rsidR="005A2AC2" w:rsidRPr="00E80F4F" w:rsidRDefault="005A2AC2" w:rsidP="00E80F4F">
            <w:pPr>
              <w:rPr>
                <w:rFonts w:ascii="Arial" w:hAnsi="Arial" w:cs="Arial"/>
                <w:sz w:val="20"/>
                <w:szCs w:val="20"/>
              </w:rPr>
            </w:pPr>
            <w:r w:rsidRPr="00E80F4F">
              <w:rPr>
                <w:rFonts w:ascii="Arial" w:hAnsi="Arial" w:cs="Arial"/>
                <w:sz w:val="20"/>
                <w:szCs w:val="20"/>
              </w:rPr>
              <w:t>Justin Kjeldsen</w:t>
            </w:r>
          </w:p>
        </w:tc>
        <w:tc>
          <w:tcPr>
            <w:tcW w:w="5310" w:type="dxa"/>
            <w:vAlign w:val="center"/>
          </w:tcPr>
          <w:p w14:paraId="20315676" w14:textId="77777777" w:rsidR="005A2AC2" w:rsidRPr="00BC73B7" w:rsidRDefault="005A2AC2" w:rsidP="00F554D3">
            <w:pPr>
              <w:rPr>
                <w:rFonts w:ascii="Arial" w:hAnsi="Arial" w:cs="Arial"/>
                <w:sz w:val="20"/>
                <w:szCs w:val="20"/>
              </w:rPr>
            </w:pPr>
            <w:r w:rsidRPr="00BC73B7">
              <w:rPr>
                <w:rFonts w:ascii="Arial" w:hAnsi="Arial" w:cs="Arial"/>
                <w:sz w:val="20"/>
                <w:szCs w:val="20"/>
              </w:rPr>
              <w:t xml:space="preserve">WHPA, </w:t>
            </w:r>
            <w:hyperlink r:id="rId19" w:history="1">
              <w:r w:rsidRPr="00BC73B7">
                <w:rPr>
                  <w:rStyle w:val="Hyperlink"/>
                  <w:rFonts w:ascii="Arial" w:hAnsi="Arial" w:cs="Arial"/>
                  <w:sz w:val="20"/>
                  <w:szCs w:val="20"/>
                </w:rPr>
                <w:t>dale@betterbuildings.com</w:t>
              </w:r>
            </w:hyperlink>
          </w:p>
          <w:p w14:paraId="1FCEA717" w14:textId="77777777" w:rsidR="00BC73B7" w:rsidRDefault="00BC73B7" w:rsidP="00BC73B7">
            <w:pPr>
              <w:rPr>
                <w:rFonts w:ascii="Arial" w:hAnsi="Arial" w:cs="Arial"/>
                <w:sz w:val="20"/>
                <w:szCs w:val="20"/>
              </w:rPr>
            </w:pPr>
            <w:r>
              <w:rPr>
                <w:rFonts w:ascii="Arial" w:hAnsi="Arial" w:cs="Arial"/>
                <w:sz w:val="20"/>
                <w:szCs w:val="20"/>
              </w:rPr>
              <w:t xml:space="preserve">Association for Energy Affordability, </w:t>
            </w:r>
            <w:hyperlink r:id="rId20" w:history="1">
              <w:r w:rsidR="00CA6C8D" w:rsidRPr="00A52528">
                <w:rPr>
                  <w:rStyle w:val="Hyperlink"/>
                  <w:rFonts w:ascii="Arial" w:hAnsi="Arial" w:cs="Arial"/>
                  <w:sz w:val="20"/>
                  <w:szCs w:val="20"/>
                </w:rPr>
                <w:t>jneal@aea.us.org</w:t>
              </w:r>
            </w:hyperlink>
          </w:p>
          <w:p w14:paraId="55ECED01" w14:textId="77777777" w:rsidR="005A2AC2" w:rsidRPr="00BC73B7" w:rsidRDefault="005A2AC2" w:rsidP="00F554D3">
            <w:pPr>
              <w:rPr>
                <w:rFonts w:ascii="Arial" w:hAnsi="Arial" w:cs="Arial"/>
                <w:sz w:val="20"/>
                <w:szCs w:val="20"/>
              </w:rPr>
            </w:pPr>
            <w:r w:rsidRPr="00BC73B7">
              <w:rPr>
                <w:rFonts w:ascii="Arial" w:hAnsi="Arial" w:cs="Arial"/>
                <w:sz w:val="20"/>
                <w:szCs w:val="20"/>
              </w:rPr>
              <w:t xml:space="preserve">SCE, </w:t>
            </w:r>
            <w:hyperlink r:id="rId21" w:history="1">
              <w:r w:rsidRPr="00BC73B7">
                <w:rPr>
                  <w:rStyle w:val="Hyperlink"/>
                  <w:rFonts w:ascii="Arial" w:hAnsi="Arial" w:cs="Arial"/>
                  <w:sz w:val="20"/>
                  <w:szCs w:val="20"/>
                </w:rPr>
                <w:t>scott.higa@sce.com</w:t>
              </w:r>
            </w:hyperlink>
            <w:r w:rsidRPr="00BC73B7">
              <w:rPr>
                <w:rFonts w:ascii="Arial" w:hAnsi="Arial" w:cs="Arial"/>
                <w:sz w:val="20"/>
                <w:szCs w:val="20"/>
              </w:rPr>
              <w:t xml:space="preserve"> </w:t>
            </w:r>
          </w:p>
          <w:p w14:paraId="7D4D1C6C" w14:textId="77777777" w:rsidR="008B7105" w:rsidRPr="00BC73B7" w:rsidRDefault="005A2AC2" w:rsidP="00F554D3">
            <w:pPr>
              <w:rPr>
                <w:rFonts w:ascii="Arial" w:hAnsi="Arial" w:cs="Arial"/>
                <w:sz w:val="20"/>
                <w:szCs w:val="20"/>
              </w:rPr>
            </w:pPr>
            <w:r w:rsidRPr="00BC73B7">
              <w:rPr>
                <w:rFonts w:ascii="Arial" w:hAnsi="Arial" w:cs="Arial"/>
                <w:sz w:val="20"/>
                <w:szCs w:val="20"/>
              </w:rPr>
              <w:t xml:space="preserve">Energy Analysis Technologies, </w:t>
            </w:r>
            <w:hyperlink r:id="rId22" w:history="1">
              <w:r w:rsidRPr="00BC73B7">
                <w:rPr>
                  <w:rStyle w:val="Hyperlink"/>
                  <w:rFonts w:ascii="Arial" w:hAnsi="Arial" w:cs="Arial"/>
                  <w:sz w:val="20"/>
                  <w:szCs w:val="20"/>
                </w:rPr>
                <w:t>cganimian@verizon.net</w:t>
              </w:r>
            </w:hyperlink>
          </w:p>
          <w:p w14:paraId="7A988412" w14:textId="77777777" w:rsidR="005A2AC2" w:rsidRDefault="005A2AC2" w:rsidP="00F554D3">
            <w:pPr>
              <w:rPr>
                <w:rStyle w:val="Hyperlink"/>
                <w:rFonts w:ascii="Arial" w:hAnsi="Arial" w:cs="Arial"/>
                <w:sz w:val="20"/>
                <w:szCs w:val="20"/>
              </w:rPr>
            </w:pPr>
            <w:proofErr w:type="spellStart"/>
            <w:r w:rsidRPr="00BC73B7">
              <w:rPr>
                <w:rFonts w:ascii="Arial" w:hAnsi="Arial" w:cs="Arial"/>
                <w:sz w:val="20"/>
                <w:szCs w:val="20"/>
              </w:rPr>
              <w:t>Roltay</w:t>
            </w:r>
            <w:proofErr w:type="spellEnd"/>
            <w:r w:rsidRPr="00BC73B7">
              <w:rPr>
                <w:rFonts w:ascii="Arial" w:hAnsi="Arial" w:cs="Arial"/>
                <w:sz w:val="20"/>
                <w:szCs w:val="20"/>
              </w:rPr>
              <w:t xml:space="preserve"> Inc. Energy Services, </w:t>
            </w:r>
            <w:hyperlink r:id="rId23" w:history="1">
              <w:r w:rsidRPr="00BC73B7">
                <w:rPr>
                  <w:rStyle w:val="Hyperlink"/>
                  <w:rFonts w:ascii="Arial" w:hAnsi="Arial" w:cs="Arial"/>
                  <w:sz w:val="20"/>
                  <w:szCs w:val="20"/>
                </w:rPr>
                <w:t>Buck@Roltay.com</w:t>
              </w:r>
            </w:hyperlink>
          </w:p>
          <w:p w14:paraId="480FB235" w14:textId="77777777" w:rsidR="00EC450B" w:rsidRPr="00EC450B" w:rsidRDefault="00EC450B" w:rsidP="00F554D3">
            <w:pPr>
              <w:rPr>
                <w:rFonts w:ascii="Arial" w:hAnsi="Arial" w:cs="Arial"/>
                <w:sz w:val="20"/>
                <w:szCs w:val="20"/>
              </w:rPr>
            </w:pPr>
            <w:r w:rsidRPr="00EC450B">
              <w:rPr>
                <w:rFonts w:ascii="Arial" w:hAnsi="Arial" w:cs="Arial"/>
                <w:sz w:val="20"/>
                <w:szCs w:val="20"/>
              </w:rPr>
              <w:t xml:space="preserve">PG&amp;E, </w:t>
            </w:r>
            <w:hyperlink r:id="rId24" w:history="1">
              <w:r w:rsidRPr="00E11F42">
                <w:rPr>
                  <w:rStyle w:val="Hyperlink"/>
                  <w:rFonts w:ascii="Arial" w:hAnsi="Arial" w:cs="Arial"/>
                  <w:sz w:val="20"/>
                  <w:szCs w:val="20"/>
                </w:rPr>
                <w:t>CHL7@pge.com</w:t>
              </w:r>
            </w:hyperlink>
          </w:p>
          <w:p w14:paraId="7E100752" w14:textId="26F3DA46" w:rsidR="005A2AC2" w:rsidRPr="007F24BD" w:rsidRDefault="005A2AC2" w:rsidP="00702790">
            <w:pPr>
              <w:rPr>
                <w:rFonts w:ascii="Arial" w:hAnsi="Arial" w:cs="Arial"/>
                <w:sz w:val="20"/>
                <w:szCs w:val="20"/>
              </w:rPr>
            </w:pPr>
            <w:r w:rsidRPr="00E80F4F">
              <w:rPr>
                <w:rFonts w:ascii="Arial" w:hAnsi="Arial" w:cs="Arial"/>
                <w:sz w:val="20"/>
                <w:szCs w:val="20"/>
              </w:rPr>
              <w:t xml:space="preserve">PG&amp;E, </w:t>
            </w:r>
            <w:hyperlink r:id="rId25" w:history="1">
              <w:r w:rsidRPr="00E80F4F">
                <w:rPr>
                  <w:rStyle w:val="Hyperlink"/>
                  <w:rFonts w:ascii="Arial" w:hAnsi="Arial" w:cs="Arial"/>
                  <w:sz w:val="20"/>
                  <w:szCs w:val="20"/>
                </w:rPr>
                <w:t>J2KP@pge.com</w:t>
              </w:r>
            </w:hyperlink>
            <w:r w:rsidRPr="00E80F4F">
              <w:rPr>
                <w:rFonts w:ascii="Arial" w:hAnsi="Arial" w:cs="Arial"/>
                <w:sz w:val="20"/>
                <w:szCs w:val="20"/>
              </w:rPr>
              <w:t xml:space="preserve"> </w:t>
            </w:r>
          </w:p>
        </w:tc>
      </w:tr>
      <w:tr w:rsidR="008B7105" w:rsidRPr="000D6169" w14:paraId="7337F252" w14:textId="77777777" w:rsidTr="00BC73B7">
        <w:trPr>
          <w:trHeight w:val="350"/>
        </w:trPr>
        <w:tc>
          <w:tcPr>
            <w:tcW w:w="2070" w:type="dxa"/>
            <w:shd w:val="clear" w:color="auto" w:fill="auto"/>
            <w:vAlign w:val="center"/>
          </w:tcPr>
          <w:p w14:paraId="3E129959" w14:textId="77777777" w:rsidR="008B7105" w:rsidRPr="00066D9A" w:rsidRDefault="008B7105" w:rsidP="00F554D3">
            <w:pPr>
              <w:rPr>
                <w:rFonts w:ascii="Arial" w:hAnsi="Arial" w:cs="Arial"/>
                <w:b/>
                <w:sz w:val="20"/>
                <w:szCs w:val="20"/>
              </w:rPr>
            </w:pPr>
            <w:r w:rsidRPr="00066D9A">
              <w:rPr>
                <w:rFonts w:ascii="Arial" w:hAnsi="Arial" w:cs="Arial"/>
                <w:b/>
                <w:sz w:val="20"/>
                <w:szCs w:val="20"/>
              </w:rPr>
              <w:t>Final Deliverable</w:t>
            </w:r>
            <w:r w:rsidR="00613ABC">
              <w:rPr>
                <w:rFonts w:ascii="Arial" w:hAnsi="Arial" w:cs="Arial"/>
                <w:b/>
                <w:sz w:val="20"/>
                <w:szCs w:val="20"/>
              </w:rPr>
              <w:t>(s)</w:t>
            </w:r>
          </w:p>
        </w:tc>
        <w:tc>
          <w:tcPr>
            <w:tcW w:w="7380" w:type="dxa"/>
            <w:gridSpan w:val="2"/>
            <w:shd w:val="clear" w:color="auto" w:fill="auto"/>
            <w:vAlign w:val="center"/>
          </w:tcPr>
          <w:p w14:paraId="6A91B775" w14:textId="77777777" w:rsidR="008B7105" w:rsidRPr="000D6169" w:rsidRDefault="00F35DC1" w:rsidP="00F35DC1">
            <w:pPr>
              <w:rPr>
                <w:rFonts w:ascii="Arial" w:hAnsi="Arial" w:cs="Arial"/>
                <w:sz w:val="20"/>
                <w:szCs w:val="20"/>
              </w:rPr>
            </w:pPr>
            <w:r>
              <w:rPr>
                <w:rFonts w:ascii="Arial" w:hAnsi="Arial" w:cs="Arial"/>
                <w:sz w:val="20"/>
                <w:szCs w:val="20"/>
              </w:rPr>
              <w:t>Document detailing the recommendations and supporting reasoning resulting from subcommittee discussion and consensus</w:t>
            </w:r>
          </w:p>
        </w:tc>
      </w:tr>
      <w:tr w:rsidR="008B7105" w:rsidRPr="000D6169" w14:paraId="6636C6D5" w14:textId="77777777" w:rsidTr="00BC73B7">
        <w:tblPrEx>
          <w:shd w:val="clear" w:color="auto" w:fill="auto"/>
        </w:tblPrEx>
        <w:trPr>
          <w:trHeight w:val="350"/>
        </w:trPr>
        <w:tc>
          <w:tcPr>
            <w:tcW w:w="2070" w:type="dxa"/>
            <w:vAlign w:val="center"/>
          </w:tcPr>
          <w:p w14:paraId="4458266E" w14:textId="77777777" w:rsidR="008B7105" w:rsidRPr="00066D9A" w:rsidRDefault="008B7105" w:rsidP="00F554D3">
            <w:pPr>
              <w:rPr>
                <w:rFonts w:ascii="Arial" w:hAnsi="Arial" w:cs="Arial"/>
                <w:b/>
                <w:sz w:val="20"/>
                <w:szCs w:val="20"/>
              </w:rPr>
            </w:pPr>
            <w:r w:rsidRPr="00066D9A">
              <w:rPr>
                <w:rFonts w:ascii="Arial" w:hAnsi="Arial" w:cs="Arial"/>
                <w:b/>
                <w:sz w:val="20"/>
                <w:szCs w:val="20"/>
              </w:rPr>
              <w:t>Commencement Date</w:t>
            </w:r>
          </w:p>
        </w:tc>
        <w:tc>
          <w:tcPr>
            <w:tcW w:w="7380" w:type="dxa"/>
            <w:gridSpan w:val="2"/>
            <w:vAlign w:val="center"/>
          </w:tcPr>
          <w:p w14:paraId="04C72082" w14:textId="46D57DB0" w:rsidR="008B7105" w:rsidRPr="000D6169" w:rsidRDefault="00823342" w:rsidP="00E15F16">
            <w:pPr>
              <w:rPr>
                <w:rFonts w:ascii="Arial" w:hAnsi="Arial" w:cs="Arial"/>
                <w:sz w:val="20"/>
                <w:szCs w:val="20"/>
              </w:rPr>
            </w:pPr>
            <w:r>
              <w:rPr>
                <w:rFonts w:ascii="Arial" w:hAnsi="Arial" w:cs="Arial"/>
                <w:sz w:val="20"/>
                <w:szCs w:val="20"/>
              </w:rPr>
              <w:t>4/2</w:t>
            </w:r>
            <w:r w:rsidR="00E15F16">
              <w:rPr>
                <w:rFonts w:ascii="Arial" w:hAnsi="Arial" w:cs="Arial"/>
                <w:sz w:val="20"/>
                <w:szCs w:val="20"/>
              </w:rPr>
              <w:t>9</w:t>
            </w:r>
            <w:r>
              <w:rPr>
                <w:rFonts w:ascii="Arial" w:hAnsi="Arial" w:cs="Arial"/>
                <w:sz w:val="20"/>
                <w:szCs w:val="20"/>
              </w:rPr>
              <w:t>/15</w:t>
            </w:r>
          </w:p>
        </w:tc>
      </w:tr>
      <w:tr w:rsidR="008B7105" w:rsidRPr="000D6169" w14:paraId="1ACAFFD4" w14:textId="77777777" w:rsidTr="00DB313A">
        <w:tblPrEx>
          <w:shd w:val="clear" w:color="auto" w:fill="auto"/>
        </w:tblPrEx>
        <w:trPr>
          <w:trHeight w:val="350"/>
        </w:trPr>
        <w:tc>
          <w:tcPr>
            <w:tcW w:w="2070" w:type="dxa"/>
            <w:vAlign w:val="center"/>
          </w:tcPr>
          <w:p w14:paraId="5E76CEA4" w14:textId="77777777" w:rsidR="008B7105" w:rsidRPr="00066D9A" w:rsidRDefault="008B7105" w:rsidP="00F554D3">
            <w:pPr>
              <w:rPr>
                <w:rFonts w:ascii="Arial" w:hAnsi="Arial" w:cs="Arial"/>
                <w:b/>
                <w:sz w:val="20"/>
                <w:szCs w:val="20"/>
              </w:rPr>
            </w:pPr>
            <w:r>
              <w:rPr>
                <w:rFonts w:ascii="Arial" w:hAnsi="Arial" w:cs="Arial"/>
                <w:b/>
                <w:sz w:val="20"/>
                <w:szCs w:val="20"/>
              </w:rPr>
              <w:t>Conclusion Date</w:t>
            </w:r>
          </w:p>
        </w:tc>
        <w:tc>
          <w:tcPr>
            <w:tcW w:w="7380" w:type="dxa"/>
            <w:gridSpan w:val="2"/>
            <w:vAlign w:val="center"/>
          </w:tcPr>
          <w:p w14:paraId="0EE24DB0" w14:textId="49B7133B" w:rsidR="008B7105" w:rsidRPr="000D6169" w:rsidRDefault="00823342" w:rsidP="00E15F16">
            <w:pPr>
              <w:rPr>
                <w:rFonts w:ascii="Arial" w:hAnsi="Arial" w:cs="Arial"/>
                <w:sz w:val="20"/>
                <w:szCs w:val="20"/>
              </w:rPr>
            </w:pPr>
            <w:r>
              <w:rPr>
                <w:rFonts w:ascii="Arial" w:hAnsi="Arial" w:cs="Arial"/>
                <w:sz w:val="20"/>
                <w:szCs w:val="20"/>
              </w:rPr>
              <w:t>5/1</w:t>
            </w:r>
            <w:r w:rsidR="00E15F16">
              <w:rPr>
                <w:rFonts w:ascii="Arial" w:hAnsi="Arial" w:cs="Arial"/>
                <w:sz w:val="20"/>
                <w:szCs w:val="20"/>
              </w:rPr>
              <w:t>3</w:t>
            </w:r>
            <w:r>
              <w:rPr>
                <w:rFonts w:ascii="Arial" w:hAnsi="Arial" w:cs="Arial"/>
                <w:sz w:val="20"/>
                <w:szCs w:val="20"/>
              </w:rPr>
              <w:t>/15</w:t>
            </w:r>
          </w:p>
        </w:tc>
      </w:tr>
    </w:tbl>
    <w:p w14:paraId="78C525E7" w14:textId="77777777" w:rsidR="000D6169" w:rsidRDefault="000D6169" w:rsidP="00BF7956">
      <w:pPr>
        <w:spacing w:after="0"/>
        <w:rPr>
          <w:rFonts w:ascii="Arial" w:hAnsi="Arial" w:cs="Arial"/>
          <w:sz w:val="20"/>
          <w:szCs w:val="20"/>
        </w:rPr>
      </w:pPr>
    </w:p>
    <w:p w14:paraId="73A3EA03" w14:textId="77777777" w:rsidR="00DB313A" w:rsidRPr="000D6169" w:rsidRDefault="00DB313A" w:rsidP="00BF7956">
      <w:pPr>
        <w:spacing w:after="0"/>
        <w:rPr>
          <w:rFonts w:ascii="Arial" w:hAnsi="Arial" w:cs="Arial"/>
          <w:sz w:val="20"/>
          <w:szCs w:val="20"/>
        </w:rPr>
      </w:pPr>
      <w:bookmarkStart w:id="0" w:name="_GoBack"/>
      <w:bookmarkEnd w:id="0"/>
    </w:p>
    <w:p w14:paraId="0720A7AF" w14:textId="77777777" w:rsidR="00BF7956" w:rsidRPr="008A2530" w:rsidRDefault="000D6169" w:rsidP="008A2530">
      <w:pPr>
        <w:pStyle w:val="ListParagraph"/>
        <w:numPr>
          <w:ilvl w:val="0"/>
          <w:numId w:val="1"/>
        </w:numPr>
        <w:spacing w:after="0"/>
        <w:rPr>
          <w:rFonts w:ascii="Arial" w:hAnsi="Arial" w:cs="Arial"/>
          <w:b/>
          <w:sz w:val="20"/>
          <w:szCs w:val="20"/>
          <w:u w:val="single"/>
        </w:rPr>
      </w:pPr>
      <w:r w:rsidRPr="008A2530">
        <w:rPr>
          <w:rFonts w:ascii="Arial" w:hAnsi="Arial" w:cs="Arial"/>
          <w:b/>
          <w:sz w:val="20"/>
          <w:szCs w:val="20"/>
          <w:u w:val="single"/>
        </w:rPr>
        <w:t>Subcommittee Objective</w:t>
      </w:r>
    </w:p>
    <w:p w14:paraId="0ACDA11F" w14:textId="77777777" w:rsidR="00930C2A" w:rsidRDefault="00CA6C8D" w:rsidP="00CA6C8D">
      <w:pPr>
        <w:pStyle w:val="ListParagraph"/>
        <w:spacing w:after="0"/>
        <w:ind w:left="360"/>
        <w:rPr>
          <w:rFonts w:ascii="Arial" w:hAnsi="Arial" w:cs="Arial"/>
          <w:sz w:val="20"/>
          <w:szCs w:val="20"/>
        </w:rPr>
      </w:pPr>
      <w:r w:rsidRPr="00CA6C8D">
        <w:rPr>
          <w:rFonts w:ascii="Arial" w:hAnsi="Arial" w:cs="Arial"/>
          <w:sz w:val="20"/>
          <w:szCs w:val="20"/>
        </w:rPr>
        <w:t xml:space="preserve">The objective of the </w:t>
      </w:r>
      <w:r w:rsidR="00823342">
        <w:rPr>
          <w:rFonts w:ascii="Arial" w:hAnsi="Arial" w:cs="Arial"/>
          <w:sz w:val="20"/>
          <w:szCs w:val="20"/>
        </w:rPr>
        <w:t>Residential HVAC Quality Installation</w:t>
      </w:r>
      <w:r w:rsidR="00930C2A">
        <w:rPr>
          <w:rFonts w:ascii="Arial" w:hAnsi="Arial" w:cs="Arial"/>
          <w:sz w:val="20"/>
          <w:szCs w:val="20"/>
        </w:rPr>
        <w:t xml:space="preserve"> subcommittee will be the following:</w:t>
      </w:r>
    </w:p>
    <w:p w14:paraId="0DAACCC0" w14:textId="77777777" w:rsidR="00930C2A" w:rsidRDefault="00930C2A" w:rsidP="00930C2A">
      <w:pPr>
        <w:pStyle w:val="ListParagraph"/>
        <w:numPr>
          <w:ilvl w:val="0"/>
          <w:numId w:val="3"/>
        </w:numPr>
        <w:spacing w:after="0"/>
        <w:rPr>
          <w:rFonts w:ascii="Arial" w:hAnsi="Arial" w:cs="Arial"/>
          <w:sz w:val="20"/>
          <w:szCs w:val="20"/>
        </w:rPr>
      </w:pPr>
      <w:r>
        <w:rPr>
          <w:rFonts w:ascii="Arial" w:hAnsi="Arial" w:cs="Arial"/>
          <w:sz w:val="20"/>
          <w:szCs w:val="20"/>
        </w:rPr>
        <w:t>Identify applicable data sources, including but not limited to Work Order 32, to inform each of the Residential HVAC Quality Installation performance parameters listed in Section II.</w:t>
      </w:r>
      <w:r w:rsidR="00FF4F82">
        <w:rPr>
          <w:rFonts w:ascii="Arial" w:hAnsi="Arial" w:cs="Arial"/>
          <w:sz w:val="20"/>
          <w:szCs w:val="20"/>
        </w:rPr>
        <w:t xml:space="preserve"> A non-inclusive list of data sources to consider is included in Section III.</w:t>
      </w:r>
    </w:p>
    <w:p w14:paraId="6C7D94D9" w14:textId="77777777" w:rsidR="0015132F" w:rsidRDefault="0015132F" w:rsidP="00930C2A">
      <w:pPr>
        <w:pStyle w:val="ListParagraph"/>
        <w:numPr>
          <w:ilvl w:val="0"/>
          <w:numId w:val="3"/>
        </w:numPr>
        <w:spacing w:after="0"/>
        <w:rPr>
          <w:rFonts w:ascii="Arial" w:hAnsi="Arial" w:cs="Arial"/>
          <w:sz w:val="20"/>
          <w:szCs w:val="20"/>
        </w:rPr>
      </w:pPr>
      <w:r>
        <w:rPr>
          <w:rFonts w:ascii="Arial" w:hAnsi="Arial" w:cs="Arial"/>
          <w:sz w:val="20"/>
          <w:szCs w:val="20"/>
        </w:rPr>
        <w:t>Discuss the suitability of each data source for informing the performance parameters.</w:t>
      </w:r>
    </w:p>
    <w:p w14:paraId="4F9017CA" w14:textId="77777777" w:rsidR="00E15F16" w:rsidRDefault="00E15F16" w:rsidP="00930C2A">
      <w:pPr>
        <w:pStyle w:val="ListParagraph"/>
        <w:numPr>
          <w:ilvl w:val="0"/>
          <w:numId w:val="3"/>
        </w:numPr>
        <w:spacing w:after="0"/>
        <w:rPr>
          <w:rFonts w:ascii="Arial" w:hAnsi="Arial" w:cs="Arial"/>
          <w:sz w:val="20"/>
          <w:szCs w:val="20"/>
        </w:rPr>
        <w:sectPr w:rsidR="00E15F16">
          <w:headerReference w:type="default" r:id="rId26"/>
          <w:footerReference w:type="default" r:id="rId27"/>
          <w:pgSz w:w="12240" w:h="15840"/>
          <w:pgMar w:top="1440" w:right="1440" w:bottom="1440" w:left="1440" w:header="720" w:footer="720" w:gutter="0"/>
          <w:cols w:space="720"/>
          <w:docGrid w:linePitch="360"/>
        </w:sectPr>
      </w:pPr>
    </w:p>
    <w:p w14:paraId="28C44464" w14:textId="616DE251" w:rsidR="00CA6C8D" w:rsidRPr="00930C2A" w:rsidRDefault="00930C2A" w:rsidP="00930C2A">
      <w:pPr>
        <w:pStyle w:val="ListParagraph"/>
        <w:numPr>
          <w:ilvl w:val="0"/>
          <w:numId w:val="3"/>
        </w:numPr>
        <w:spacing w:after="0"/>
        <w:rPr>
          <w:rFonts w:ascii="Arial" w:hAnsi="Arial" w:cs="Arial"/>
          <w:sz w:val="20"/>
          <w:szCs w:val="20"/>
        </w:rPr>
      </w:pPr>
      <w:r>
        <w:rPr>
          <w:rFonts w:ascii="Arial" w:hAnsi="Arial" w:cs="Arial"/>
          <w:sz w:val="20"/>
          <w:szCs w:val="20"/>
        </w:rPr>
        <w:lastRenderedPageBreak/>
        <w:t>Select the most appropriate data source(s) for each performance parameter, with justification for each selection.</w:t>
      </w:r>
    </w:p>
    <w:p w14:paraId="0C80780A" w14:textId="77777777" w:rsidR="00CA6C8D" w:rsidRPr="00CA6C8D" w:rsidRDefault="00CA6C8D" w:rsidP="00CA6C8D">
      <w:pPr>
        <w:pStyle w:val="ListParagraph"/>
        <w:spacing w:after="0"/>
        <w:ind w:left="360"/>
        <w:rPr>
          <w:rFonts w:ascii="Arial" w:hAnsi="Arial" w:cs="Arial"/>
          <w:sz w:val="20"/>
          <w:szCs w:val="20"/>
        </w:rPr>
      </w:pPr>
    </w:p>
    <w:p w14:paraId="3789C497" w14:textId="77777777" w:rsidR="00CA6C8D" w:rsidRDefault="00930C2A" w:rsidP="00CA6C8D">
      <w:pPr>
        <w:pStyle w:val="ListParagraph"/>
        <w:spacing w:after="0"/>
        <w:ind w:left="360"/>
        <w:rPr>
          <w:rFonts w:ascii="Arial" w:hAnsi="Arial" w:cs="Arial"/>
          <w:sz w:val="20"/>
          <w:szCs w:val="20"/>
        </w:rPr>
      </w:pPr>
      <w:r>
        <w:rPr>
          <w:rFonts w:ascii="Arial" w:hAnsi="Arial" w:cs="Arial"/>
          <w:sz w:val="20"/>
          <w:szCs w:val="20"/>
        </w:rPr>
        <w:t xml:space="preserve">The final deliverable will be a </w:t>
      </w:r>
      <w:r w:rsidR="00CA6C8D" w:rsidRPr="00CA6C8D">
        <w:rPr>
          <w:rFonts w:ascii="Arial" w:hAnsi="Arial" w:cs="Arial"/>
          <w:sz w:val="20"/>
          <w:szCs w:val="20"/>
        </w:rPr>
        <w:t>document detailing the recommendations and supporting reasoning resulting from subcom</w:t>
      </w:r>
      <w:r w:rsidR="0015132F">
        <w:rPr>
          <w:rFonts w:ascii="Arial" w:hAnsi="Arial" w:cs="Arial"/>
          <w:sz w:val="20"/>
          <w:szCs w:val="20"/>
        </w:rPr>
        <w:t>mittee discussion and consensus that will support parameter updates in the Residential Quality Installation workpaper. The document will include</w:t>
      </w:r>
      <w:r>
        <w:rPr>
          <w:rFonts w:ascii="Arial" w:hAnsi="Arial" w:cs="Arial"/>
          <w:sz w:val="20"/>
          <w:szCs w:val="20"/>
        </w:rPr>
        <w:t>:</w:t>
      </w:r>
    </w:p>
    <w:p w14:paraId="3B47AE18" w14:textId="77777777" w:rsidR="00930C2A" w:rsidRDefault="00930C2A" w:rsidP="00930C2A">
      <w:pPr>
        <w:pStyle w:val="ListParagraph"/>
        <w:numPr>
          <w:ilvl w:val="0"/>
          <w:numId w:val="4"/>
        </w:numPr>
        <w:spacing w:after="0"/>
        <w:rPr>
          <w:rFonts w:ascii="Arial" w:hAnsi="Arial" w:cs="Arial"/>
          <w:sz w:val="20"/>
          <w:szCs w:val="20"/>
        </w:rPr>
      </w:pPr>
      <w:r>
        <w:rPr>
          <w:rFonts w:ascii="Arial" w:hAnsi="Arial" w:cs="Arial"/>
          <w:sz w:val="20"/>
          <w:szCs w:val="20"/>
        </w:rPr>
        <w:t xml:space="preserve">A list of all </w:t>
      </w:r>
      <w:r w:rsidR="0015132F">
        <w:rPr>
          <w:rFonts w:ascii="Arial" w:hAnsi="Arial" w:cs="Arial"/>
          <w:sz w:val="20"/>
          <w:szCs w:val="20"/>
        </w:rPr>
        <w:t xml:space="preserve">data </w:t>
      </w:r>
      <w:r>
        <w:rPr>
          <w:rFonts w:ascii="Arial" w:hAnsi="Arial" w:cs="Arial"/>
          <w:sz w:val="20"/>
          <w:szCs w:val="20"/>
        </w:rPr>
        <w:t>sources</w:t>
      </w:r>
      <w:r w:rsidR="0015132F">
        <w:rPr>
          <w:rFonts w:ascii="Arial" w:hAnsi="Arial" w:cs="Arial"/>
          <w:sz w:val="20"/>
          <w:szCs w:val="20"/>
        </w:rPr>
        <w:t xml:space="preserve"> applicable to each performance parameters, with discussion of the merits and limitations of each source.</w:t>
      </w:r>
      <w:r w:rsidR="00560F71">
        <w:rPr>
          <w:rFonts w:ascii="Arial" w:hAnsi="Arial" w:cs="Arial"/>
          <w:sz w:val="20"/>
          <w:szCs w:val="20"/>
        </w:rPr>
        <w:t xml:space="preserve"> </w:t>
      </w:r>
    </w:p>
    <w:p w14:paraId="39623375" w14:textId="29A0F136" w:rsidR="00823342" w:rsidRPr="00E80F4F" w:rsidRDefault="0015132F" w:rsidP="00BF7956">
      <w:pPr>
        <w:pStyle w:val="ListParagraph"/>
        <w:numPr>
          <w:ilvl w:val="0"/>
          <w:numId w:val="4"/>
        </w:numPr>
        <w:spacing w:after="0"/>
        <w:rPr>
          <w:rFonts w:ascii="Arial" w:hAnsi="Arial" w:cs="Arial"/>
          <w:sz w:val="20"/>
          <w:szCs w:val="20"/>
        </w:rPr>
        <w:sectPr w:rsidR="00823342" w:rsidRPr="00E80F4F" w:rsidSect="00E15F16">
          <w:type w:val="continuous"/>
          <w:pgSz w:w="12240" w:h="15840"/>
          <w:pgMar w:top="1440" w:right="1440" w:bottom="1440" w:left="1440" w:header="720" w:footer="720" w:gutter="0"/>
          <w:cols w:space="720"/>
          <w:docGrid w:linePitch="360"/>
        </w:sectPr>
      </w:pPr>
      <w:r>
        <w:rPr>
          <w:rFonts w:ascii="Arial" w:hAnsi="Arial" w:cs="Arial"/>
          <w:sz w:val="20"/>
          <w:szCs w:val="20"/>
        </w:rPr>
        <w:t>Justification for the selection of the preferred data source for each performance parameters, with discussion of why other data sources were not selected.</w:t>
      </w:r>
    </w:p>
    <w:p w14:paraId="075CD112" w14:textId="77777777" w:rsidR="008A2530" w:rsidRDefault="008A2530" w:rsidP="00BF7956">
      <w:pPr>
        <w:spacing w:after="0"/>
        <w:rPr>
          <w:rFonts w:ascii="Arial" w:hAnsi="Arial" w:cs="Arial"/>
          <w:sz w:val="20"/>
          <w:szCs w:val="20"/>
        </w:rPr>
      </w:pPr>
    </w:p>
    <w:p w14:paraId="0ECD508C" w14:textId="77777777" w:rsidR="000D6169" w:rsidRPr="008A2530" w:rsidRDefault="000D6169" w:rsidP="008A2530">
      <w:pPr>
        <w:pStyle w:val="ListParagraph"/>
        <w:numPr>
          <w:ilvl w:val="0"/>
          <w:numId w:val="1"/>
        </w:numPr>
        <w:spacing w:after="0"/>
        <w:rPr>
          <w:rFonts w:ascii="Arial" w:hAnsi="Arial" w:cs="Arial"/>
          <w:b/>
          <w:sz w:val="20"/>
          <w:szCs w:val="20"/>
          <w:u w:val="single"/>
        </w:rPr>
      </w:pPr>
      <w:r w:rsidRPr="008A2530">
        <w:rPr>
          <w:rFonts w:ascii="Arial" w:hAnsi="Arial" w:cs="Arial"/>
          <w:b/>
          <w:sz w:val="20"/>
          <w:szCs w:val="20"/>
          <w:u w:val="single"/>
        </w:rPr>
        <w:t>Description of Issues</w:t>
      </w:r>
    </w:p>
    <w:p w14:paraId="7597B664" w14:textId="77777777" w:rsidR="00BF7956" w:rsidRDefault="0015132F" w:rsidP="008A2530">
      <w:pPr>
        <w:spacing w:after="0"/>
        <w:ind w:left="360"/>
        <w:rPr>
          <w:rFonts w:ascii="Arial" w:hAnsi="Arial" w:cs="Arial"/>
          <w:sz w:val="20"/>
          <w:szCs w:val="20"/>
        </w:rPr>
      </w:pPr>
      <w:r>
        <w:rPr>
          <w:rFonts w:ascii="Arial" w:hAnsi="Arial" w:cs="Arial"/>
          <w:sz w:val="20"/>
          <w:szCs w:val="20"/>
        </w:rPr>
        <w:t>Data sources for the</w:t>
      </w:r>
      <w:r w:rsidR="00823342">
        <w:rPr>
          <w:rFonts w:ascii="Arial" w:hAnsi="Arial" w:cs="Arial"/>
          <w:sz w:val="20"/>
          <w:szCs w:val="20"/>
        </w:rPr>
        <w:t xml:space="preserve"> </w:t>
      </w:r>
      <w:r w:rsidR="00930C2A">
        <w:rPr>
          <w:rFonts w:ascii="Arial" w:hAnsi="Arial" w:cs="Arial"/>
          <w:sz w:val="20"/>
          <w:szCs w:val="20"/>
        </w:rPr>
        <w:t xml:space="preserve">following </w:t>
      </w:r>
      <w:r>
        <w:rPr>
          <w:rFonts w:ascii="Arial" w:hAnsi="Arial" w:cs="Arial"/>
          <w:sz w:val="20"/>
          <w:szCs w:val="20"/>
        </w:rPr>
        <w:t xml:space="preserve">Residential HVAC Quality Installation </w:t>
      </w:r>
      <w:r w:rsidR="00930C2A">
        <w:rPr>
          <w:rFonts w:ascii="Arial" w:hAnsi="Arial" w:cs="Arial"/>
          <w:sz w:val="20"/>
          <w:szCs w:val="20"/>
        </w:rPr>
        <w:t>performance parameters</w:t>
      </w:r>
      <w:r>
        <w:rPr>
          <w:rFonts w:ascii="Arial" w:hAnsi="Arial" w:cs="Arial"/>
          <w:sz w:val="20"/>
          <w:szCs w:val="20"/>
        </w:rPr>
        <w:t xml:space="preserve"> will be identified. The subcommittee will recommend the most appropriate data source to inform these performance parameters for a workpaper revision.</w:t>
      </w:r>
    </w:p>
    <w:p w14:paraId="583D089F" w14:textId="77777777" w:rsidR="00823342" w:rsidRDefault="00823342" w:rsidP="008A2530">
      <w:pPr>
        <w:spacing w:after="0"/>
        <w:ind w:left="360"/>
        <w:rPr>
          <w:rFonts w:ascii="Arial" w:hAnsi="Arial" w:cs="Arial"/>
          <w:sz w:val="20"/>
          <w:szCs w:val="20"/>
        </w:rPr>
      </w:pPr>
    </w:p>
    <w:tbl>
      <w:tblPr>
        <w:tblW w:w="13329" w:type="dxa"/>
        <w:tblInd w:w="1" w:type="dxa"/>
        <w:tblLayout w:type="fixed"/>
        <w:tblCellMar>
          <w:left w:w="0" w:type="dxa"/>
          <w:right w:w="0" w:type="dxa"/>
        </w:tblCellMar>
        <w:tblLook w:val="0600" w:firstRow="0" w:lastRow="0" w:firstColumn="0" w:lastColumn="0" w:noHBand="1" w:noVBand="1"/>
      </w:tblPr>
      <w:tblGrid>
        <w:gridCol w:w="62"/>
        <w:gridCol w:w="580"/>
        <w:gridCol w:w="897"/>
        <w:gridCol w:w="1528"/>
        <w:gridCol w:w="1890"/>
        <w:gridCol w:w="1260"/>
        <w:gridCol w:w="3062"/>
        <w:gridCol w:w="4050"/>
      </w:tblGrid>
      <w:tr w:rsidR="002A26A6" w:rsidRPr="00823342" w14:paraId="6D68AA46" w14:textId="7991686F" w:rsidTr="00E80F4F">
        <w:trPr>
          <w:trHeight w:val="499"/>
        </w:trPr>
        <w:tc>
          <w:tcPr>
            <w:tcW w:w="62" w:type="dxa"/>
            <w:tcBorders>
              <w:top w:val="single" w:sz="8" w:space="0" w:color="FFFFFF"/>
              <w:left w:val="single" w:sz="8" w:space="0" w:color="FFFFFF"/>
              <w:bottom w:val="single" w:sz="8" w:space="0" w:color="FFFFFF"/>
              <w:right w:val="single" w:sz="8" w:space="0" w:color="141313"/>
            </w:tcBorders>
            <w:shd w:val="clear" w:color="auto" w:fill="D9D9D9" w:themeFill="background1" w:themeFillShade="D9"/>
            <w:tcMar>
              <w:top w:w="9" w:type="dxa"/>
              <w:left w:w="9" w:type="dxa"/>
              <w:bottom w:w="0" w:type="dxa"/>
              <w:right w:w="9" w:type="dxa"/>
            </w:tcMar>
            <w:vAlign w:val="center"/>
            <w:hideMark/>
          </w:tcPr>
          <w:p w14:paraId="3880A3FD" w14:textId="77777777" w:rsidR="002A26A6" w:rsidRPr="00823342" w:rsidRDefault="002A26A6" w:rsidP="00930C2A">
            <w:pPr>
              <w:spacing w:after="0"/>
              <w:ind w:left="360"/>
              <w:jc w:val="center"/>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D9D9D9" w:themeFill="background1" w:themeFillShade="D9"/>
            <w:tcMar>
              <w:top w:w="9" w:type="dxa"/>
              <w:left w:w="9" w:type="dxa"/>
              <w:bottom w:w="0" w:type="dxa"/>
              <w:right w:w="9" w:type="dxa"/>
            </w:tcMar>
            <w:vAlign w:val="center"/>
            <w:hideMark/>
          </w:tcPr>
          <w:p w14:paraId="3A1FEDCA" w14:textId="77777777" w:rsidR="002A26A6" w:rsidRPr="00823342" w:rsidRDefault="002A26A6" w:rsidP="0015132F">
            <w:pPr>
              <w:spacing w:after="0"/>
              <w:jc w:val="center"/>
              <w:rPr>
                <w:rFonts w:ascii="Arial" w:hAnsi="Arial" w:cs="Arial"/>
                <w:sz w:val="20"/>
                <w:szCs w:val="20"/>
              </w:rPr>
            </w:pPr>
            <w:r w:rsidRPr="00823342">
              <w:rPr>
                <w:rFonts w:ascii="Arial" w:hAnsi="Arial" w:cs="Arial"/>
                <w:b/>
                <w:bCs/>
                <w:sz w:val="20"/>
                <w:szCs w:val="20"/>
              </w:rPr>
              <w:t>ID</w:t>
            </w:r>
          </w:p>
        </w:tc>
        <w:tc>
          <w:tcPr>
            <w:tcW w:w="897" w:type="dxa"/>
            <w:tcBorders>
              <w:top w:val="single" w:sz="8" w:space="0" w:color="141313"/>
              <w:left w:val="single" w:sz="8" w:space="0" w:color="141313"/>
              <w:bottom w:val="single" w:sz="8" w:space="0" w:color="141313"/>
              <w:right w:val="single" w:sz="8" w:space="0" w:color="141313"/>
            </w:tcBorders>
            <w:shd w:val="clear" w:color="auto" w:fill="D9D9D9" w:themeFill="background1" w:themeFillShade="D9"/>
            <w:vAlign w:val="center"/>
          </w:tcPr>
          <w:p w14:paraId="5653BB06" w14:textId="3E83D0DA" w:rsidR="002A26A6" w:rsidRPr="00823342" w:rsidRDefault="002A26A6" w:rsidP="00DA27E0">
            <w:pPr>
              <w:spacing w:after="0"/>
              <w:jc w:val="center"/>
              <w:rPr>
                <w:rFonts w:ascii="Arial" w:hAnsi="Arial" w:cs="Arial"/>
                <w:b/>
                <w:bCs/>
                <w:sz w:val="20"/>
                <w:szCs w:val="20"/>
              </w:rPr>
            </w:pPr>
            <w:r>
              <w:rPr>
                <w:rFonts w:ascii="Arial" w:hAnsi="Arial" w:cs="Arial"/>
                <w:b/>
                <w:bCs/>
                <w:sz w:val="20"/>
                <w:szCs w:val="20"/>
              </w:rPr>
              <w:t>Impact</w:t>
            </w:r>
          </w:p>
        </w:tc>
        <w:tc>
          <w:tcPr>
            <w:tcW w:w="1528" w:type="dxa"/>
            <w:tcBorders>
              <w:top w:val="single" w:sz="8" w:space="0" w:color="141313"/>
              <w:left w:val="single" w:sz="8" w:space="0" w:color="141313"/>
              <w:bottom w:val="single" w:sz="8" w:space="0" w:color="141313"/>
              <w:right w:val="single" w:sz="8" w:space="0" w:color="141313"/>
            </w:tcBorders>
            <w:shd w:val="clear" w:color="auto" w:fill="D9D9D9" w:themeFill="background1" w:themeFillShade="D9"/>
            <w:tcMar>
              <w:top w:w="9" w:type="dxa"/>
              <w:left w:w="9" w:type="dxa"/>
              <w:bottom w:w="0" w:type="dxa"/>
              <w:right w:w="9" w:type="dxa"/>
            </w:tcMar>
            <w:vAlign w:val="center"/>
            <w:hideMark/>
          </w:tcPr>
          <w:p w14:paraId="75F21FCB" w14:textId="15115E1A" w:rsidR="002A26A6" w:rsidRPr="00823342" w:rsidRDefault="002A26A6" w:rsidP="0015132F">
            <w:pPr>
              <w:spacing w:after="0"/>
              <w:jc w:val="center"/>
              <w:rPr>
                <w:rFonts w:ascii="Arial" w:hAnsi="Arial" w:cs="Arial"/>
                <w:sz w:val="20"/>
                <w:szCs w:val="20"/>
              </w:rPr>
            </w:pPr>
            <w:r w:rsidRPr="00823342">
              <w:rPr>
                <w:rFonts w:ascii="Arial" w:hAnsi="Arial" w:cs="Arial"/>
                <w:b/>
                <w:bCs/>
                <w:sz w:val="20"/>
                <w:szCs w:val="20"/>
              </w:rPr>
              <w:t>Evaluated Parameter</w:t>
            </w:r>
          </w:p>
        </w:tc>
        <w:tc>
          <w:tcPr>
            <w:tcW w:w="1890" w:type="dxa"/>
            <w:tcBorders>
              <w:top w:val="single" w:sz="8" w:space="0" w:color="141313"/>
              <w:left w:val="single" w:sz="8" w:space="0" w:color="141313"/>
              <w:bottom w:val="single" w:sz="8" w:space="0" w:color="141313"/>
              <w:right w:val="single" w:sz="8" w:space="0" w:color="141313"/>
            </w:tcBorders>
            <w:shd w:val="clear" w:color="auto" w:fill="D9D9D9" w:themeFill="background1" w:themeFillShade="D9"/>
            <w:tcMar>
              <w:top w:w="9" w:type="dxa"/>
              <w:left w:w="9" w:type="dxa"/>
              <w:bottom w:w="0" w:type="dxa"/>
              <w:right w:w="9" w:type="dxa"/>
            </w:tcMar>
            <w:vAlign w:val="center"/>
            <w:hideMark/>
          </w:tcPr>
          <w:p w14:paraId="64BA9E8A" w14:textId="77777777" w:rsidR="002A26A6" w:rsidRPr="00823342" w:rsidRDefault="002A26A6" w:rsidP="0015132F">
            <w:pPr>
              <w:spacing w:after="0"/>
              <w:jc w:val="center"/>
              <w:rPr>
                <w:rFonts w:ascii="Arial" w:hAnsi="Arial" w:cs="Arial"/>
                <w:sz w:val="20"/>
                <w:szCs w:val="20"/>
              </w:rPr>
            </w:pPr>
            <w:r w:rsidRPr="00823342">
              <w:rPr>
                <w:rFonts w:ascii="Arial" w:hAnsi="Arial" w:cs="Arial"/>
                <w:b/>
                <w:bCs/>
                <w:sz w:val="20"/>
                <w:szCs w:val="20"/>
              </w:rPr>
              <w:t>General Parameters</w:t>
            </w:r>
          </w:p>
        </w:tc>
        <w:tc>
          <w:tcPr>
            <w:tcW w:w="1260" w:type="dxa"/>
            <w:tcBorders>
              <w:top w:val="single" w:sz="8" w:space="0" w:color="141313"/>
              <w:left w:val="single" w:sz="8" w:space="0" w:color="141313"/>
              <w:bottom w:val="single" w:sz="8" w:space="0" w:color="141313"/>
              <w:right w:val="single" w:sz="8" w:space="0" w:color="141313"/>
            </w:tcBorders>
            <w:shd w:val="clear" w:color="auto" w:fill="D9D9D9" w:themeFill="background1" w:themeFillShade="D9"/>
            <w:tcMar>
              <w:top w:w="9" w:type="dxa"/>
              <w:left w:w="9" w:type="dxa"/>
              <w:bottom w:w="0" w:type="dxa"/>
              <w:right w:w="9" w:type="dxa"/>
            </w:tcMar>
            <w:vAlign w:val="center"/>
            <w:hideMark/>
          </w:tcPr>
          <w:p w14:paraId="2FA1BA9D" w14:textId="77777777" w:rsidR="002A26A6" w:rsidRPr="00823342" w:rsidRDefault="002A26A6" w:rsidP="0015132F">
            <w:pPr>
              <w:spacing w:after="0"/>
              <w:jc w:val="center"/>
              <w:rPr>
                <w:rFonts w:ascii="Arial" w:hAnsi="Arial" w:cs="Arial"/>
                <w:sz w:val="20"/>
                <w:szCs w:val="20"/>
              </w:rPr>
            </w:pPr>
            <w:r w:rsidRPr="00823342">
              <w:rPr>
                <w:rFonts w:ascii="Arial" w:hAnsi="Arial" w:cs="Arial"/>
                <w:b/>
                <w:bCs/>
                <w:sz w:val="20"/>
                <w:szCs w:val="20"/>
              </w:rPr>
              <w:t>Keyword</w:t>
            </w:r>
          </w:p>
        </w:tc>
        <w:tc>
          <w:tcPr>
            <w:tcW w:w="3062" w:type="dxa"/>
            <w:tcBorders>
              <w:top w:val="single" w:sz="8" w:space="0" w:color="141313"/>
              <w:left w:val="single" w:sz="8" w:space="0" w:color="141313"/>
              <w:bottom w:val="single" w:sz="8" w:space="0" w:color="141313"/>
              <w:right w:val="single" w:sz="8" w:space="0" w:color="141313"/>
            </w:tcBorders>
            <w:shd w:val="clear" w:color="auto" w:fill="D9D9D9" w:themeFill="background1" w:themeFillShade="D9"/>
            <w:tcMar>
              <w:top w:w="9" w:type="dxa"/>
              <w:left w:w="9" w:type="dxa"/>
              <w:bottom w:w="0" w:type="dxa"/>
              <w:right w:w="9" w:type="dxa"/>
            </w:tcMar>
            <w:vAlign w:val="center"/>
            <w:hideMark/>
          </w:tcPr>
          <w:p w14:paraId="6A80E1F0" w14:textId="1B2F1380" w:rsidR="002A26A6" w:rsidRPr="00823342" w:rsidRDefault="002A26A6" w:rsidP="00E42182">
            <w:pPr>
              <w:spacing w:before="2" w:after="2"/>
              <w:ind w:left="144" w:right="144"/>
              <w:jc w:val="center"/>
              <w:rPr>
                <w:rFonts w:ascii="Arial" w:hAnsi="Arial" w:cs="Arial"/>
                <w:sz w:val="20"/>
                <w:szCs w:val="20"/>
              </w:rPr>
            </w:pPr>
            <w:r>
              <w:rPr>
                <w:rFonts w:ascii="Arial" w:hAnsi="Arial" w:cs="Arial"/>
                <w:b/>
                <w:bCs/>
                <w:sz w:val="20"/>
                <w:szCs w:val="20"/>
              </w:rPr>
              <w:t>Current WP Source</w:t>
            </w:r>
          </w:p>
        </w:tc>
        <w:tc>
          <w:tcPr>
            <w:tcW w:w="4050" w:type="dxa"/>
            <w:tcBorders>
              <w:top w:val="single" w:sz="8" w:space="0" w:color="141313"/>
              <w:left w:val="single" w:sz="8" w:space="0" w:color="141313"/>
              <w:bottom w:val="single" w:sz="8" w:space="0" w:color="141313"/>
              <w:right w:val="single" w:sz="8" w:space="0" w:color="141313"/>
            </w:tcBorders>
            <w:shd w:val="clear" w:color="auto" w:fill="D9D9D9" w:themeFill="background1" w:themeFillShade="D9"/>
            <w:vAlign w:val="center"/>
          </w:tcPr>
          <w:p w14:paraId="5A605E63" w14:textId="220012C1" w:rsidR="002A26A6" w:rsidRDefault="002A26A6" w:rsidP="00E42182">
            <w:pPr>
              <w:spacing w:before="2" w:after="2"/>
              <w:ind w:left="144" w:right="144"/>
              <w:jc w:val="center"/>
              <w:rPr>
                <w:rFonts w:ascii="Arial" w:hAnsi="Arial" w:cs="Arial"/>
                <w:b/>
                <w:bCs/>
                <w:sz w:val="20"/>
                <w:szCs w:val="20"/>
              </w:rPr>
            </w:pPr>
            <w:r>
              <w:rPr>
                <w:rFonts w:ascii="Arial" w:hAnsi="Arial" w:cs="Arial"/>
                <w:b/>
                <w:bCs/>
                <w:sz w:val="20"/>
                <w:szCs w:val="20"/>
              </w:rPr>
              <w:t>Other Sources to Consider</w:t>
            </w:r>
          </w:p>
        </w:tc>
      </w:tr>
      <w:tr w:rsidR="002A26A6" w:rsidRPr="00823342" w14:paraId="1735D781" w14:textId="3E11E3BE" w:rsidTr="00E80F4F">
        <w:trPr>
          <w:trHeight w:val="744"/>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63592375" w14:textId="77777777"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6DB22C39" w14:textId="77777777" w:rsidR="002A26A6" w:rsidRPr="00823342" w:rsidRDefault="002A26A6" w:rsidP="0015132F">
            <w:pPr>
              <w:spacing w:after="0"/>
              <w:jc w:val="center"/>
              <w:rPr>
                <w:rFonts w:ascii="Arial" w:hAnsi="Arial" w:cs="Arial"/>
                <w:sz w:val="20"/>
                <w:szCs w:val="20"/>
              </w:rPr>
            </w:pPr>
            <w:r w:rsidRPr="00823342">
              <w:rPr>
                <w:rFonts w:ascii="Arial" w:hAnsi="Arial" w:cs="Arial"/>
                <w:sz w:val="20"/>
                <w:szCs w:val="20"/>
              </w:rPr>
              <w:t>1</w:t>
            </w:r>
          </w:p>
        </w:tc>
        <w:tc>
          <w:tcPr>
            <w:tcW w:w="897" w:type="dxa"/>
            <w:tcBorders>
              <w:top w:val="single" w:sz="8" w:space="0" w:color="141313"/>
              <w:left w:val="single" w:sz="8" w:space="0" w:color="141313"/>
              <w:bottom w:val="single" w:sz="8" w:space="0" w:color="141313"/>
              <w:right w:val="single" w:sz="8" w:space="0" w:color="141313"/>
            </w:tcBorders>
            <w:vAlign w:val="center"/>
          </w:tcPr>
          <w:p w14:paraId="19502DDC" w14:textId="04B28DC8" w:rsidR="002A26A6" w:rsidRPr="002A26A6" w:rsidRDefault="002A26A6" w:rsidP="00DA27E0">
            <w:pPr>
              <w:spacing w:after="0"/>
              <w:jc w:val="center"/>
              <w:rPr>
                <w:rFonts w:ascii="Arial" w:hAnsi="Arial" w:cs="Arial"/>
                <w:bCs/>
                <w:sz w:val="20"/>
                <w:szCs w:val="20"/>
              </w:rPr>
            </w:pPr>
            <w:r>
              <w:rPr>
                <w:rFonts w:ascii="Arial" w:hAnsi="Arial" w:cs="Arial"/>
                <w:bCs/>
                <w:sz w:val="20"/>
                <w:szCs w:val="20"/>
              </w:rPr>
              <w:t>High Impact</w:t>
            </w: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6CC98AED" w14:textId="653ABC21" w:rsidR="002A26A6" w:rsidRDefault="002A26A6" w:rsidP="0015132F">
            <w:pPr>
              <w:spacing w:after="0"/>
              <w:rPr>
                <w:rFonts w:ascii="Arial" w:hAnsi="Arial" w:cs="Arial"/>
                <w:b/>
                <w:bCs/>
                <w:sz w:val="20"/>
                <w:szCs w:val="20"/>
              </w:rPr>
            </w:pPr>
            <w:r w:rsidRPr="00823342">
              <w:rPr>
                <w:rFonts w:ascii="Arial" w:hAnsi="Arial" w:cs="Arial"/>
                <w:b/>
                <w:bCs/>
                <w:sz w:val="20"/>
                <w:szCs w:val="20"/>
              </w:rPr>
              <w:t>Flow Performance</w:t>
            </w:r>
          </w:p>
          <w:p w14:paraId="5A9DA7A6" w14:textId="77777777" w:rsidR="002A26A6" w:rsidRDefault="002A26A6" w:rsidP="0015132F">
            <w:pPr>
              <w:spacing w:after="0"/>
              <w:rPr>
                <w:rFonts w:ascii="Arial" w:hAnsi="Arial" w:cs="Arial"/>
                <w:b/>
                <w:bCs/>
                <w:sz w:val="20"/>
                <w:szCs w:val="20"/>
              </w:rPr>
            </w:pPr>
          </w:p>
          <w:p w14:paraId="6757760C" w14:textId="6D357673" w:rsidR="002A26A6" w:rsidRPr="00823342" w:rsidRDefault="002A26A6" w:rsidP="0015132F">
            <w:pPr>
              <w:spacing w:after="0"/>
              <w:rPr>
                <w:rFonts w:ascii="Arial" w:hAnsi="Arial" w:cs="Arial"/>
                <w:sz w:val="20"/>
                <w:szCs w:val="20"/>
              </w:rPr>
            </w:pPr>
            <w:r w:rsidRPr="00823342">
              <w:rPr>
                <w:rFonts w:ascii="Arial" w:hAnsi="Arial" w:cs="Arial"/>
                <w:b/>
                <w:bCs/>
                <w:sz w:val="20"/>
                <w:szCs w:val="20"/>
              </w:rPr>
              <w:t xml:space="preserve">kW/CFM </w:t>
            </w:r>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158A791"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 xml:space="preserve">Design full-load power of the supply fan per unit of supply airflow - Fan power; System airflow </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50CE3C4F"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SUPPLY-KW/FLOW</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0A1F6743" w14:textId="77777777" w:rsidR="002A26A6" w:rsidRDefault="00ED329A" w:rsidP="00E42182">
            <w:pPr>
              <w:spacing w:before="2" w:after="2"/>
              <w:ind w:left="144" w:right="144"/>
              <w:rPr>
                <w:rFonts w:ascii="Arial" w:hAnsi="Arial" w:cs="Arial"/>
                <w:sz w:val="20"/>
                <w:szCs w:val="20"/>
                <w:lang w:val="de-DE"/>
              </w:rPr>
            </w:pPr>
            <w:hyperlink r:id="rId28" w:history="1">
              <w:r w:rsidR="002A26A6" w:rsidRPr="00D93D6C">
                <w:rPr>
                  <w:rStyle w:val="Hyperlink"/>
                  <w:rFonts w:ascii="Arial" w:hAnsi="Arial" w:cs="Arial"/>
                  <w:sz w:val="20"/>
                  <w:szCs w:val="20"/>
                  <w:lang w:val="de-DE"/>
                </w:rPr>
                <w:t>DEER</w:t>
              </w:r>
            </w:hyperlink>
            <w:r w:rsidR="002A26A6">
              <w:rPr>
                <w:rFonts w:ascii="Arial" w:hAnsi="Arial" w:cs="Arial"/>
                <w:sz w:val="20"/>
                <w:szCs w:val="20"/>
                <w:lang w:val="de-DE"/>
              </w:rPr>
              <w:t xml:space="preserve"> [1] [2]</w:t>
            </w:r>
          </w:p>
          <w:p w14:paraId="22FC6E51" w14:textId="77777777" w:rsidR="002A26A6" w:rsidRPr="00D93D6C" w:rsidRDefault="002A26A6" w:rsidP="00E42182">
            <w:pPr>
              <w:spacing w:before="2" w:after="2"/>
              <w:ind w:left="144" w:right="144"/>
              <w:rPr>
                <w:rFonts w:ascii="Arial" w:hAnsi="Arial" w:cs="Arial"/>
                <w:sz w:val="16"/>
                <w:szCs w:val="16"/>
              </w:rPr>
            </w:pPr>
            <w:r w:rsidRPr="00D93D6C">
              <w:rPr>
                <w:rFonts w:ascii="Arial" w:hAnsi="Arial" w:cs="Arial"/>
                <w:sz w:val="16"/>
                <w:szCs w:val="16"/>
              </w:rPr>
              <w:t>KW/cfm - Design full load power of the supply fan per unit of supply air flow rate.  Note that in the DEER SFM prototype this parameter is defaulted to 0.000365 kW/cfm</w:t>
            </w:r>
          </w:p>
          <w:p w14:paraId="1C206CD8" w14:textId="77777777" w:rsidR="002A26A6" w:rsidRDefault="002A26A6" w:rsidP="00E42182">
            <w:pPr>
              <w:spacing w:before="2" w:after="2"/>
              <w:ind w:left="144" w:right="144"/>
              <w:rPr>
                <w:rFonts w:ascii="Arial" w:hAnsi="Arial" w:cs="Arial"/>
                <w:sz w:val="20"/>
                <w:szCs w:val="20"/>
                <w:lang w:val="de-DE"/>
              </w:rPr>
            </w:pPr>
          </w:p>
          <w:p w14:paraId="71C92C56" w14:textId="77777777" w:rsidR="002A26A6" w:rsidRDefault="00ED329A" w:rsidP="00E42182">
            <w:pPr>
              <w:spacing w:before="2" w:after="2"/>
              <w:ind w:left="144" w:right="144"/>
              <w:rPr>
                <w:rFonts w:ascii="Arial" w:hAnsi="Arial" w:cs="Arial"/>
                <w:sz w:val="20"/>
                <w:szCs w:val="20"/>
                <w:lang w:val="de-DE"/>
              </w:rPr>
            </w:pPr>
            <w:hyperlink r:id="rId29" w:history="1">
              <w:r w:rsidR="002A26A6" w:rsidRPr="00D93D6C">
                <w:rPr>
                  <w:rStyle w:val="Hyperlink"/>
                  <w:rFonts w:ascii="Arial" w:hAnsi="Arial" w:cs="Arial"/>
                  <w:sz w:val="20"/>
                  <w:szCs w:val="20"/>
                  <w:lang w:val="de-DE"/>
                </w:rPr>
                <w:t>Proctor study</w:t>
              </w:r>
            </w:hyperlink>
            <w:r w:rsidR="002A26A6">
              <w:rPr>
                <w:rFonts w:ascii="Arial" w:hAnsi="Arial" w:cs="Arial"/>
                <w:sz w:val="20"/>
                <w:szCs w:val="20"/>
                <w:lang w:val="de-DE"/>
              </w:rPr>
              <w:t xml:space="preserve"> [3]</w:t>
            </w:r>
          </w:p>
          <w:p w14:paraId="12EC884E" w14:textId="03EF6B3B" w:rsidR="002A26A6" w:rsidRPr="00823342" w:rsidRDefault="002A26A6" w:rsidP="00E42182">
            <w:pPr>
              <w:spacing w:before="2" w:after="2"/>
              <w:ind w:left="144" w:right="144"/>
              <w:rPr>
                <w:rFonts w:ascii="Arial" w:hAnsi="Arial" w:cs="Arial"/>
                <w:sz w:val="20"/>
                <w:szCs w:val="20"/>
              </w:rPr>
            </w:pPr>
          </w:p>
        </w:tc>
        <w:tc>
          <w:tcPr>
            <w:tcW w:w="4050" w:type="dxa"/>
            <w:tcBorders>
              <w:top w:val="single" w:sz="8" w:space="0" w:color="141313"/>
              <w:left w:val="single" w:sz="8" w:space="0" w:color="141313"/>
              <w:bottom w:val="single" w:sz="8" w:space="0" w:color="141313"/>
              <w:right w:val="single" w:sz="8" w:space="0" w:color="141313"/>
            </w:tcBorders>
          </w:tcPr>
          <w:p w14:paraId="265064CE" w14:textId="77777777" w:rsidR="002A26A6" w:rsidRDefault="00ED329A" w:rsidP="00E42182">
            <w:pPr>
              <w:spacing w:before="2" w:after="2"/>
              <w:ind w:left="144" w:right="144"/>
              <w:rPr>
                <w:rFonts w:ascii="Arial" w:hAnsi="Arial" w:cs="Arial"/>
                <w:sz w:val="20"/>
                <w:szCs w:val="20"/>
                <w:lang w:val="de-DE"/>
              </w:rPr>
            </w:pPr>
            <w:hyperlink r:id="rId30" w:history="1">
              <w:r w:rsidR="002A26A6" w:rsidRPr="00D93D6C">
                <w:rPr>
                  <w:rStyle w:val="Hyperlink"/>
                  <w:rFonts w:ascii="Arial" w:hAnsi="Arial" w:cs="Arial"/>
                  <w:sz w:val="20"/>
                  <w:szCs w:val="20"/>
                  <w:lang w:val="de-DE"/>
                </w:rPr>
                <w:t>WO32</w:t>
              </w:r>
            </w:hyperlink>
            <w:r w:rsidR="002A26A6">
              <w:rPr>
                <w:rFonts w:ascii="Arial" w:hAnsi="Arial" w:cs="Arial"/>
                <w:sz w:val="20"/>
                <w:szCs w:val="20"/>
                <w:lang w:val="de-DE"/>
              </w:rPr>
              <w:t xml:space="preserve"> [11]</w:t>
            </w:r>
          </w:p>
          <w:p w14:paraId="4F5AB974" w14:textId="4BCBBC94" w:rsidR="002A26A6" w:rsidRPr="002A26A6" w:rsidRDefault="002A26A6" w:rsidP="00E42182">
            <w:pPr>
              <w:spacing w:before="2" w:after="2"/>
              <w:ind w:left="144" w:right="144"/>
              <w:rPr>
                <w:rFonts w:ascii="Arial" w:hAnsi="Arial" w:cs="Arial"/>
                <w:sz w:val="16"/>
                <w:szCs w:val="16"/>
              </w:rPr>
            </w:pPr>
            <w:r w:rsidRPr="00D93D6C">
              <w:rPr>
                <w:rFonts w:ascii="Arial" w:hAnsi="Arial" w:cs="Arial"/>
                <w:sz w:val="16"/>
                <w:szCs w:val="16"/>
              </w:rPr>
              <w:t>Evaluation when possible measured fan power in cooling and either heating or fan-only modes.  This difference may be partially due to the fact that QI participants also installed high efficiency units with more efficient fans.  This aspect, however, was not studied as the focus was on the QI aspects not the unit efficiency and fan motor efficiency. Additional information on static pressure, fan settings, and design airflow were not part of the analysis, but collected and documented in WO32 - Appendix C.</w:t>
            </w:r>
          </w:p>
        </w:tc>
      </w:tr>
      <w:tr w:rsidR="002A26A6" w:rsidRPr="00823342" w14:paraId="4EC37AB3" w14:textId="66897147" w:rsidTr="00E80F4F">
        <w:trPr>
          <w:trHeight w:val="499"/>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07992810" w14:textId="7062D011"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19A2AA22" w14:textId="77777777" w:rsidR="002A26A6" w:rsidRPr="00823342" w:rsidRDefault="002A26A6" w:rsidP="0015132F">
            <w:pPr>
              <w:spacing w:after="0"/>
              <w:jc w:val="center"/>
              <w:rPr>
                <w:rFonts w:ascii="Arial" w:hAnsi="Arial" w:cs="Arial"/>
                <w:sz w:val="20"/>
                <w:szCs w:val="20"/>
              </w:rPr>
            </w:pPr>
            <w:r w:rsidRPr="00823342">
              <w:rPr>
                <w:rFonts w:ascii="Arial" w:hAnsi="Arial" w:cs="Arial"/>
                <w:sz w:val="20"/>
                <w:szCs w:val="20"/>
              </w:rPr>
              <w:t>2</w:t>
            </w:r>
          </w:p>
        </w:tc>
        <w:tc>
          <w:tcPr>
            <w:tcW w:w="897" w:type="dxa"/>
            <w:tcBorders>
              <w:top w:val="single" w:sz="8" w:space="0" w:color="141313"/>
              <w:left w:val="single" w:sz="8" w:space="0" w:color="141313"/>
              <w:bottom w:val="single" w:sz="8" w:space="0" w:color="141313"/>
              <w:right w:val="single" w:sz="8" w:space="0" w:color="141313"/>
            </w:tcBorders>
            <w:vAlign w:val="center"/>
          </w:tcPr>
          <w:p w14:paraId="6758622E" w14:textId="48BF78EA" w:rsidR="002A26A6" w:rsidRDefault="002A26A6" w:rsidP="00DA27E0">
            <w:pPr>
              <w:spacing w:after="0"/>
              <w:jc w:val="center"/>
              <w:rPr>
                <w:rFonts w:ascii="Arial" w:hAnsi="Arial" w:cs="Arial"/>
                <w:b/>
                <w:bCs/>
                <w:sz w:val="20"/>
                <w:szCs w:val="20"/>
              </w:rPr>
            </w:pPr>
            <w:r>
              <w:rPr>
                <w:rFonts w:ascii="Arial" w:hAnsi="Arial" w:cs="Arial"/>
                <w:bCs/>
                <w:sz w:val="20"/>
                <w:szCs w:val="20"/>
              </w:rPr>
              <w:t>High Impact</w:t>
            </w: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429B5C08" w14:textId="33FC0BAB" w:rsidR="002A26A6" w:rsidRDefault="002A26A6" w:rsidP="0015132F">
            <w:pPr>
              <w:spacing w:after="0"/>
              <w:rPr>
                <w:rFonts w:ascii="Arial" w:hAnsi="Arial" w:cs="Arial"/>
                <w:b/>
                <w:bCs/>
                <w:sz w:val="20"/>
                <w:szCs w:val="20"/>
              </w:rPr>
            </w:pPr>
            <w:r>
              <w:rPr>
                <w:rFonts w:ascii="Arial" w:hAnsi="Arial" w:cs="Arial"/>
                <w:b/>
                <w:bCs/>
                <w:sz w:val="20"/>
                <w:szCs w:val="20"/>
              </w:rPr>
              <w:t>Airf</w:t>
            </w:r>
            <w:r w:rsidRPr="00823342">
              <w:rPr>
                <w:rFonts w:ascii="Arial" w:hAnsi="Arial" w:cs="Arial"/>
                <w:b/>
                <w:bCs/>
                <w:sz w:val="20"/>
                <w:szCs w:val="20"/>
              </w:rPr>
              <w:t xml:space="preserve">low capacity </w:t>
            </w:r>
          </w:p>
          <w:p w14:paraId="5D268508" w14:textId="77777777" w:rsidR="002A26A6" w:rsidRDefault="002A26A6" w:rsidP="0015132F">
            <w:pPr>
              <w:spacing w:after="0"/>
              <w:rPr>
                <w:rFonts w:ascii="Arial" w:hAnsi="Arial" w:cs="Arial"/>
                <w:b/>
                <w:bCs/>
                <w:sz w:val="20"/>
                <w:szCs w:val="20"/>
              </w:rPr>
            </w:pPr>
          </w:p>
          <w:p w14:paraId="1065964C" w14:textId="29CA73DA" w:rsidR="002A26A6" w:rsidRPr="00823342" w:rsidRDefault="002A26A6" w:rsidP="0015132F">
            <w:pPr>
              <w:spacing w:after="0"/>
              <w:rPr>
                <w:rFonts w:ascii="Arial" w:hAnsi="Arial" w:cs="Arial"/>
                <w:sz w:val="20"/>
                <w:szCs w:val="20"/>
              </w:rPr>
            </w:pPr>
            <w:r w:rsidRPr="00823342">
              <w:rPr>
                <w:rFonts w:ascii="Arial" w:hAnsi="Arial" w:cs="Arial"/>
                <w:b/>
                <w:bCs/>
                <w:sz w:val="20"/>
                <w:szCs w:val="20"/>
              </w:rPr>
              <w:t>CFM/Ton</w:t>
            </w:r>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443A113"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System airflow; system delivery capacity; system (ARI) rated capacity</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496207A7"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0ADBE154" w14:textId="77777777" w:rsidR="002A26A6" w:rsidRDefault="002A26A6" w:rsidP="00E42182">
            <w:pPr>
              <w:spacing w:before="2" w:after="2"/>
              <w:ind w:left="144" w:right="144"/>
              <w:rPr>
                <w:rFonts w:ascii="Arial" w:hAnsi="Arial" w:cs="Arial"/>
                <w:sz w:val="20"/>
                <w:szCs w:val="20"/>
                <w:lang w:val="de-DE"/>
              </w:rPr>
            </w:pPr>
          </w:p>
          <w:p w14:paraId="21B055F3" w14:textId="77777777" w:rsidR="002A26A6" w:rsidRDefault="00ED329A" w:rsidP="00E42182">
            <w:pPr>
              <w:spacing w:before="2" w:after="2"/>
              <w:ind w:left="144" w:right="144"/>
              <w:rPr>
                <w:rFonts w:ascii="Arial" w:hAnsi="Arial" w:cs="Arial"/>
                <w:sz w:val="20"/>
                <w:szCs w:val="20"/>
                <w:lang w:val="de-DE"/>
              </w:rPr>
            </w:pPr>
            <w:hyperlink r:id="rId31" w:history="1">
              <w:r w:rsidR="002A26A6" w:rsidRPr="00D93D6C">
                <w:rPr>
                  <w:rStyle w:val="Hyperlink"/>
                  <w:rFonts w:ascii="Arial" w:hAnsi="Arial" w:cs="Arial"/>
                  <w:sz w:val="20"/>
                  <w:szCs w:val="20"/>
                  <w:lang w:val="de-DE"/>
                </w:rPr>
                <w:t>Proctor study</w:t>
              </w:r>
            </w:hyperlink>
            <w:r w:rsidR="002A26A6">
              <w:rPr>
                <w:rFonts w:ascii="Arial" w:hAnsi="Arial" w:cs="Arial"/>
                <w:sz w:val="20"/>
                <w:szCs w:val="20"/>
                <w:lang w:val="de-DE"/>
              </w:rPr>
              <w:t xml:space="preserve"> [3]</w:t>
            </w:r>
          </w:p>
          <w:p w14:paraId="4532256D" w14:textId="77777777"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 xml:space="preserve">Referenced study suggests that design flow capacity (cfm) in Measure Case may be lower than the “standard” 400 cfm/ton (e.g., in the order of 340 cfm/ton in new California homes) assumed in the analysis of the measure. </w:t>
            </w:r>
          </w:p>
          <w:p w14:paraId="4920D6B8" w14:textId="77777777" w:rsidR="002A26A6" w:rsidRDefault="002A26A6" w:rsidP="00E42182">
            <w:pPr>
              <w:spacing w:before="2" w:after="2"/>
              <w:ind w:left="144" w:right="144"/>
              <w:rPr>
                <w:rFonts w:ascii="Arial" w:hAnsi="Arial" w:cs="Arial"/>
                <w:i/>
                <w:sz w:val="20"/>
                <w:szCs w:val="20"/>
                <w:u w:val="single"/>
                <w:lang w:val="de-DE"/>
              </w:rPr>
            </w:pPr>
          </w:p>
          <w:p w14:paraId="50CC7579" w14:textId="6F6530B5" w:rsidR="002A26A6" w:rsidRPr="00823342" w:rsidRDefault="002A26A6" w:rsidP="00E42182">
            <w:pPr>
              <w:spacing w:before="2" w:after="2"/>
              <w:ind w:left="144" w:right="144"/>
              <w:rPr>
                <w:rFonts w:ascii="Arial" w:hAnsi="Arial" w:cs="Arial"/>
                <w:sz w:val="20"/>
                <w:szCs w:val="20"/>
              </w:rPr>
            </w:pPr>
          </w:p>
        </w:tc>
        <w:tc>
          <w:tcPr>
            <w:tcW w:w="4050" w:type="dxa"/>
            <w:tcBorders>
              <w:top w:val="single" w:sz="8" w:space="0" w:color="141313"/>
              <w:left w:val="single" w:sz="8" w:space="0" w:color="141313"/>
              <w:bottom w:val="single" w:sz="8" w:space="0" w:color="141313"/>
              <w:right w:val="single" w:sz="8" w:space="0" w:color="141313"/>
            </w:tcBorders>
          </w:tcPr>
          <w:p w14:paraId="451625EA" w14:textId="77777777" w:rsidR="002A26A6" w:rsidRDefault="002A26A6" w:rsidP="00E42182">
            <w:pPr>
              <w:spacing w:before="2" w:after="2"/>
              <w:ind w:left="144" w:right="144"/>
              <w:rPr>
                <w:rFonts w:ascii="Arial" w:hAnsi="Arial" w:cs="Arial"/>
                <w:sz w:val="20"/>
                <w:szCs w:val="20"/>
                <w:lang w:val="de-DE"/>
              </w:rPr>
            </w:pPr>
          </w:p>
          <w:p w14:paraId="180A7E47" w14:textId="77777777" w:rsidR="002A26A6" w:rsidRDefault="00ED329A" w:rsidP="00E42182">
            <w:pPr>
              <w:spacing w:before="2" w:after="2"/>
              <w:ind w:left="144" w:right="144"/>
              <w:rPr>
                <w:rFonts w:ascii="Arial" w:hAnsi="Arial" w:cs="Arial"/>
                <w:sz w:val="20"/>
                <w:szCs w:val="20"/>
                <w:lang w:val="de-DE"/>
              </w:rPr>
            </w:pPr>
            <w:hyperlink r:id="rId32" w:history="1">
              <w:r w:rsidR="002A26A6" w:rsidRPr="00D93D6C">
                <w:rPr>
                  <w:rStyle w:val="Hyperlink"/>
                  <w:rFonts w:ascii="Arial" w:hAnsi="Arial" w:cs="Arial"/>
                  <w:sz w:val="20"/>
                  <w:szCs w:val="20"/>
                  <w:lang w:val="de-DE"/>
                </w:rPr>
                <w:t>WO32</w:t>
              </w:r>
            </w:hyperlink>
            <w:r w:rsidR="002A26A6">
              <w:rPr>
                <w:rFonts w:ascii="Arial" w:hAnsi="Arial" w:cs="Arial"/>
                <w:sz w:val="20"/>
                <w:szCs w:val="20"/>
                <w:lang w:val="de-DE"/>
              </w:rPr>
              <w:t xml:space="preserve"> [11]</w:t>
            </w:r>
          </w:p>
          <w:p w14:paraId="659B1A45" w14:textId="77777777" w:rsidR="002A26A6" w:rsidRDefault="002A26A6" w:rsidP="00E42182">
            <w:pPr>
              <w:spacing w:before="2" w:after="2"/>
              <w:ind w:left="144" w:right="144"/>
              <w:rPr>
                <w:rFonts w:ascii="Arial" w:hAnsi="Arial" w:cs="Arial"/>
                <w:sz w:val="16"/>
                <w:szCs w:val="16"/>
              </w:rPr>
            </w:pPr>
            <w:r w:rsidRPr="008605D1">
              <w:rPr>
                <w:rFonts w:ascii="Arial" w:hAnsi="Arial" w:cs="Arial"/>
                <w:sz w:val="16"/>
                <w:szCs w:val="16"/>
              </w:rPr>
              <w:t>Evaluation used nominal cooling tons established by AHRI ratings for each unit. The collected data showed that the averages were closer to 300 cfm/ton for non-participants and 338 cfm/ton for participants. These values are within the 300–350 cfm/ton range for Title 24 compliance.  The 10% difference between participant and non-participant airflow was similar to workpaper assumptions.</w:t>
            </w:r>
          </w:p>
          <w:p w14:paraId="0A4BB6EA" w14:textId="77777777" w:rsidR="002A26A6" w:rsidRPr="008605D1" w:rsidRDefault="002A26A6" w:rsidP="00E42182">
            <w:pPr>
              <w:spacing w:before="2" w:after="2"/>
              <w:ind w:left="144" w:right="144"/>
              <w:rPr>
                <w:rFonts w:ascii="Arial" w:hAnsi="Arial" w:cs="Arial"/>
                <w:sz w:val="16"/>
                <w:szCs w:val="16"/>
              </w:rPr>
            </w:pPr>
          </w:p>
          <w:p w14:paraId="15B4ED6D" w14:textId="77777777" w:rsidR="002A26A6" w:rsidRDefault="00ED329A" w:rsidP="00E42182">
            <w:pPr>
              <w:spacing w:before="2" w:after="2"/>
              <w:ind w:left="144" w:right="144"/>
              <w:rPr>
                <w:rFonts w:ascii="Arial" w:hAnsi="Arial" w:cs="Arial"/>
                <w:sz w:val="20"/>
                <w:szCs w:val="20"/>
              </w:rPr>
            </w:pPr>
            <w:hyperlink r:id="rId33" w:history="1">
              <w:proofErr w:type="spellStart"/>
              <w:r w:rsidR="002A26A6" w:rsidRPr="008605D1">
                <w:rPr>
                  <w:rStyle w:val="Hyperlink"/>
                  <w:rFonts w:ascii="Arial" w:hAnsi="Arial" w:cs="Arial"/>
                  <w:sz w:val="20"/>
                  <w:szCs w:val="20"/>
                </w:rPr>
                <w:t>Mowris</w:t>
              </w:r>
              <w:proofErr w:type="spellEnd"/>
              <w:r w:rsidR="002A26A6" w:rsidRPr="008605D1">
                <w:rPr>
                  <w:rStyle w:val="Hyperlink"/>
                  <w:rFonts w:ascii="Arial" w:hAnsi="Arial" w:cs="Arial"/>
                  <w:sz w:val="20"/>
                  <w:szCs w:val="20"/>
                </w:rPr>
                <w:t xml:space="preserve"> et al, Lab Measurements of HVAC Install &amp; Maintenance</w:t>
              </w:r>
            </w:hyperlink>
            <w:r w:rsidR="002A26A6">
              <w:rPr>
                <w:rFonts w:ascii="Arial" w:hAnsi="Arial" w:cs="Arial"/>
                <w:sz w:val="20"/>
                <w:szCs w:val="20"/>
              </w:rPr>
              <w:t xml:space="preserve"> [9]</w:t>
            </w:r>
          </w:p>
          <w:p w14:paraId="59052DD6" w14:textId="77777777" w:rsidR="002A26A6" w:rsidRDefault="002A26A6" w:rsidP="00E42182">
            <w:pPr>
              <w:spacing w:before="2" w:after="2"/>
              <w:ind w:left="144" w:right="144"/>
              <w:rPr>
                <w:rFonts w:ascii="Arial" w:hAnsi="Arial" w:cs="Arial"/>
                <w:sz w:val="20"/>
                <w:szCs w:val="20"/>
              </w:rPr>
            </w:pPr>
          </w:p>
          <w:p w14:paraId="41CB9E57" w14:textId="36BC5045" w:rsidR="002A26A6" w:rsidRPr="00D93D6C" w:rsidRDefault="00ED329A" w:rsidP="00E42182">
            <w:pPr>
              <w:spacing w:before="2" w:after="2"/>
              <w:ind w:left="144" w:right="144"/>
              <w:rPr>
                <w:rFonts w:ascii="Arial" w:hAnsi="Arial" w:cs="Arial"/>
                <w:i/>
                <w:sz w:val="20"/>
                <w:szCs w:val="20"/>
                <w:u w:val="single"/>
                <w:lang w:val="de-DE"/>
              </w:rPr>
            </w:pPr>
            <w:hyperlink r:id="rId34" w:history="1">
              <w:r w:rsidR="002A26A6" w:rsidRPr="008605D1">
                <w:rPr>
                  <w:rStyle w:val="Hyperlink"/>
                  <w:rFonts w:ascii="Arial" w:hAnsi="Arial" w:cs="Arial"/>
                  <w:sz w:val="20"/>
                  <w:szCs w:val="20"/>
                </w:rPr>
                <w:t>NIST Sensitivity Analysis</w:t>
              </w:r>
            </w:hyperlink>
            <w:r w:rsidR="002A26A6">
              <w:rPr>
                <w:rFonts w:ascii="Arial" w:hAnsi="Arial" w:cs="Arial"/>
                <w:sz w:val="20"/>
                <w:szCs w:val="20"/>
              </w:rPr>
              <w:t xml:space="preserve"> [10]</w:t>
            </w:r>
          </w:p>
        </w:tc>
      </w:tr>
      <w:tr w:rsidR="002A26A6" w:rsidRPr="00823342" w14:paraId="3198122A" w14:textId="3B863883" w:rsidTr="00E80F4F">
        <w:trPr>
          <w:trHeight w:val="989"/>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3C46F367" w14:textId="18B15CB4"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08F4901C" w14:textId="77777777" w:rsidR="002A26A6" w:rsidRPr="00823342" w:rsidRDefault="002A26A6" w:rsidP="0015132F">
            <w:pPr>
              <w:spacing w:after="0"/>
              <w:jc w:val="center"/>
              <w:rPr>
                <w:rFonts w:ascii="Arial" w:hAnsi="Arial" w:cs="Arial"/>
                <w:sz w:val="20"/>
                <w:szCs w:val="20"/>
              </w:rPr>
            </w:pPr>
            <w:r w:rsidRPr="00823342">
              <w:rPr>
                <w:rFonts w:ascii="Arial" w:hAnsi="Arial" w:cs="Arial"/>
                <w:sz w:val="20"/>
                <w:szCs w:val="20"/>
              </w:rPr>
              <w:t>3</w:t>
            </w:r>
          </w:p>
        </w:tc>
        <w:tc>
          <w:tcPr>
            <w:tcW w:w="897" w:type="dxa"/>
            <w:tcBorders>
              <w:top w:val="single" w:sz="8" w:space="0" w:color="141313"/>
              <w:left w:val="single" w:sz="8" w:space="0" w:color="141313"/>
              <w:bottom w:val="single" w:sz="8" w:space="0" w:color="141313"/>
              <w:right w:val="single" w:sz="8" w:space="0" w:color="141313"/>
            </w:tcBorders>
            <w:vAlign w:val="center"/>
          </w:tcPr>
          <w:p w14:paraId="65856542" w14:textId="7F43C290" w:rsidR="002A26A6" w:rsidRPr="00823342" w:rsidRDefault="002A26A6" w:rsidP="00DA27E0">
            <w:pPr>
              <w:spacing w:after="0"/>
              <w:jc w:val="center"/>
              <w:rPr>
                <w:rFonts w:ascii="Arial" w:hAnsi="Arial" w:cs="Arial"/>
                <w:b/>
                <w:bCs/>
                <w:sz w:val="20"/>
                <w:szCs w:val="20"/>
              </w:rPr>
            </w:pPr>
            <w:r>
              <w:rPr>
                <w:rFonts w:ascii="Arial" w:hAnsi="Arial" w:cs="Arial"/>
                <w:bCs/>
                <w:sz w:val="20"/>
                <w:szCs w:val="20"/>
              </w:rPr>
              <w:t>High Impact</w:t>
            </w: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45BBB426" w14:textId="44BB6E5B" w:rsidR="002A26A6" w:rsidRDefault="002A26A6" w:rsidP="0015132F">
            <w:pPr>
              <w:spacing w:after="0"/>
              <w:rPr>
                <w:rFonts w:ascii="Arial" w:hAnsi="Arial" w:cs="Arial"/>
                <w:b/>
                <w:bCs/>
                <w:sz w:val="20"/>
                <w:szCs w:val="20"/>
              </w:rPr>
            </w:pPr>
            <w:r w:rsidRPr="00823342">
              <w:rPr>
                <w:rFonts w:ascii="Arial" w:hAnsi="Arial" w:cs="Arial"/>
                <w:b/>
                <w:bCs/>
                <w:sz w:val="20"/>
                <w:szCs w:val="20"/>
              </w:rPr>
              <w:t>Duct Leakage</w:t>
            </w:r>
          </w:p>
          <w:p w14:paraId="4F361C3A" w14:textId="77777777" w:rsidR="002A26A6" w:rsidRDefault="002A26A6" w:rsidP="0015132F">
            <w:pPr>
              <w:spacing w:after="0"/>
              <w:rPr>
                <w:rFonts w:ascii="Arial" w:hAnsi="Arial" w:cs="Arial"/>
                <w:b/>
                <w:bCs/>
                <w:sz w:val="20"/>
                <w:szCs w:val="20"/>
              </w:rPr>
            </w:pPr>
          </w:p>
          <w:p w14:paraId="294945E9" w14:textId="69E5CD76" w:rsidR="002A26A6" w:rsidRPr="00823342" w:rsidRDefault="002A26A6" w:rsidP="0015132F">
            <w:pPr>
              <w:spacing w:after="0"/>
              <w:rPr>
                <w:rFonts w:ascii="Arial" w:hAnsi="Arial" w:cs="Arial"/>
                <w:sz w:val="20"/>
                <w:szCs w:val="20"/>
              </w:rPr>
            </w:pPr>
            <w:r w:rsidRPr="00823342">
              <w:rPr>
                <w:rFonts w:ascii="Arial" w:hAnsi="Arial" w:cs="Arial"/>
                <w:b/>
                <w:bCs/>
                <w:sz w:val="20"/>
                <w:szCs w:val="20"/>
              </w:rPr>
              <w:t xml:space="preserve">Leakage (%)  </w:t>
            </w:r>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7B0BB6E9"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 xml:space="preserve">Duct leakage - fraction of the supply air that is lost from the ductwork, thereby </w:t>
            </w:r>
            <w:r w:rsidRPr="00823342">
              <w:rPr>
                <w:rFonts w:ascii="Arial" w:hAnsi="Arial" w:cs="Arial"/>
                <w:sz w:val="20"/>
                <w:szCs w:val="20"/>
              </w:rPr>
              <w:lastRenderedPageBreak/>
              <w:t>reducing the design supply air at the zones</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206F3FF"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lastRenderedPageBreak/>
              <w:t>DUCT-AIR-LOSS</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687F56FE" w14:textId="1FCF9B79" w:rsidR="002A26A6" w:rsidRDefault="00ED329A" w:rsidP="00E42182">
            <w:pPr>
              <w:spacing w:before="2" w:after="2"/>
              <w:ind w:left="144" w:right="144"/>
              <w:rPr>
                <w:rFonts w:ascii="Arial" w:hAnsi="Arial" w:cs="Arial"/>
                <w:sz w:val="20"/>
                <w:szCs w:val="20"/>
                <w:lang w:val="de-DE"/>
              </w:rPr>
            </w:pPr>
            <w:hyperlink r:id="rId35" w:history="1">
              <w:r w:rsidR="002A26A6" w:rsidRPr="00D93D6C">
                <w:rPr>
                  <w:rStyle w:val="Hyperlink"/>
                  <w:rFonts w:ascii="Arial" w:hAnsi="Arial" w:cs="Arial"/>
                  <w:sz w:val="20"/>
                  <w:szCs w:val="20"/>
                  <w:lang w:val="de-DE"/>
                </w:rPr>
                <w:t>DEER</w:t>
              </w:r>
            </w:hyperlink>
            <w:r w:rsidR="002A26A6">
              <w:rPr>
                <w:rFonts w:ascii="Arial" w:hAnsi="Arial" w:cs="Arial"/>
                <w:sz w:val="20"/>
                <w:szCs w:val="20"/>
                <w:lang w:val="de-DE"/>
              </w:rPr>
              <w:t xml:space="preserve"> [1] [2] </w:t>
            </w:r>
          </w:p>
          <w:p w14:paraId="328DA862" w14:textId="783933B9"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 xml:space="preserve">Duct Leakage (Duct Air Loss Ratio) </w:t>
            </w:r>
          </w:p>
          <w:p w14:paraId="7F817BEF" w14:textId="77777777"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 xml:space="preserve">Fraction of the supply air that is lost from the ductwork, thereby reducing the design supply air at the zones.  </w:t>
            </w:r>
          </w:p>
          <w:p w14:paraId="257C72D7" w14:textId="77777777" w:rsidR="002A26A6" w:rsidRPr="008605D1" w:rsidRDefault="002A26A6" w:rsidP="00E42182">
            <w:pPr>
              <w:spacing w:before="2" w:after="2"/>
              <w:ind w:left="144" w:right="144"/>
              <w:rPr>
                <w:rFonts w:ascii="Arial" w:hAnsi="Arial" w:cs="Arial"/>
                <w:sz w:val="16"/>
                <w:szCs w:val="16"/>
              </w:rPr>
            </w:pPr>
          </w:p>
          <w:p w14:paraId="324E750D" w14:textId="07B37FEC" w:rsidR="002A26A6" w:rsidRPr="008605D1" w:rsidRDefault="00ED329A" w:rsidP="00E42182">
            <w:pPr>
              <w:spacing w:before="2" w:after="2"/>
              <w:ind w:left="144" w:right="144"/>
              <w:rPr>
                <w:rFonts w:ascii="Arial" w:hAnsi="Arial" w:cs="Arial"/>
                <w:sz w:val="16"/>
                <w:szCs w:val="16"/>
              </w:rPr>
            </w:pPr>
            <w:hyperlink r:id="rId36" w:history="1">
              <w:r w:rsidR="002A26A6" w:rsidRPr="002A26A6">
                <w:rPr>
                  <w:rStyle w:val="Hyperlink"/>
                  <w:rFonts w:ascii="Arial" w:hAnsi="Arial" w:cs="Arial"/>
                  <w:sz w:val="20"/>
                  <w:szCs w:val="20"/>
                </w:rPr>
                <w:t>DEER 2005 Report</w:t>
              </w:r>
            </w:hyperlink>
            <w:r w:rsidR="002A26A6" w:rsidRPr="002A26A6">
              <w:rPr>
                <w:rFonts w:ascii="Arial" w:hAnsi="Arial" w:cs="Arial"/>
                <w:sz w:val="20"/>
                <w:szCs w:val="20"/>
              </w:rPr>
              <w:t xml:space="preserve"> </w:t>
            </w:r>
            <w:r w:rsidR="002A26A6">
              <w:rPr>
                <w:rFonts w:ascii="Arial" w:hAnsi="Arial" w:cs="Arial"/>
                <w:sz w:val="16"/>
                <w:szCs w:val="16"/>
              </w:rPr>
              <w:t>[4]</w:t>
            </w:r>
          </w:p>
          <w:p w14:paraId="06ED507D" w14:textId="77777777"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Baseline: 24% Leakage</w:t>
            </w:r>
          </w:p>
          <w:p w14:paraId="593579F0" w14:textId="77777777"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Measure: 12% Leakage</w:t>
            </w:r>
          </w:p>
          <w:p w14:paraId="7393E4AB" w14:textId="77777777" w:rsidR="002A26A6" w:rsidRPr="008605D1" w:rsidRDefault="002A26A6" w:rsidP="00E42182">
            <w:pPr>
              <w:spacing w:before="2" w:after="2"/>
              <w:ind w:left="144" w:right="144"/>
              <w:rPr>
                <w:rFonts w:ascii="Arial" w:hAnsi="Arial" w:cs="Arial"/>
                <w:sz w:val="16"/>
                <w:szCs w:val="16"/>
              </w:rPr>
            </w:pPr>
          </w:p>
          <w:p w14:paraId="0BB87753" w14:textId="77777777"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 xml:space="preserve">Supply air leakage estimated as follow: </w:t>
            </w:r>
          </w:p>
          <w:p w14:paraId="3EC660BA" w14:textId="77777777"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 xml:space="preserve">(% leakage/2) x 0.75 - single-story house </w:t>
            </w:r>
          </w:p>
          <w:p w14:paraId="5B79948A" w14:textId="77777777" w:rsidR="002A26A6" w:rsidRPr="008605D1" w:rsidRDefault="002A26A6" w:rsidP="00E42182">
            <w:pPr>
              <w:spacing w:before="2" w:after="2"/>
              <w:ind w:left="144" w:right="144"/>
              <w:rPr>
                <w:rFonts w:ascii="Arial" w:hAnsi="Arial" w:cs="Arial"/>
                <w:sz w:val="16"/>
                <w:szCs w:val="16"/>
              </w:rPr>
            </w:pPr>
            <w:r w:rsidRPr="008605D1">
              <w:rPr>
                <w:rFonts w:ascii="Arial" w:hAnsi="Arial" w:cs="Arial"/>
                <w:sz w:val="16"/>
                <w:szCs w:val="16"/>
              </w:rPr>
              <w:t xml:space="preserve">(% leakage/2) x 0.67 - two-story house </w:t>
            </w:r>
          </w:p>
          <w:p w14:paraId="7FCB3408" w14:textId="0E9C8BE3" w:rsidR="002A26A6" w:rsidRPr="008605D1" w:rsidRDefault="002A26A6" w:rsidP="00E42182">
            <w:pPr>
              <w:spacing w:before="2" w:after="2"/>
              <w:ind w:left="144" w:right="144"/>
              <w:rPr>
                <w:rFonts w:cstheme="minorHAnsi"/>
                <w:sz w:val="16"/>
                <w:szCs w:val="16"/>
              </w:rPr>
            </w:pPr>
          </w:p>
        </w:tc>
        <w:tc>
          <w:tcPr>
            <w:tcW w:w="4050" w:type="dxa"/>
            <w:tcBorders>
              <w:top w:val="single" w:sz="8" w:space="0" w:color="141313"/>
              <w:left w:val="single" w:sz="8" w:space="0" w:color="141313"/>
              <w:bottom w:val="single" w:sz="8" w:space="0" w:color="141313"/>
              <w:right w:val="single" w:sz="8" w:space="0" w:color="141313"/>
            </w:tcBorders>
          </w:tcPr>
          <w:p w14:paraId="42583DCE" w14:textId="77777777" w:rsidR="002A26A6" w:rsidRDefault="002A26A6" w:rsidP="00E42182">
            <w:pPr>
              <w:spacing w:before="2" w:after="2"/>
              <w:ind w:left="144" w:right="144"/>
              <w:rPr>
                <w:rFonts w:ascii="Arial" w:hAnsi="Arial" w:cs="Arial"/>
                <w:sz w:val="20"/>
                <w:szCs w:val="20"/>
              </w:rPr>
            </w:pPr>
          </w:p>
          <w:p w14:paraId="3A6EBB59" w14:textId="77777777" w:rsidR="002A26A6" w:rsidRDefault="00ED329A" w:rsidP="00E42182">
            <w:pPr>
              <w:spacing w:before="2" w:after="2"/>
              <w:ind w:left="144" w:right="144"/>
              <w:rPr>
                <w:rFonts w:ascii="Arial" w:hAnsi="Arial" w:cs="Arial"/>
                <w:sz w:val="20"/>
                <w:szCs w:val="20"/>
                <w:lang w:val="de-DE"/>
              </w:rPr>
            </w:pPr>
            <w:hyperlink r:id="rId37" w:history="1">
              <w:r w:rsidR="002A26A6" w:rsidRPr="00D93D6C">
                <w:rPr>
                  <w:rStyle w:val="Hyperlink"/>
                  <w:rFonts w:ascii="Arial" w:hAnsi="Arial" w:cs="Arial"/>
                  <w:sz w:val="20"/>
                  <w:szCs w:val="20"/>
                  <w:lang w:val="de-DE"/>
                </w:rPr>
                <w:t>WO32</w:t>
              </w:r>
            </w:hyperlink>
            <w:r w:rsidR="002A26A6">
              <w:rPr>
                <w:rFonts w:ascii="Arial" w:hAnsi="Arial" w:cs="Arial"/>
                <w:sz w:val="20"/>
                <w:szCs w:val="20"/>
                <w:lang w:val="de-DE"/>
              </w:rPr>
              <w:t xml:space="preserve"> [11]</w:t>
            </w:r>
          </w:p>
          <w:p w14:paraId="26AF2FF9" w14:textId="77777777" w:rsidR="002A26A6" w:rsidRPr="008605D1" w:rsidRDefault="002A26A6" w:rsidP="00E42182">
            <w:pPr>
              <w:autoSpaceDE w:val="0"/>
              <w:autoSpaceDN w:val="0"/>
              <w:adjustRightInd w:val="0"/>
              <w:spacing w:before="2" w:after="2"/>
              <w:ind w:left="144" w:right="144"/>
              <w:rPr>
                <w:rFonts w:ascii="Arial" w:hAnsi="Arial" w:cs="Arial"/>
                <w:sz w:val="16"/>
                <w:szCs w:val="16"/>
              </w:rPr>
            </w:pPr>
            <w:r w:rsidRPr="008605D1">
              <w:rPr>
                <w:rFonts w:ascii="Arial" w:hAnsi="Arial" w:cs="Arial"/>
                <w:sz w:val="16"/>
                <w:szCs w:val="16"/>
              </w:rPr>
              <w:t xml:space="preserve">According to evaluation, almost half of the participant tested systems had leakage meeting program requirements of 15% or less.  </w:t>
            </w:r>
          </w:p>
          <w:p w14:paraId="29D03940" w14:textId="77777777" w:rsidR="002A26A6" w:rsidRPr="008605D1" w:rsidRDefault="002A26A6" w:rsidP="00E42182">
            <w:pPr>
              <w:autoSpaceDE w:val="0"/>
              <w:autoSpaceDN w:val="0"/>
              <w:adjustRightInd w:val="0"/>
              <w:spacing w:before="2" w:after="2"/>
              <w:ind w:left="144" w:right="144"/>
              <w:rPr>
                <w:rFonts w:ascii="Arial" w:hAnsi="Arial" w:cs="Arial"/>
                <w:sz w:val="16"/>
                <w:szCs w:val="16"/>
              </w:rPr>
            </w:pPr>
          </w:p>
          <w:p w14:paraId="34312544" w14:textId="77777777" w:rsidR="002A26A6" w:rsidRPr="008605D1" w:rsidRDefault="002A26A6" w:rsidP="00E42182">
            <w:pPr>
              <w:autoSpaceDE w:val="0"/>
              <w:autoSpaceDN w:val="0"/>
              <w:adjustRightInd w:val="0"/>
              <w:spacing w:before="2" w:after="2"/>
              <w:ind w:left="144" w:right="144"/>
              <w:rPr>
                <w:rFonts w:ascii="Arial" w:hAnsi="Arial" w:cs="Arial"/>
                <w:sz w:val="16"/>
                <w:szCs w:val="16"/>
              </w:rPr>
            </w:pPr>
            <w:r w:rsidRPr="008605D1">
              <w:rPr>
                <w:rFonts w:ascii="Arial" w:hAnsi="Arial" w:cs="Arial"/>
                <w:sz w:val="16"/>
                <w:szCs w:val="16"/>
              </w:rPr>
              <w:lastRenderedPageBreak/>
              <w:t xml:space="preserve">Note that 2008 Title 24 required duct leakage less than 15% (of nominal system airflow) if a major component of the HVAC system (air handler, outdoor condensing unit, cooling or heating coil, or furnace heat exchanger) is replaced or installed.  </w:t>
            </w:r>
          </w:p>
          <w:p w14:paraId="5C6F7373" w14:textId="77777777" w:rsidR="002A26A6" w:rsidRPr="008605D1" w:rsidRDefault="002A26A6" w:rsidP="00E42182">
            <w:pPr>
              <w:spacing w:before="2" w:after="2"/>
              <w:ind w:left="144" w:right="144"/>
              <w:rPr>
                <w:rFonts w:ascii="Arial" w:hAnsi="Arial" w:cs="Arial"/>
                <w:sz w:val="16"/>
                <w:szCs w:val="16"/>
              </w:rPr>
            </w:pPr>
          </w:p>
          <w:p w14:paraId="4E47E559" w14:textId="3AACE323" w:rsidR="002A26A6" w:rsidRDefault="002A26A6" w:rsidP="00E42182">
            <w:pPr>
              <w:spacing w:before="2" w:after="2"/>
              <w:ind w:left="144" w:right="144"/>
              <w:rPr>
                <w:rFonts w:ascii="Arial" w:hAnsi="Arial" w:cs="Arial"/>
                <w:sz w:val="20"/>
                <w:szCs w:val="20"/>
              </w:rPr>
            </w:pPr>
            <w:r w:rsidRPr="008605D1">
              <w:rPr>
                <w:rFonts w:ascii="Arial" w:hAnsi="Arial" w:cs="Arial"/>
                <w:sz w:val="16"/>
                <w:szCs w:val="16"/>
              </w:rPr>
              <w:t xml:space="preserve">The evaluation also measured the leakage outside the conditioned space (LTO) relative to nominal unit airflow.  Per evaluation, duct </w:t>
            </w:r>
            <w:proofErr w:type="gramStart"/>
            <w:r w:rsidRPr="008605D1">
              <w:rPr>
                <w:rFonts w:ascii="Arial" w:hAnsi="Arial" w:cs="Arial"/>
                <w:sz w:val="16"/>
                <w:szCs w:val="16"/>
              </w:rPr>
              <w:t>leakage to outside for recent residential installations are</w:t>
            </w:r>
            <w:proofErr w:type="gramEnd"/>
            <w:r w:rsidRPr="008605D1">
              <w:rPr>
                <w:rFonts w:ascii="Arial" w:hAnsi="Arial" w:cs="Arial"/>
                <w:sz w:val="16"/>
                <w:szCs w:val="16"/>
              </w:rPr>
              <w:t xml:space="preserve"> 7.42% and 10.73% for participants and non-participants respectively.  Note that total duct leakage is the sum of leakage into conditioned spaces and leakage to outside of conditioned spaces.</w:t>
            </w:r>
          </w:p>
          <w:p w14:paraId="3736552F" w14:textId="77777777" w:rsidR="002A26A6" w:rsidRDefault="002A26A6" w:rsidP="00E42182">
            <w:pPr>
              <w:spacing w:before="2" w:after="2"/>
              <w:ind w:left="144" w:right="144"/>
              <w:rPr>
                <w:rFonts w:ascii="Arial" w:hAnsi="Arial" w:cs="Arial"/>
                <w:sz w:val="20"/>
                <w:szCs w:val="20"/>
              </w:rPr>
            </w:pPr>
          </w:p>
          <w:p w14:paraId="1DA8368E" w14:textId="77777777" w:rsidR="002A26A6" w:rsidRDefault="00ED329A" w:rsidP="00E42182">
            <w:pPr>
              <w:spacing w:before="2" w:after="2"/>
              <w:ind w:left="144" w:right="144"/>
              <w:rPr>
                <w:rFonts w:ascii="Arial" w:hAnsi="Arial" w:cs="Arial"/>
                <w:sz w:val="20"/>
                <w:szCs w:val="20"/>
              </w:rPr>
            </w:pPr>
            <w:hyperlink r:id="rId38" w:history="1">
              <w:proofErr w:type="spellStart"/>
              <w:r w:rsidR="002A26A6" w:rsidRPr="008605D1">
                <w:rPr>
                  <w:rStyle w:val="Hyperlink"/>
                  <w:rFonts w:ascii="Arial" w:hAnsi="Arial" w:cs="Arial"/>
                  <w:sz w:val="20"/>
                  <w:szCs w:val="20"/>
                </w:rPr>
                <w:t>Mowris</w:t>
              </w:r>
              <w:proofErr w:type="spellEnd"/>
              <w:r w:rsidR="002A26A6" w:rsidRPr="008605D1">
                <w:rPr>
                  <w:rStyle w:val="Hyperlink"/>
                  <w:rFonts w:ascii="Arial" w:hAnsi="Arial" w:cs="Arial"/>
                  <w:sz w:val="20"/>
                  <w:szCs w:val="20"/>
                </w:rPr>
                <w:t xml:space="preserve"> et al, Lab Measurements of HVAC Install &amp; Maintenance</w:t>
              </w:r>
            </w:hyperlink>
            <w:r w:rsidR="002A26A6">
              <w:rPr>
                <w:rFonts w:ascii="Arial" w:hAnsi="Arial" w:cs="Arial"/>
                <w:sz w:val="20"/>
                <w:szCs w:val="20"/>
              </w:rPr>
              <w:t xml:space="preserve"> [9]</w:t>
            </w:r>
          </w:p>
          <w:p w14:paraId="5941B263" w14:textId="77777777" w:rsidR="002A26A6" w:rsidRDefault="002A26A6" w:rsidP="00E42182">
            <w:pPr>
              <w:spacing w:before="2" w:after="2"/>
              <w:ind w:left="144" w:right="144"/>
              <w:rPr>
                <w:rFonts w:ascii="Arial" w:hAnsi="Arial" w:cs="Arial"/>
                <w:sz w:val="20"/>
                <w:szCs w:val="20"/>
              </w:rPr>
            </w:pPr>
          </w:p>
          <w:p w14:paraId="2732C951" w14:textId="486577C6" w:rsidR="002A26A6" w:rsidRPr="008605D1" w:rsidRDefault="00ED329A" w:rsidP="00E42182">
            <w:pPr>
              <w:spacing w:before="2" w:after="2"/>
              <w:ind w:left="144" w:right="144"/>
              <w:rPr>
                <w:rFonts w:ascii="Arial" w:hAnsi="Arial" w:cs="Arial"/>
                <w:sz w:val="16"/>
                <w:szCs w:val="16"/>
              </w:rPr>
            </w:pPr>
            <w:hyperlink r:id="rId39" w:history="1">
              <w:r w:rsidR="002A26A6" w:rsidRPr="008605D1">
                <w:rPr>
                  <w:rStyle w:val="Hyperlink"/>
                  <w:rFonts w:ascii="Arial" w:hAnsi="Arial" w:cs="Arial"/>
                  <w:sz w:val="20"/>
                  <w:szCs w:val="20"/>
                </w:rPr>
                <w:t>NIST Sensitivity Analysis</w:t>
              </w:r>
            </w:hyperlink>
            <w:r w:rsidR="002A26A6">
              <w:rPr>
                <w:rFonts w:ascii="Arial" w:hAnsi="Arial" w:cs="Arial"/>
                <w:sz w:val="20"/>
                <w:szCs w:val="20"/>
              </w:rPr>
              <w:t xml:space="preserve"> [10]</w:t>
            </w:r>
          </w:p>
        </w:tc>
      </w:tr>
      <w:tr w:rsidR="002A26A6" w:rsidRPr="00823342" w14:paraId="68AA32AB" w14:textId="6261E617" w:rsidTr="00E80F4F">
        <w:trPr>
          <w:trHeight w:val="744"/>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31FDA775" w14:textId="77777777"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6B0DF0F1" w14:textId="77777777" w:rsidR="002A26A6" w:rsidRPr="00823342" w:rsidRDefault="002A26A6" w:rsidP="0015132F">
            <w:pPr>
              <w:spacing w:after="0"/>
              <w:jc w:val="center"/>
              <w:rPr>
                <w:rFonts w:ascii="Arial" w:hAnsi="Arial" w:cs="Arial"/>
                <w:sz w:val="20"/>
                <w:szCs w:val="20"/>
              </w:rPr>
            </w:pPr>
            <w:r w:rsidRPr="00823342">
              <w:rPr>
                <w:rFonts w:ascii="Arial" w:hAnsi="Arial" w:cs="Arial"/>
                <w:sz w:val="20"/>
                <w:szCs w:val="20"/>
              </w:rPr>
              <w:t>4</w:t>
            </w:r>
          </w:p>
        </w:tc>
        <w:tc>
          <w:tcPr>
            <w:tcW w:w="897" w:type="dxa"/>
            <w:tcBorders>
              <w:top w:val="single" w:sz="8" w:space="0" w:color="141313"/>
              <w:left w:val="single" w:sz="8" w:space="0" w:color="141313"/>
              <w:bottom w:val="single" w:sz="8" w:space="0" w:color="141313"/>
              <w:right w:val="single" w:sz="8" w:space="0" w:color="141313"/>
            </w:tcBorders>
            <w:vAlign w:val="center"/>
          </w:tcPr>
          <w:p w14:paraId="62FA495B" w14:textId="385179CD" w:rsidR="002A26A6" w:rsidRPr="00823342" w:rsidRDefault="002A26A6" w:rsidP="00DA27E0">
            <w:pPr>
              <w:spacing w:after="0"/>
              <w:jc w:val="center"/>
              <w:rPr>
                <w:rFonts w:ascii="Arial" w:hAnsi="Arial" w:cs="Arial"/>
                <w:b/>
                <w:bCs/>
                <w:i/>
                <w:iCs/>
                <w:sz w:val="20"/>
                <w:szCs w:val="20"/>
              </w:rPr>
            </w:pPr>
            <w:r>
              <w:rPr>
                <w:rFonts w:ascii="Arial" w:hAnsi="Arial" w:cs="Arial"/>
                <w:bCs/>
                <w:sz w:val="20"/>
                <w:szCs w:val="20"/>
              </w:rPr>
              <w:t>High Impact</w:t>
            </w: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6D55232E" w14:textId="498A8AC3" w:rsidR="002A26A6" w:rsidRPr="00E42182" w:rsidRDefault="002A26A6" w:rsidP="0015132F">
            <w:pPr>
              <w:spacing w:after="0"/>
              <w:rPr>
                <w:rFonts w:ascii="Arial" w:hAnsi="Arial" w:cs="Arial"/>
                <w:b/>
                <w:bCs/>
                <w:iCs/>
                <w:sz w:val="20"/>
                <w:szCs w:val="20"/>
              </w:rPr>
            </w:pPr>
            <w:r w:rsidRPr="00E42182">
              <w:rPr>
                <w:rFonts w:ascii="Arial" w:hAnsi="Arial" w:cs="Arial"/>
                <w:b/>
                <w:bCs/>
                <w:iCs/>
                <w:sz w:val="20"/>
                <w:szCs w:val="20"/>
              </w:rPr>
              <w:t>Equipment Sizing</w:t>
            </w:r>
          </w:p>
          <w:p w14:paraId="76339BFC" w14:textId="77777777" w:rsidR="002A26A6" w:rsidRDefault="002A26A6" w:rsidP="0015132F">
            <w:pPr>
              <w:spacing w:after="0"/>
              <w:rPr>
                <w:rFonts w:ascii="Arial" w:hAnsi="Arial" w:cs="Arial"/>
                <w:b/>
                <w:bCs/>
                <w:i/>
                <w:iCs/>
                <w:sz w:val="20"/>
                <w:szCs w:val="20"/>
              </w:rPr>
            </w:pPr>
          </w:p>
          <w:p w14:paraId="10E14BA9" w14:textId="34F4118D" w:rsidR="002A26A6" w:rsidRPr="00823342" w:rsidRDefault="002A26A6" w:rsidP="0015132F">
            <w:pPr>
              <w:spacing w:after="0"/>
              <w:rPr>
                <w:rFonts w:ascii="Arial" w:hAnsi="Arial" w:cs="Arial"/>
                <w:sz w:val="20"/>
                <w:szCs w:val="20"/>
              </w:rPr>
            </w:pPr>
            <w:r w:rsidRPr="00823342">
              <w:rPr>
                <w:rFonts w:ascii="Arial" w:hAnsi="Arial" w:cs="Arial"/>
                <w:b/>
                <w:bCs/>
                <w:sz w:val="20"/>
                <w:szCs w:val="20"/>
              </w:rPr>
              <w:t>Manual J</w:t>
            </w:r>
            <w:r w:rsidRPr="00823342">
              <w:rPr>
                <w:rFonts w:ascii="Arial" w:hAnsi="Arial" w:cs="Arial"/>
                <w:b/>
                <w:bCs/>
                <w:sz w:val="20"/>
                <w:szCs w:val="20"/>
              </w:rPr>
              <w:br/>
              <w:t>Manual S</w:t>
            </w:r>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E203A7C"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HVAC equipment capacity</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63532C95"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COOLING-CAPACITY</w:t>
            </w:r>
            <w:r w:rsidRPr="00823342">
              <w:rPr>
                <w:rFonts w:ascii="Arial" w:hAnsi="Arial" w:cs="Arial"/>
                <w:sz w:val="20"/>
                <w:szCs w:val="20"/>
              </w:rPr>
              <w:br/>
              <w:t>COOL-SH-CAP</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08E23224" w14:textId="35C97F0D" w:rsidR="002A26A6" w:rsidRPr="00823342" w:rsidRDefault="00ED329A" w:rsidP="00E42182">
            <w:pPr>
              <w:spacing w:before="2" w:after="2"/>
              <w:ind w:left="144" w:right="144"/>
              <w:rPr>
                <w:rFonts w:ascii="Arial" w:hAnsi="Arial" w:cs="Arial"/>
                <w:sz w:val="20"/>
                <w:szCs w:val="20"/>
              </w:rPr>
            </w:pPr>
            <w:hyperlink r:id="rId40" w:history="1">
              <w:r w:rsidR="002A26A6" w:rsidRPr="002A26A6">
                <w:rPr>
                  <w:rStyle w:val="Hyperlink"/>
                  <w:rFonts w:ascii="Arial" w:hAnsi="Arial" w:cs="Arial"/>
                  <w:sz w:val="20"/>
                  <w:szCs w:val="20"/>
                </w:rPr>
                <w:t>Energy Center of Wisconsin</w:t>
              </w:r>
            </w:hyperlink>
            <w:r w:rsidR="002A26A6">
              <w:rPr>
                <w:rFonts w:ascii="Arial" w:hAnsi="Arial" w:cs="Arial"/>
                <w:sz w:val="20"/>
                <w:szCs w:val="20"/>
              </w:rPr>
              <w:t xml:space="preserve"> [5]</w:t>
            </w:r>
          </w:p>
        </w:tc>
        <w:tc>
          <w:tcPr>
            <w:tcW w:w="4050" w:type="dxa"/>
            <w:tcBorders>
              <w:top w:val="single" w:sz="8" w:space="0" w:color="141313"/>
              <w:left w:val="single" w:sz="8" w:space="0" w:color="141313"/>
              <w:bottom w:val="single" w:sz="8" w:space="0" w:color="141313"/>
              <w:right w:val="single" w:sz="8" w:space="0" w:color="141313"/>
            </w:tcBorders>
          </w:tcPr>
          <w:p w14:paraId="5305074A" w14:textId="77777777" w:rsidR="002A26A6" w:rsidRDefault="00ED329A" w:rsidP="00E42182">
            <w:pPr>
              <w:spacing w:before="2" w:after="2"/>
              <w:ind w:left="144" w:right="144"/>
              <w:rPr>
                <w:rFonts w:ascii="Arial" w:hAnsi="Arial" w:cs="Arial"/>
                <w:sz w:val="20"/>
                <w:szCs w:val="20"/>
                <w:lang w:val="de-DE"/>
              </w:rPr>
            </w:pPr>
            <w:hyperlink r:id="rId41" w:history="1">
              <w:r w:rsidR="002A26A6" w:rsidRPr="00D93D6C">
                <w:rPr>
                  <w:rStyle w:val="Hyperlink"/>
                  <w:rFonts w:ascii="Arial" w:hAnsi="Arial" w:cs="Arial"/>
                  <w:sz w:val="20"/>
                  <w:szCs w:val="20"/>
                  <w:lang w:val="de-DE"/>
                </w:rPr>
                <w:t>WO32</w:t>
              </w:r>
            </w:hyperlink>
            <w:r w:rsidR="002A26A6">
              <w:rPr>
                <w:rFonts w:ascii="Arial" w:hAnsi="Arial" w:cs="Arial"/>
                <w:sz w:val="20"/>
                <w:szCs w:val="20"/>
                <w:lang w:val="de-DE"/>
              </w:rPr>
              <w:t xml:space="preserve"> [11]</w:t>
            </w:r>
          </w:p>
          <w:p w14:paraId="6F50AB41" w14:textId="77777777" w:rsidR="002A26A6" w:rsidRPr="000F34B9" w:rsidRDefault="002A26A6" w:rsidP="00E42182">
            <w:pPr>
              <w:autoSpaceDE w:val="0"/>
              <w:autoSpaceDN w:val="0"/>
              <w:adjustRightInd w:val="0"/>
              <w:spacing w:before="2" w:after="2"/>
              <w:ind w:left="144" w:right="144"/>
              <w:rPr>
                <w:rFonts w:cstheme="minorHAnsi"/>
                <w:sz w:val="16"/>
                <w:szCs w:val="16"/>
              </w:rPr>
            </w:pPr>
            <w:r w:rsidRPr="000F34B9">
              <w:rPr>
                <w:rFonts w:cstheme="minorHAnsi"/>
                <w:sz w:val="16"/>
                <w:szCs w:val="16"/>
                <w:highlight w:val="yellow"/>
              </w:rPr>
              <w:t>Data collected onsite informed the development of an ACCA Manual J-based system-sizing model for all participants and non-participants</w:t>
            </w:r>
            <w:r w:rsidRPr="000F34B9">
              <w:rPr>
                <w:rFonts w:cstheme="minorHAnsi"/>
                <w:sz w:val="16"/>
                <w:szCs w:val="16"/>
              </w:rPr>
              <w:t>.  The primary analysis compared the calculated size to the installed tonnage to determine the amount of over or under-sizing</w:t>
            </w:r>
          </w:p>
          <w:p w14:paraId="04C6BF39" w14:textId="77777777" w:rsidR="002A26A6" w:rsidRPr="000F34B9" w:rsidRDefault="002A26A6" w:rsidP="00E42182">
            <w:pPr>
              <w:spacing w:before="2" w:after="2"/>
              <w:ind w:left="144" w:right="144"/>
              <w:rPr>
                <w:rFonts w:cstheme="minorHAnsi"/>
                <w:sz w:val="16"/>
                <w:szCs w:val="16"/>
              </w:rPr>
            </w:pPr>
          </w:p>
          <w:p w14:paraId="57A2A2AE" w14:textId="77777777" w:rsidR="002A26A6" w:rsidRPr="000F34B9" w:rsidRDefault="002A26A6" w:rsidP="00E42182">
            <w:pPr>
              <w:spacing w:before="2" w:after="2"/>
              <w:ind w:left="144" w:right="144"/>
              <w:rPr>
                <w:rFonts w:cstheme="minorHAnsi"/>
                <w:sz w:val="16"/>
                <w:szCs w:val="16"/>
              </w:rPr>
            </w:pPr>
            <w:r w:rsidRPr="000F34B9">
              <w:rPr>
                <w:rFonts w:cstheme="minorHAnsi"/>
                <w:sz w:val="16"/>
                <w:szCs w:val="16"/>
              </w:rPr>
              <w:t>The QI programs require the use of both Manual J [*] and Manual S [**] for equipment sizing.  The evaluation used program approved Manual J software in the analysis.</w:t>
            </w:r>
          </w:p>
          <w:p w14:paraId="1547D72A" w14:textId="77777777" w:rsidR="002A26A6" w:rsidRPr="000F34B9" w:rsidRDefault="002A26A6" w:rsidP="00E42182">
            <w:pPr>
              <w:spacing w:before="2" w:after="2"/>
              <w:ind w:left="144" w:right="144"/>
              <w:rPr>
                <w:rFonts w:cstheme="minorHAnsi"/>
                <w:sz w:val="16"/>
                <w:szCs w:val="16"/>
              </w:rPr>
            </w:pPr>
          </w:p>
          <w:p w14:paraId="00161398" w14:textId="77777777" w:rsidR="002A26A6" w:rsidRPr="000F34B9" w:rsidRDefault="002A26A6" w:rsidP="00E42182">
            <w:pPr>
              <w:autoSpaceDE w:val="0"/>
              <w:autoSpaceDN w:val="0"/>
              <w:adjustRightInd w:val="0"/>
              <w:spacing w:before="2" w:after="2"/>
              <w:ind w:left="144" w:right="144"/>
              <w:rPr>
                <w:rFonts w:cstheme="minorHAnsi"/>
                <w:sz w:val="16"/>
                <w:szCs w:val="16"/>
              </w:rPr>
            </w:pPr>
            <w:r w:rsidRPr="000F34B9">
              <w:rPr>
                <w:rFonts w:cstheme="minorHAnsi"/>
                <w:sz w:val="16"/>
                <w:szCs w:val="16"/>
              </w:rPr>
              <w:t xml:space="preserve">Impact evaluation finding suggests oversized and undersized units in both the participant and nonparticipant samples.  Both groups tended to have oversized units with a small difference in mean sizing ratio, but non-participants had a wide distribution with more cases of significant oversizing.  </w:t>
            </w:r>
          </w:p>
          <w:p w14:paraId="44E4A273" w14:textId="02F58937" w:rsidR="002A26A6" w:rsidRPr="000F34B9" w:rsidRDefault="002A26A6" w:rsidP="00E42182">
            <w:pPr>
              <w:autoSpaceDE w:val="0"/>
              <w:autoSpaceDN w:val="0"/>
              <w:adjustRightInd w:val="0"/>
              <w:spacing w:before="2" w:after="2"/>
              <w:ind w:left="144" w:right="144"/>
              <w:rPr>
                <w:rFonts w:cstheme="minorHAnsi"/>
                <w:sz w:val="16"/>
                <w:szCs w:val="16"/>
              </w:rPr>
            </w:pPr>
            <w:r w:rsidRPr="000F34B9">
              <w:rPr>
                <w:rFonts w:cstheme="minorHAnsi"/>
                <w:sz w:val="16"/>
                <w:szCs w:val="16"/>
              </w:rPr>
              <w:t xml:space="preserve">Further, evaluation suggests that approximately 82% of evaluated participant systems were sized within 0.5-ton of design cooling capacity. </w:t>
            </w:r>
          </w:p>
          <w:p w14:paraId="24C4A9B7" w14:textId="77777777" w:rsidR="002A26A6" w:rsidRDefault="002A26A6" w:rsidP="00E42182">
            <w:pPr>
              <w:spacing w:before="2" w:after="2"/>
              <w:ind w:left="144" w:right="144"/>
              <w:rPr>
                <w:rFonts w:cstheme="minorHAnsi"/>
                <w:i/>
                <w:sz w:val="16"/>
                <w:szCs w:val="16"/>
              </w:rPr>
            </w:pPr>
            <w:r w:rsidRPr="000F34B9">
              <w:rPr>
                <w:rFonts w:cstheme="minorHAnsi"/>
                <w:sz w:val="16"/>
                <w:szCs w:val="16"/>
              </w:rPr>
              <w:t>[*]</w:t>
            </w:r>
            <w:r w:rsidRPr="000F34B9">
              <w:rPr>
                <w:rFonts w:cstheme="minorHAnsi"/>
                <w:i/>
                <w:sz w:val="16"/>
                <w:szCs w:val="16"/>
                <w:highlight w:val="yellow"/>
              </w:rPr>
              <w:t xml:space="preserve">ACCA Manual J is a standard for producing air </w:t>
            </w:r>
            <w:r w:rsidRPr="000F34B9">
              <w:rPr>
                <w:rFonts w:cstheme="minorHAnsi"/>
                <w:i/>
                <w:sz w:val="16"/>
                <w:szCs w:val="16"/>
                <w:highlight w:val="yellow"/>
              </w:rPr>
              <w:lastRenderedPageBreak/>
              <w:t>conditioning and heating load calculations</w:t>
            </w:r>
            <w:r w:rsidRPr="000F34B9">
              <w:rPr>
                <w:rFonts w:cstheme="minorHAnsi"/>
                <w:i/>
                <w:sz w:val="16"/>
                <w:szCs w:val="16"/>
              </w:rPr>
              <w:t xml:space="preserve"> for single family homes, small multi-unit residential structures, condominiums, town houses, and manufactured homes. </w:t>
            </w:r>
          </w:p>
          <w:p w14:paraId="1BCDB1D4" w14:textId="27AFA673" w:rsidR="002A26A6" w:rsidRPr="000F34B9" w:rsidRDefault="002A26A6" w:rsidP="00E42182">
            <w:pPr>
              <w:spacing w:before="2" w:after="2"/>
              <w:ind w:left="144" w:right="144"/>
              <w:rPr>
                <w:rFonts w:cstheme="minorHAnsi"/>
                <w:i/>
                <w:sz w:val="16"/>
                <w:szCs w:val="16"/>
              </w:rPr>
            </w:pPr>
            <w:r w:rsidRPr="000F34B9">
              <w:rPr>
                <w:rFonts w:cstheme="minorHAnsi"/>
                <w:sz w:val="16"/>
                <w:szCs w:val="16"/>
              </w:rPr>
              <w:t>[**]</w:t>
            </w:r>
            <w:r w:rsidRPr="000F34B9">
              <w:rPr>
                <w:rFonts w:cstheme="minorHAnsi"/>
                <w:i/>
                <w:sz w:val="16"/>
                <w:szCs w:val="16"/>
                <w:highlight w:val="yellow"/>
              </w:rPr>
              <w:t>ACCA Manual S provides sizing requirements for cooling and heating equipment</w:t>
            </w:r>
            <w:r w:rsidRPr="000F34B9">
              <w:rPr>
                <w:rFonts w:cstheme="minorHAnsi"/>
                <w:i/>
                <w:sz w:val="16"/>
                <w:szCs w:val="16"/>
              </w:rPr>
              <w:t>, allowing the selection of equipment based on sensible and latent loads and ensuring the selected equipment will be properly matched to the local climate.</w:t>
            </w:r>
          </w:p>
          <w:p w14:paraId="60C4ED00" w14:textId="45F5CC12" w:rsidR="002A26A6" w:rsidRPr="00823342" w:rsidRDefault="00ED329A" w:rsidP="00E42182">
            <w:pPr>
              <w:spacing w:before="2" w:after="2"/>
              <w:ind w:left="144" w:right="144"/>
              <w:rPr>
                <w:rFonts w:ascii="Arial" w:hAnsi="Arial" w:cs="Arial"/>
                <w:sz w:val="20"/>
                <w:szCs w:val="20"/>
              </w:rPr>
            </w:pPr>
            <w:hyperlink r:id="rId42" w:history="1">
              <w:proofErr w:type="spellStart"/>
              <w:r w:rsidR="002A26A6" w:rsidRPr="002A26A6">
                <w:rPr>
                  <w:rStyle w:val="Hyperlink"/>
                  <w:rFonts w:ascii="Arial" w:hAnsi="Arial" w:cs="Arial"/>
                  <w:sz w:val="20"/>
                  <w:szCs w:val="20"/>
                </w:rPr>
                <w:t>Mowris</w:t>
              </w:r>
              <w:proofErr w:type="spellEnd"/>
              <w:r w:rsidR="002A26A6" w:rsidRPr="002A26A6">
                <w:rPr>
                  <w:rStyle w:val="Hyperlink"/>
                  <w:rFonts w:ascii="Arial" w:hAnsi="Arial" w:cs="Arial"/>
                  <w:sz w:val="20"/>
                  <w:szCs w:val="20"/>
                </w:rPr>
                <w:t xml:space="preserve"> et al, Energy Savings from Properly Sized AC</w:t>
              </w:r>
            </w:hyperlink>
            <w:r w:rsidR="002A26A6">
              <w:rPr>
                <w:rFonts w:ascii="Arial" w:hAnsi="Arial" w:cs="Arial"/>
                <w:sz w:val="20"/>
                <w:szCs w:val="20"/>
              </w:rPr>
              <w:t xml:space="preserve"> [8]</w:t>
            </w:r>
          </w:p>
        </w:tc>
      </w:tr>
      <w:tr w:rsidR="002A26A6" w:rsidRPr="00823342" w14:paraId="6E42F65E" w14:textId="7DC5015F" w:rsidTr="00E80F4F">
        <w:trPr>
          <w:trHeight w:val="989"/>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6466AEAC" w14:textId="77777777"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5247F38B" w14:textId="77777777" w:rsidR="002A26A6" w:rsidRPr="00823342" w:rsidRDefault="002A26A6" w:rsidP="0015132F">
            <w:pPr>
              <w:spacing w:after="0"/>
              <w:jc w:val="center"/>
              <w:rPr>
                <w:rFonts w:ascii="Arial" w:hAnsi="Arial" w:cs="Arial"/>
                <w:sz w:val="20"/>
                <w:szCs w:val="20"/>
              </w:rPr>
            </w:pPr>
            <w:r w:rsidRPr="00823342">
              <w:rPr>
                <w:rFonts w:ascii="Arial" w:hAnsi="Arial" w:cs="Arial"/>
                <w:sz w:val="20"/>
                <w:szCs w:val="20"/>
              </w:rPr>
              <w:t>5</w:t>
            </w:r>
          </w:p>
        </w:tc>
        <w:tc>
          <w:tcPr>
            <w:tcW w:w="897" w:type="dxa"/>
            <w:tcBorders>
              <w:top w:val="single" w:sz="8" w:space="0" w:color="141313"/>
              <w:left w:val="single" w:sz="8" w:space="0" w:color="141313"/>
              <w:bottom w:val="single" w:sz="8" w:space="0" w:color="141313"/>
              <w:right w:val="single" w:sz="8" w:space="0" w:color="141313"/>
            </w:tcBorders>
          </w:tcPr>
          <w:p w14:paraId="5CE88950" w14:textId="77777777" w:rsidR="002A26A6" w:rsidRPr="00823342" w:rsidRDefault="002A26A6" w:rsidP="00DA27E0">
            <w:pPr>
              <w:spacing w:after="0"/>
              <w:jc w:val="center"/>
              <w:rPr>
                <w:rFonts w:ascii="Arial" w:hAnsi="Arial" w:cs="Arial"/>
                <w:b/>
                <w:bCs/>
                <w:sz w:val="20"/>
                <w:szCs w:val="20"/>
              </w:rPr>
            </w:pP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D570D63" w14:textId="36DD2531" w:rsidR="002A26A6" w:rsidRPr="00823342" w:rsidRDefault="002A26A6" w:rsidP="0015132F">
            <w:pPr>
              <w:spacing w:after="0"/>
              <w:rPr>
                <w:rFonts w:ascii="Arial" w:hAnsi="Arial" w:cs="Arial"/>
                <w:sz w:val="20"/>
                <w:szCs w:val="20"/>
              </w:rPr>
            </w:pPr>
            <w:r w:rsidRPr="00823342">
              <w:rPr>
                <w:rFonts w:ascii="Arial" w:hAnsi="Arial" w:cs="Arial"/>
                <w:b/>
                <w:bCs/>
                <w:sz w:val="20"/>
                <w:szCs w:val="20"/>
              </w:rPr>
              <w:t xml:space="preserve">HVAC System </w:t>
            </w:r>
            <w:proofErr w:type="spellStart"/>
            <w:r w:rsidRPr="00823342">
              <w:rPr>
                <w:rFonts w:ascii="Arial" w:hAnsi="Arial" w:cs="Arial"/>
                <w:b/>
                <w:bCs/>
                <w:sz w:val="20"/>
                <w:szCs w:val="20"/>
              </w:rPr>
              <w:t>basecase</w:t>
            </w:r>
            <w:proofErr w:type="spellEnd"/>
            <w:r w:rsidRPr="00823342">
              <w:rPr>
                <w:rFonts w:ascii="Arial" w:hAnsi="Arial" w:cs="Arial"/>
                <w:b/>
                <w:bCs/>
                <w:sz w:val="20"/>
                <w:szCs w:val="20"/>
              </w:rPr>
              <w:br/>
              <w:t xml:space="preserve">HVAC Sub-systems </w:t>
            </w:r>
            <w:proofErr w:type="spellStart"/>
            <w:r w:rsidRPr="00823342">
              <w:rPr>
                <w:rFonts w:ascii="Arial" w:hAnsi="Arial" w:cs="Arial"/>
                <w:b/>
                <w:bCs/>
                <w:sz w:val="20"/>
                <w:szCs w:val="20"/>
              </w:rPr>
              <w:t>basecase</w:t>
            </w:r>
            <w:proofErr w:type="spellEnd"/>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7FA96C66"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SEER; duct leakage; duct insulation; flow performance; etc.</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091DC785"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3770518B" w14:textId="77777777" w:rsidR="002A26A6" w:rsidRDefault="00ED329A" w:rsidP="00E42182">
            <w:pPr>
              <w:spacing w:before="2" w:after="2"/>
              <w:ind w:left="144" w:right="144"/>
              <w:rPr>
                <w:rFonts w:ascii="Arial" w:hAnsi="Arial" w:cs="Arial"/>
                <w:sz w:val="20"/>
                <w:szCs w:val="20"/>
                <w:lang w:val="de-DE"/>
              </w:rPr>
            </w:pPr>
            <w:hyperlink r:id="rId43" w:history="1">
              <w:r w:rsidR="002A26A6" w:rsidRPr="00D93D6C">
                <w:rPr>
                  <w:rStyle w:val="Hyperlink"/>
                  <w:rFonts w:ascii="Arial" w:hAnsi="Arial" w:cs="Arial"/>
                  <w:sz w:val="20"/>
                  <w:szCs w:val="20"/>
                  <w:lang w:val="de-DE"/>
                </w:rPr>
                <w:t>DEER</w:t>
              </w:r>
            </w:hyperlink>
            <w:r w:rsidR="002A26A6">
              <w:rPr>
                <w:rFonts w:ascii="Arial" w:hAnsi="Arial" w:cs="Arial"/>
                <w:sz w:val="20"/>
                <w:szCs w:val="20"/>
                <w:lang w:val="de-DE"/>
              </w:rPr>
              <w:t xml:space="preserve"> [1] [2]</w:t>
            </w:r>
          </w:p>
          <w:p w14:paraId="567C0119" w14:textId="6AF514BD" w:rsidR="002A26A6" w:rsidRPr="00823342" w:rsidRDefault="002A26A6" w:rsidP="00E42182">
            <w:pPr>
              <w:spacing w:before="2" w:after="2"/>
              <w:ind w:left="144" w:right="144"/>
              <w:rPr>
                <w:rFonts w:ascii="Arial" w:hAnsi="Arial" w:cs="Arial"/>
                <w:sz w:val="20"/>
                <w:szCs w:val="20"/>
              </w:rPr>
            </w:pPr>
          </w:p>
        </w:tc>
        <w:tc>
          <w:tcPr>
            <w:tcW w:w="4050" w:type="dxa"/>
            <w:tcBorders>
              <w:top w:val="single" w:sz="8" w:space="0" w:color="141313"/>
              <w:left w:val="single" w:sz="8" w:space="0" w:color="141313"/>
              <w:bottom w:val="single" w:sz="8" w:space="0" w:color="141313"/>
              <w:right w:val="single" w:sz="8" w:space="0" w:color="141313"/>
            </w:tcBorders>
          </w:tcPr>
          <w:p w14:paraId="04599EC6" w14:textId="77777777" w:rsidR="002A26A6" w:rsidRDefault="002A26A6" w:rsidP="00E42182">
            <w:pPr>
              <w:spacing w:before="2" w:after="2"/>
              <w:ind w:left="144" w:right="144"/>
              <w:rPr>
                <w:rFonts w:ascii="Arial" w:hAnsi="Arial" w:cs="Arial"/>
                <w:sz w:val="20"/>
                <w:szCs w:val="20"/>
                <w:lang w:val="de-DE"/>
              </w:rPr>
            </w:pPr>
          </w:p>
          <w:p w14:paraId="429F53DC" w14:textId="77777777" w:rsidR="002A26A6" w:rsidRDefault="00ED329A" w:rsidP="00E42182">
            <w:pPr>
              <w:spacing w:before="2" w:after="2"/>
              <w:ind w:left="144" w:right="144"/>
              <w:rPr>
                <w:rFonts w:ascii="Arial" w:hAnsi="Arial" w:cs="Arial"/>
                <w:sz w:val="20"/>
                <w:szCs w:val="20"/>
                <w:lang w:val="de-DE"/>
              </w:rPr>
            </w:pPr>
            <w:hyperlink r:id="rId44" w:history="1">
              <w:r w:rsidR="002A26A6" w:rsidRPr="00D93D6C">
                <w:rPr>
                  <w:rStyle w:val="Hyperlink"/>
                  <w:rFonts w:ascii="Arial" w:hAnsi="Arial" w:cs="Arial"/>
                  <w:sz w:val="20"/>
                  <w:szCs w:val="20"/>
                  <w:lang w:val="de-DE"/>
                </w:rPr>
                <w:t>WO32</w:t>
              </w:r>
            </w:hyperlink>
            <w:r w:rsidR="002A26A6">
              <w:rPr>
                <w:rFonts w:ascii="Arial" w:hAnsi="Arial" w:cs="Arial"/>
                <w:sz w:val="20"/>
                <w:szCs w:val="20"/>
                <w:lang w:val="de-DE"/>
              </w:rPr>
              <w:t xml:space="preserve"> [11]</w:t>
            </w:r>
          </w:p>
          <w:p w14:paraId="09D29AB1" w14:textId="77777777" w:rsidR="002A26A6" w:rsidRPr="00823342" w:rsidRDefault="002A26A6" w:rsidP="00E42182">
            <w:pPr>
              <w:spacing w:before="2" w:after="2"/>
              <w:ind w:left="144" w:right="144"/>
              <w:rPr>
                <w:rFonts w:ascii="Arial" w:hAnsi="Arial" w:cs="Arial"/>
                <w:sz w:val="20"/>
                <w:szCs w:val="20"/>
                <w:lang w:val="de-DE"/>
              </w:rPr>
            </w:pPr>
          </w:p>
        </w:tc>
      </w:tr>
      <w:tr w:rsidR="002A26A6" w:rsidRPr="00823342" w14:paraId="6ADFF0A1" w14:textId="6F853178" w:rsidTr="00E80F4F">
        <w:trPr>
          <w:trHeight w:val="486"/>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19F26FA2" w14:textId="77777777"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04B15A85" w14:textId="77777777" w:rsidR="002A26A6" w:rsidRPr="00823342" w:rsidRDefault="002A26A6" w:rsidP="0015132F">
            <w:pPr>
              <w:spacing w:after="0"/>
              <w:jc w:val="center"/>
              <w:rPr>
                <w:rFonts w:ascii="Arial" w:hAnsi="Arial" w:cs="Arial"/>
                <w:sz w:val="20"/>
                <w:szCs w:val="20"/>
              </w:rPr>
            </w:pPr>
            <w:r w:rsidRPr="00823342">
              <w:rPr>
                <w:rFonts w:ascii="Arial" w:hAnsi="Arial" w:cs="Arial"/>
                <w:sz w:val="20"/>
                <w:szCs w:val="20"/>
              </w:rPr>
              <w:t>6</w:t>
            </w:r>
          </w:p>
        </w:tc>
        <w:tc>
          <w:tcPr>
            <w:tcW w:w="897" w:type="dxa"/>
            <w:tcBorders>
              <w:top w:val="single" w:sz="8" w:space="0" w:color="141313"/>
              <w:left w:val="single" w:sz="8" w:space="0" w:color="141313"/>
              <w:bottom w:val="single" w:sz="8" w:space="0" w:color="141313"/>
              <w:right w:val="single" w:sz="8" w:space="0" w:color="141313"/>
            </w:tcBorders>
          </w:tcPr>
          <w:p w14:paraId="7BF38498" w14:textId="77777777" w:rsidR="002A26A6" w:rsidRPr="00823342" w:rsidRDefault="002A26A6" w:rsidP="00DA27E0">
            <w:pPr>
              <w:spacing w:after="0"/>
              <w:jc w:val="center"/>
              <w:rPr>
                <w:rFonts w:ascii="Arial" w:hAnsi="Arial" w:cs="Arial"/>
                <w:b/>
                <w:bCs/>
                <w:sz w:val="20"/>
                <w:szCs w:val="20"/>
              </w:rPr>
            </w:pP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2EA4A6E" w14:textId="5FE8AAF6" w:rsidR="002A26A6" w:rsidRPr="00823342" w:rsidRDefault="002A26A6" w:rsidP="0015132F">
            <w:pPr>
              <w:spacing w:after="0"/>
              <w:rPr>
                <w:rFonts w:ascii="Arial" w:hAnsi="Arial" w:cs="Arial"/>
                <w:sz w:val="20"/>
                <w:szCs w:val="20"/>
              </w:rPr>
            </w:pPr>
            <w:r w:rsidRPr="00823342">
              <w:rPr>
                <w:rFonts w:ascii="Arial" w:hAnsi="Arial" w:cs="Arial"/>
                <w:b/>
                <w:bCs/>
                <w:sz w:val="20"/>
                <w:szCs w:val="20"/>
              </w:rPr>
              <w:t>Delivery Mechanism</w:t>
            </w:r>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11361496"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 xml:space="preserve">ROB </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0E454D39"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13B03B4F" w14:textId="77777777" w:rsidR="002A26A6" w:rsidRPr="00823342" w:rsidRDefault="002A26A6" w:rsidP="00E42182">
            <w:pPr>
              <w:spacing w:before="2" w:after="2"/>
              <w:ind w:left="144" w:right="144"/>
              <w:rPr>
                <w:rFonts w:ascii="Arial" w:hAnsi="Arial" w:cs="Arial"/>
                <w:sz w:val="20"/>
                <w:szCs w:val="20"/>
              </w:rPr>
            </w:pPr>
            <w:r w:rsidRPr="00823342">
              <w:rPr>
                <w:rFonts w:ascii="Arial" w:hAnsi="Arial" w:cs="Arial"/>
                <w:sz w:val="20"/>
                <w:szCs w:val="20"/>
              </w:rPr>
              <w:t>Program Requirements</w:t>
            </w:r>
          </w:p>
        </w:tc>
        <w:tc>
          <w:tcPr>
            <w:tcW w:w="4050" w:type="dxa"/>
            <w:tcBorders>
              <w:top w:val="single" w:sz="8" w:space="0" w:color="141313"/>
              <w:left w:val="single" w:sz="8" w:space="0" w:color="141313"/>
              <w:bottom w:val="single" w:sz="8" w:space="0" w:color="141313"/>
              <w:right w:val="single" w:sz="8" w:space="0" w:color="141313"/>
            </w:tcBorders>
          </w:tcPr>
          <w:p w14:paraId="63C7B922" w14:textId="77777777" w:rsidR="002A26A6" w:rsidRPr="00823342" w:rsidRDefault="002A26A6" w:rsidP="00E42182">
            <w:pPr>
              <w:spacing w:before="2" w:after="2"/>
              <w:ind w:left="144" w:right="144"/>
              <w:rPr>
                <w:rFonts w:ascii="Arial" w:hAnsi="Arial" w:cs="Arial"/>
                <w:sz w:val="20"/>
                <w:szCs w:val="20"/>
              </w:rPr>
            </w:pPr>
          </w:p>
        </w:tc>
      </w:tr>
      <w:tr w:rsidR="002A26A6" w:rsidRPr="00823342" w14:paraId="4AFDD6DE" w14:textId="001646D1" w:rsidTr="00E80F4F">
        <w:trPr>
          <w:trHeight w:val="744"/>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2C1F53C4" w14:textId="77777777"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48DD42AC" w14:textId="77777777" w:rsidR="002A26A6" w:rsidRPr="00823342" w:rsidRDefault="002A26A6" w:rsidP="002A26A6">
            <w:pPr>
              <w:spacing w:after="0"/>
              <w:jc w:val="center"/>
              <w:rPr>
                <w:rFonts w:ascii="Arial" w:hAnsi="Arial" w:cs="Arial"/>
                <w:sz w:val="20"/>
                <w:szCs w:val="20"/>
              </w:rPr>
            </w:pPr>
            <w:r w:rsidRPr="00823342">
              <w:rPr>
                <w:rFonts w:ascii="Arial" w:hAnsi="Arial" w:cs="Arial"/>
                <w:sz w:val="20"/>
                <w:szCs w:val="20"/>
              </w:rPr>
              <w:t>7</w:t>
            </w:r>
          </w:p>
        </w:tc>
        <w:tc>
          <w:tcPr>
            <w:tcW w:w="897" w:type="dxa"/>
            <w:tcBorders>
              <w:top w:val="single" w:sz="8" w:space="0" w:color="141313"/>
              <w:left w:val="single" w:sz="8" w:space="0" w:color="141313"/>
              <w:bottom w:val="single" w:sz="8" w:space="0" w:color="141313"/>
              <w:right w:val="single" w:sz="8" w:space="0" w:color="141313"/>
            </w:tcBorders>
            <w:vAlign w:val="center"/>
          </w:tcPr>
          <w:p w14:paraId="59D4B7DE" w14:textId="2F29253C" w:rsidR="002A26A6" w:rsidRPr="00823342" w:rsidRDefault="002A26A6" w:rsidP="00DA27E0">
            <w:pPr>
              <w:spacing w:after="0"/>
              <w:jc w:val="center"/>
              <w:rPr>
                <w:rFonts w:ascii="Arial" w:hAnsi="Arial" w:cs="Arial"/>
                <w:b/>
                <w:bCs/>
                <w:sz w:val="20"/>
                <w:szCs w:val="20"/>
              </w:rPr>
            </w:pPr>
            <w:r>
              <w:rPr>
                <w:rFonts w:ascii="Arial" w:hAnsi="Arial" w:cs="Arial"/>
                <w:bCs/>
                <w:sz w:val="20"/>
                <w:szCs w:val="20"/>
              </w:rPr>
              <w:t>Medium Impact</w:t>
            </w: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712538BE" w14:textId="4832A445" w:rsidR="002A26A6" w:rsidRDefault="002A26A6" w:rsidP="0015132F">
            <w:pPr>
              <w:spacing w:after="0"/>
              <w:rPr>
                <w:rFonts w:ascii="Arial" w:hAnsi="Arial" w:cs="Arial"/>
                <w:b/>
                <w:bCs/>
                <w:sz w:val="20"/>
                <w:szCs w:val="20"/>
              </w:rPr>
            </w:pPr>
            <w:r w:rsidRPr="00823342">
              <w:rPr>
                <w:rFonts w:ascii="Arial" w:hAnsi="Arial" w:cs="Arial"/>
                <w:b/>
                <w:bCs/>
                <w:sz w:val="20"/>
                <w:szCs w:val="20"/>
              </w:rPr>
              <w:t>System Efficiency</w:t>
            </w:r>
          </w:p>
          <w:p w14:paraId="3BFEB6B4" w14:textId="77777777" w:rsidR="002A26A6" w:rsidRDefault="002A26A6" w:rsidP="0015132F">
            <w:pPr>
              <w:spacing w:after="0"/>
              <w:rPr>
                <w:rFonts w:ascii="Arial" w:hAnsi="Arial" w:cs="Arial"/>
                <w:b/>
                <w:bCs/>
                <w:sz w:val="20"/>
                <w:szCs w:val="20"/>
              </w:rPr>
            </w:pPr>
          </w:p>
          <w:p w14:paraId="6B538A5D" w14:textId="35B3DD99" w:rsidR="002A26A6" w:rsidRPr="00823342" w:rsidRDefault="002A26A6" w:rsidP="0015132F">
            <w:pPr>
              <w:spacing w:after="0"/>
              <w:rPr>
                <w:rFonts w:ascii="Arial" w:hAnsi="Arial" w:cs="Arial"/>
                <w:sz w:val="20"/>
                <w:szCs w:val="20"/>
              </w:rPr>
            </w:pPr>
            <w:r w:rsidRPr="00823342">
              <w:rPr>
                <w:rFonts w:ascii="Arial" w:hAnsi="Arial" w:cs="Arial"/>
                <w:b/>
                <w:bCs/>
                <w:sz w:val="20"/>
                <w:szCs w:val="20"/>
              </w:rPr>
              <w:t>EIR (at ARI rated conditions)</w:t>
            </w:r>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7EEFEF5E"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System Efficiency (SEER)</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174D3BFB"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COOLING-EIR</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3D95AE9B" w14:textId="7DCA8BAF" w:rsidR="002A26A6" w:rsidRPr="000F34B9" w:rsidRDefault="002A26A6" w:rsidP="00E42182">
            <w:pPr>
              <w:spacing w:before="2" w:after="2"/>
              <w:ind w:left="144" w:right="144"/>
              <w:rPr>
                <w:sz w:val="16"/>
                <w:szCs w:val="16"/>
              </w:rPr>
            </w:pPr>
            <w:r w:rsidRPr="000F34B9">
              <w:rPr>
                <w:sz w:val="16"/>
                <w:szCs w:val="16"/>
                <w:highlight w:val="yellow"/>
              </w:rPr>
              <w:t>Since the delivery mechanism on measure is Replace on Burnout (ROB), equipment efficiency (including base case efficiency) compares between the Code Case (e.g., SEER 14) and Measure Case</w:t>
            </w:r>
          </w:p>
          <w:p w14:paraId="0902C9A1" w14:textId="01A29427" w:rsidR="002A26A6" w:rsidRPr="00823342" w:rsidRDefault="002A26A6" w:rsidP="00E42182">
            <w:pPr>
              <w:spacing w:before="2" w:after="2"/>
              <w:ind w:left="144" w:right="144"/>
              <w:rPr>
                <w:rFonts w:ascii="Arial" w:hAnsi="Arial" w:cs="Arial"/>
                <w:sz w:val="20"/>
                <w:szCs w:val="20"/>
              </w:rPr>
            </w:pPr>
            <w:r w:rsidRPr="000F34B9">
              <w:rPr>
                <w:b/>
                <w:sz w:val="16"/>
                <w:szCs w:val="16"/>
              </w:rPr>
              <w:t>Updated Residential HVAC Measures</w:t>
            </w:r>
            <w:r w:rsidRPr="000F34B9">
              <w:rPr>
                <w:sz w:val="16"/>
                <w:szCs w:val="16"/>
              </w:rPr>
              <w:t xml:space="preserve"> - SEER ratings and tiers on equipment efficiency in 2015 version of the workpaper, including both Air Conditioners and Heat Pumps, will be consistent with that documented in 2015 DEER updates, which includes additional tier levels and size ranges as required by the code update.</w:t>
            </w:r>
          </w:p>
        </w:tc>
        <w:tc>
          <w:tcPr>
            <w:tcW w:w="4050" w:type="dxa"/>
            <w:tcBorders>
              <w:top w:val="single" w:sz="8" w:space="0" w:color="141313"/>
              <w:left w:val="single" w:sz="8" w:space="0" w:color="141313"/>
              <w:bottom w:val="single" w:sz="8" w:space="0" w:color="141313"/>
              <w:right w:val="single" w:sz="8" w:space="0" w:color="141313"/>
            </w:tcBorders>
          </w:tcPr>
          <w:p w14:paraId="71A75DE5" w14:textId="77777777" w:rsidR="002A26A6" w:rsidRPr="00823342" w:rsidRDefault="002A26A6" w:rsidP="00E42182">
            <w:pPr>
              <w:spacing w:before="2" w:after="2"/>
              <w:ind w:left="144" w:right="144"/>
              <w:rPr>
                <w:rFonts w:ascii="Arial" w:hAnsi="Arial" w:cs="Arial"/>
                <w:sz w:val="20"/>
                <w:szCs w:val="20"/>
              </w:rPr>
            </w:pPr>
          </w:p>
        </w:tc>
      </w:tr>
      <w:tr w:rsidR="002A26A6" w:rsidRPr="00823342" w14:paraId="73795D4B" w14:textId="3CCA0D35" w:rsidTr="00E80F4F">
        <w:trPr>
          <w:trHeight w:val="499"/>
        </w:trPr>
        <w:tc>
          <w:tcPr>
            <w:tcW w:w="62" w:type="dxa"/>
            <w:tcBorders>
              <w:top w:val="single" w:sz="8" w:space="0" w:color="FFFFFF"/>
              <w:left w:val="single" w:sz="8" w:space="0" w:color="FFFFFF"/>
              <w:bottom w:val="single" w:sz="8" w:space="0" w:color="FFFFFF"/>
              <w:right w:val="single" w:sz="8" w:space="0" w:color="141313"/>
            </w:tcBorders>
            <w:shd w:val="clear" w:color="auto" w:fill="auto"/>
            <w:tcMar>
              <w:top w:w="9" w:type="dxa"/>
              <w:left w:w="9" w:type="dxa"/>
              <w:bottom w:w="0" w:type="dxa"/>
              <w:right w:w="9" w:type="dxa"/>
            </w:tcMar>
            <w:vAlign w:val="bottom"/>
            <w:hideMark/>
          </w:tcPr>
          <w:p w14:paraId="0728D107" w14:textId="77777777" w:rsidR="002A26A6" w:rsidRPr="00823342" w:rsidRDefault="002A26A6" w:rsidP="00823342">
            <w:pPr>
              <w:spacing w:after="0"/>
              <w:ind w:left="360"/>
              <w:rPr>
                <w:rFonts w:ascii="Arial" w:hAnsi="Arial" w:cs="Arial"/>
                <w:sz w:val="20"/>
                <w:szCs w:val="20"/>
              </w:rPr>
            </w:pPr>
          </w:p>
        </w:tc>
        <w:tc>
          <w:tcPr>
            <w:tcW w:w="580" w:type="dxa"/>
            <w:tcBorders>
              <w:top w:val="single" w:sz="8" w:space="0" w:color="141313"/>
              <w:left w:val="single" w:sz="8" w:space="0" w:color="141313"/>
              <w:bottom w:val="single" w:sz="8" w:space="0" w:color="141313"/>
              <w:right w:val="single" w:sz="8" w:space="0" w:color="141313"/>
            </w:tcBorders>
            <w:shd w:val="clear" w:color="auto" w:fill="auto"/>
            <w:tcMar>
              <w:top w:w="9" w:type="dxa"/>
              <w:left w:w="9" w:type="dxa"/>
              <w:bottom w:w="0" w:type="dxa"/>
              <w:right w:w="9" w:type="dxa"/>
            </w:tcMar>
            <w:vAlign w:val="center"/>
            <w:hideMark/>
          </w:tcPr>
          <w:p w14:paraId="43E7ACDE" w14:textId="77777777" w:rsidR="002A26A6" w:rsidRPr="00823342" w:rsidRDefault="002A26A6" w:rsidP="0015132F">
            <w:pPr>
              <w:spacing w:after="0"/>
              <w:jc w:val="center"/>
              <w:rPr>
                <w:rFonts w:ascii="Arial" w:hAnsi="Arial" w:cs="Arial"/>
                <w:sz w:val="20"/>
                <w:szCs w:val="20"/>
              </w:rPr>
            </w:pPr>
            <w:r w:rsidRPr="00823342">
              <w:rPr>
                <w:rFonts w:ascii="Arial" w:hAnsi="Arial" w:cs="Arial"/>
                <w:sz w:val="20"/>
                <w:szCs w:val="20"/>
              </w:rPr>
              <w:t>8</w:t>
            </w:r>
          </w:p>
        </w:tc>
        <w:tc>
          <w:tcPr>
            <w:tcW w:w="897" w:type="dxa"/>
            <w:tcBorders>
              <w:top w:val="single" w:sz="8" w:space="0" w:color="141313"/>
              <w:left w:val="single" w:sz="8" w:space="0" w:color="141313"/>
              <w:bottom w:val="single" w:sz="8" w:space="0" w:color="141313"/>
              <w:right w:val="single" w:sz="8" w:space="0" w:color="141313"/>
            </w:tcBorders>
          </w:tcPr>
          <w:p w14:paraId="707E760D" w14:textId="77777777" w:rsidR="002A26A6" w:rsidRPr="00823342" w:rsidRDefault="002A26A6" w:rsidP="00DA27E0">
            <w:pPr>
              <w:spacing w:after="0"/>
              <w:jc w:val="center"/>
              <w:rPr>
                <w:rFonts w:ascii="Arial" w:hAnsi="Arial" w:cs="Arial"/>
                <w:b/>
                <w:bCs/>
                <w:sz w:val="20"/>
                <w:szCs w:val="20"/>
              </w:rPr>
            </w:pPr>
          </w:p>
        </w:tc>
        <w:tc>
          <w:tcPr>
            <w:tcW w:w="1528"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9DFAAC0" w14:textId="509EA075" w:rsidR="002A26A6" w:rsidRPr="00823342" w:rsidRDefault="002A26A6" w:rsidP="0015132F">
            <w:pPr>
              <w:spacing w:after="0"/>
              <w:rPr>
                <w:rFonts w:ascii="Arial" w:hAnsi="Arial" w:cs="Arial"/>
                <w:sz w:val="20"/>
                <w:szCs w:val="20"/>
              </w:rPr>
            </w:pPr>
            <w:r w:rsidRPr="00823342">
              <w:rPr>
                <w:rFonts w:ascii="Arial" w:hAnsi="Arial" w:cs="Arial"/>
                <w:b/>
                <w:bCs/>
                <w:sz w:val="20"/>
                <w:szCs w:val="20"/>
              </w:rPr>
              <w:t>Refrigerant Charge Adjustment (RCA)</w:t>
            </w:r>
          </w:p>
        </w:tc>
        <w:tc>
          <w:tcPr>
            <w:tcW w:w="189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04A64306" w14:textId="77777777" w:rsidR="002A26A6" w:rsidRPr="00823342" w:rsidRDefault="002A26A6" w:rsidP="00823342">
            <w:pPr>
              <w:spacing w:after="0"/>
              <w:ind w:left="360"/>
              <w:rPr>
                <w:rFonts w:ascii="Arial" w:hAnsi="Arial" w:cs="Arial"/>
                <w:sz w:val="20"/>
                <w:szCs w:val="20"/>
              </w:rPr>
            </w:pPr>
            <w:r w:rsidRPr="00823342">
              <w:rPr>
                <w:rFonts w:ascii="Arial" w:hAnsi="Arial" w:cs="Arial"/>
                <w:sz w:val="20"/>
                <w:szCs w:val="20"/>
              </w:rPr>
              <w:t>-</w:t>
            </w:r>
          </w:p>
        </w:tc>
        <w:tc>
          <w:tcPr>
            <w:tcW w:w="1260"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54F3E40A" w14:textId="77777777" w:rsidR="002A26A6" w:rsidRPr="00823342" w:rsidRDefault="002A26A6" w:rsidP="0015132F">
            <w:pPr>
              <w:spacing w:after="0"/>
              <w:rPr>
                <w:rFonts w:ascii="Arial" w:hAnsi="Arial" w:cs="Arial"/>
                <w:sz w:val="20"/>
                <w:szCs w:val="20"/>
              </w:rPr>
            </w:pPr>
            <w:r w:rsidRPr="00823342">
              <w:rPr>
                <w:rFonts w:ascii="Arial" w:hAnsi="Arial" w:cs="Arial"/>
                <w:sz w:val="20"/>
                <w:szCs w:val="20"/>
              </w:rPr>
              <w:t>-</w:t>
            </w:r>
          </w:p>
        </w:tc>
        <w:tc>
          <w:tcPr>
            <w:tcW w:w="3062" w:type="dxa"/>
            <w:tcBorders>
              <w:top w:val="single" w:sz="8" w:space="0" w:color="141313"/>
              <w:left w:val="single" w:sz="8" w:space="0" w:color="141313"/>
              <w:bottom w:val="single" w:sz="8" w:space="0" w:color="141313"/>
              <w:right w:val="single" w:sz="8" w:space="0" w:color="141313"/>
            </w:tcBorders>
            <w:shd w:val="clear" w:color="auto" w:fill="auto"/>
            <w:tcMar>
              <w:top w:w="9" w:type="dxa"/>
              <w:left w:w="222" w:type="dxa"/>
              <w:bottom w:w="0" w:type="dxa"/>
              <w:right w:w="9" w:type="dxa"/>
            </w:tcMar>
            <w:vAlign w:val="center"/>
            <w:hideMark/>
          </w:tcPr>
          <w:p w14:paraId="2B8048E6" w14:textId="7AB7F1F7" w:rsidR="002A26A6" w:rsidRPr="00DA27E0" w:rsidRDefault="00ED329A" w:rsidP="00E42182">
            <w:pPr>
              <w:spacing w:before="2" w:after="2"/>
              <w:ind w:left="144" w:right="144"/>
              <w:rPr>
                <w:rFonts w:ascii="Arial" w:hAnsi="Arial" w:cs="Arial"/>
                <w:sz w:val="20"/>
                <w:szCs w:val="20"/>
                <w:lang w:val="de-DE"/>
              </w:rPr>
            </w:pPr>
            <w:hyperlink r:id="rId45" w:history="1">
              <w:r w:rsidR="00DA27E0" w:rsidRPr="00D93D6C">
                <w:rPr>
                  <w:rStyle w:val="Hyperlink"/>
                  <w:rFonts w:ascii="Arial" w:hAnsi="Arial" w:cs="Arial"/>
                  <w:sz w:val="20"/>
                  <w:szCs w:val="20"/>
                  <w:lang w:val="de-DE"/>
                </w:rPr>
                <w:t>DEER</w:t>
              </w:r>
            </w:hyperlink>
            <w:r w:rsidR="00DA27E0">
              <w:rPr>
                <w:rFonts w:ascii="Arial" w:hAnsi="Arial" w:cs="Arial"/>
                <w:sz w:val="20"/>
                <w:szCs w:val="20"/>
                <w:lang w:val="de-DE"/>
              </w:rPr>
              <w:t xml:space="preserve"> [1] [2]</w:t>
            </w:r>
          </w:p>
        </w:tc>
        <w:tc>
          <w:tcPr>
            <w:tcW w:w="4050" w:type="dxa"/>
            <w:tcBorders>
              <w:top w:val="single" w:sz="8" w:space="0" w:color="141313"/>
              <w:left w:val="single" w:sz="8" w:space="0" w:color="141313"/>
              <w:bottom w:val="single" w:sz="8" w:space="0" w:color="141313"/>
              <w:right w:val="single" w:sz="8" w:space="0" w:color="141313"/>
            </w:tcBorders>
          </w:tcPr>
          <w:p w14:paraId="2E698AD6" w14:textId="1B72C537" w:rsidR="002A26A6" w:rsidRPr="002A26A6" w:rsidRDefault="00ED329A" w:rsidP="00E42182">
            <w:pPr>
              <w:spacing w:before="2" w:after="2"/>
              <w:ind w:left="144" w:right="144"/>
              <w:rPr>
                <w:rFonts w:ascii="Arial" w:hAnsi="Arial" w:cs="Arial"/>
                <w:sz w:val="20"/>
                <w:szCs w:val="20"/>
                <w:lang w:val="de-DE"/>
              </w:rPr>
            </w:pPr>
            <w:hyperlink r:id="rId46" w:history="1">
              <w:r w:rsidR="002A26A6" w:rsidRPr="00D93D6C">
                <w:rPr>
                  <w:rStyle w:val="Hyperlink"/>
                  <w:rFonts w:ascii="Arial" w:hAnsi="Arial" w:cs="Arial"/>
                  <w:sz w:val="20"/>
                  <w:szCs w:val="20"/>
                  <w:lang w:val="de-DE"/>
                </w:rPr>
                <w:t>WO32</w:t>
              </w:r>
            </w:hyperlink>
            <w:r w:rsidR="002A26A6">
              <w:rPr>
                <w:rFonts w:ascii="Arial" w:hAnsi="Arial" w:cs="Arial"/>
                <w:sz w:val="20"/>
                <w:szCs w:val="20"/>
                <w:lang w:val="de-DE"/>
              </w:rPr>
              <w:t xml:space="preserve"> [11]</w:t>
            </w:r>
          </w:p>
        </w:tc>
      </w:tr>
    </w:tbl>
    <w:p w14:paraId="128B2324" w14:textId="77777777" w:rsidR="008605D1" w:rsidRDefault="008605D1" w:rsidP="00D93D6C">
      <w:pPr>
        <w:spacing w:after="0"/>
        <w:rPr>
          <w:rFonts w:ascii="Arial" w:hAnsi="Arial" w:cs="Arial"/>
          <w:sz w:val="20"/>
          <w:szCs w:val="20"/>
        </w:rPr>
      </w:pPr>
    </w:p>
    <w:p w14:paraId="75DA0270" w14:textId="77777777" w:rsidR="00D93D6C" w:rsidRPr="00D93D6C" w:rsidRDefault="00D93D6C" w:rsidP="00D93D6C">
      <w:pPr>
        <w:spacing w:after="0"/>
        <w:rPr>
          <w:rFonts w:ascii="Arial" w:hAnsi="Arial" w:cs="Arial"/>
          <w:sz w:val="20"/>
          <w:szCs w:val="20"/>
        </w:rPr>
      </w:pPr>
      <w:r w:rsidRPr="00D93D6C">
        <w:rPr>
          <w:rFonts w:ascii="Arial" w:hAnsi="Arial" w:cs="Arial"/>
          <w:sz w:val="20"/>
          <w:szCs w:val="20"/>
        </w:rPr>
        <w:lastRenderedPageBreak/>
        <w:t xml:space="preserve">[1] CPUC’s </w:t>
      </w:r>
      <w:proofErr w:type="spellStart"/>
      <w:r w:rsidRPr="00D93D6C">
        <w:rPr>
          <w:rFonts w:ascii="Arial" w:hAnsi="Arial" w:cs="Arial"/>
          <w:sz w:val="20"/>
          <w:szCs w:val="20"/>
        </w:rPr>
        <w:t>MASControl</w:t>
      </w:r>
      <w:proofErr w:type="spellEnd"/>
      <w:r w:rsidRPr="00D93D6C">
        <w:rPr>
          <w:rFonts w:ascii="Arial" w:hAnsi="Arial" w:cs="Arial"/>
          <w:sz w:val="20"/>
          <w:szCs w:val="20"/>
        </w:rPr>
        <w:t xml:space="preserve"> software application created to generate DEER prototypical buildings (including latest building vintages (e.g., 2013) with current code updates) and to overview pre-developed DEER measures.  The software application allows the use of existing prototypes to addressed non-DEER measures – </w:t>
      </w:r>
      <w:hyperlink r:id="rId47" w:history="1">
        <w:r w:rsidRPr="00D93D6C">
          <w:rPr>
            <w:rStyle w:val="Hyperlink"/>
            <w:rFonts w:ascii="Arial" w:hAnsi="Arial" w:cs="Arial"/>
            <w:sz w:val="20"/>
            <w:szCs w:val="20"/>
          </w:rPr>
          <w:t>www.deeresources.com</w:t>
        </w:r>
      </w:hyperlink>
      <w:r w:rsidRPr="00D93D6C">
        <w:rPr>
          <w:rStyle w:val="Hyperlink"/>
          <w:rFonts w:ascii="Arial" w:hAnsi="Arial" w:cs="Arial"/>
          <w:sz w:val="20"/>
          <w:szCs w:val="20"/>
        </w:rPr>
        <w:t>.</w:t>
      </w:r>
    </w:p>
    <w:p w14:paraId="479C76C0" w14:textId="77777777" w:rsidR="00D93D6C" w:rsidRPr="00D93D6C" w:rsidRDefault="00D93D6C" w:rsidP="00D93D6C">
      <w:pPr>
        <w:spacing w:after="0"/>
        <w:rPr>
          <w:rFonts w:ascii="Arial" w:hAnsi="Arial" w:cs="Arial"/>
          <w:sz w:val="20"/>
          <w:szCs w:val="20"/>
        </w:rPr>
      </w:pPr>
      <w:r w:rsidRPr="00D93D6C">
        <w:rPr>
          <w:rFonts w:ascii="Arial" w:hAnsi="Arial" w:cs="Arial"/>
          <w:sz w:val="20"/>
          <w:szCs w:val="20"/>
        </w:rPr>
        <w:t>[2] DEER SFM prototype with 1975 building vintage and California climate zone 6 (e.g., CZ06).</w:t>
      </w:r>
    </w:p>
    <w:p w14:paraId="58848B86" w14:textId="77777777" w:rsidR="00D93D6C" w:rsidRPr="00D93D6C" w:rsidRDefault="00D93D6C" w:rsidP="00D93D6C">
      <w:pPr>
        <w:spacing w:after="0"/>
        <w:rPr>
          <w:rFonts w:ascii="Arial" w:hAnsi="Arial" w:cs="Arial"/>
          <w:sz w:val="20"/>
          <w:szCs w:val="20"/>
        </w:rPr>
      </w:pPr>
      <w:r w:rsidRPr="00D93D6C">
        <w:rPr>
          <w:rFonts w:ascii="Arial" w:hAnsi="Arial" w:cs="Arial"/>
          <w:sz w:val="20"/>
          <w:szCs w:val="20"/>
        </w:rPr>
        <w:t xml:space="preserve">[3] Hidden Power Drains: Residential Heating and Cooling Fan Power Demand - John Proctor, Proctor Engineering Group, Ltd., Danny Parker, </w:t>
      </w:r>
      <w:proofErr w:type="gramStart"/>
      <w:r w:rsidRPr="00D93D6C">
        <w:rPr>
          <w:rFonts w:ascii="Arial" w:hAnsi="Arial" w:cs="Arial"/>
          <w:sz w:val="20"/>
          <w:szCs w:val="20"/>
        </w:rPr>
        <w:t>Florida</w:t>
      </w:r>
      <w:proofErr w:type="gramEnd"/>
      <w:r w:rsidRPr="00D93D6C">
        <w:rPr>
          <w:rFonts w:ascii="Arial" w:hAnsi="Arial" w:cs="Arial"/>
          <w:sz w:val="20"/>
          <w:szCs w:val="20"/>
        </w:rPr>
        <w:t xml:space="preserve"> Solar Energy Center. </w:t>
      </w:r>
      <w:hyperlink r:id="rId48" w:history="1">
        <w:r w:rsidRPr="00D93D6C">
          <w:rPr>
            <w:rStyle w:val="Hyperlink"/>
            <w:rFonts w:ascii="Arial" w:hAnsi="Arial" w:cs="Arial"/>
            <w:sz w:val="20"/>
            <w:szCs w:val="20"/>
          </w:rPr>
          <w:t>http://aceee.org/files/proceedings/2000/data/papers/SS00_Panel1_Paper19.pdf</w:t>
        </w:r>
      </w:hyperlink>
    </w:p>
    <w:p w14:paraId="6FE98378" w14:textId="5B252103" w:rsidR="00D93D6C" w:rsidRPr="00D93D6C" w:rsidRDefault="00D93D6C" w:rsidP="00D93D6C">
      <w:pPr>
        <w:spacing w:after="0"/>
        <w:rPr>
          <w:rFonts w:ascii="Arial" w:hAnsi="Arial" w:cs="Arial"/>
          <w:sz w:val="20"/>
          <w:szCs w:val="20"/>
        </w:rPr>
      </w:pPr>
      <w:r w:rsidRPr="00D93D6C">
        <w:rPr>
          <w:rFonts w:ascii="Arial" w:hAnsi="Arial" w:cs="Arial"/>
          <w:sz w:val="20"/>
          <w:szCs w:val="20"/>
        </w:rPr>
        <w:t xml:space="preserve">[4] 2004-2005 Database for Energy Efficiency Resources (DEER) Update Study, Final Report, </w:t>
      </w:r>
      <w:proofErr w:type="spellStart"/>
      <w:r w:rsidRPr="00D93D6C">
        <w:rPr>
          <w:rFonts w:ascii="Arial" w:hAnsi="Arial" w:cs="Arial"/>
          <w:sz w:val="20"/>
          <w:szCs w:val="20"/>
        </w:rPr>
        <w:t>Itron</w:t>
      </w:r>
      <w:proofErr w:type="spellEnd"/>
      <w:r w:rsidRPr="00D93D6C">
        <w:rPr>
          <w:rFonts w:ascii="Arial" w:hAnsi="Arial" w:cs="Arial"/>
          <w:sz w:val="20"/>
          <w:szCs w:val="20"/>
        </w:rPr>
        <w:t>, Inc.</w:t>
      </w:r>
      <w:r w:rsidR="002A26A6">
        <w:rPr>
          <w:rFonts w:ascii="Arial" w:hAnsi="Arial" w:cs="Arial"/>
          <w:sz w:val="20"/>
          <w:szCs w:val="20"/>
        </w:rPr>
        <w:t xml:space="preserve"> </w:t>
      </w:r>
      <w:hyperlink r:id="rId49" w:history="1">
        <w:r w:rsidR="002A26A6" w:rsidRPr="00A53084">
          <w:rPr>
            <w:rStyle w:val="Hyperlink"/>
            <w:rFonts w:ascii="Arial" w:hAnsi="Arial" w:cs="Arial"/>
            <w:sz w:val="20"/>
            <w:szCs w:val="20"/>
          </w:rPr>
          <w:t>http://deeresources.com/files/deer2005/downloads/DEER2005UpdateFinalReport_ItronVersion.pdf</w:t>
        </w:r>
      </w:hyperlink>
      <w:r w:rsidR="002A26A6">
        <w:rPr>
          <w:rFonts w:ascii="Arial" w:hAnsi="Arial" w:cs="Arial"/>
          <w:sz w:val="20"/>
          <w:szCs w:val="20"/>
        </w:rPr>
        <w:t xml:space="preserve"> </w:t>
      </w:r>
    </w:p>
    <w:p w14:paraId="6C659318" w14:textId="77777777" w:rsidR="00D93D6C" w:rsidRPr="00D93D6C" w:rsidRDefault="00D93D6C" w:rsidP="00D93D6C">
      <w:pPr>
        <w:pStyle w:val="ListParagraph"/>
        <w:spacing w:after="0"/>
        <w:ind w:left="0"/>
        <w:rPr>
          <w:rFonts w:ascii="Arial" w:hAnsi="Arial" w:cs="Arial"/>
          <w:sz w:val="20"/>
          <w:szCs w:val="20"/>
        </w:rPr>
      </w:pPr>
      <w:proofErr w:type="gramStart"/>
      <w:r w:rsidRPr="00D93D6C">
        <w:rPr>
          <w:rFonts w:ascii="Arial" w:hAnsi="Arial" w:cs="Arial"/>
          <w:sz w:val="20"/>
          <w:szCs w:val="20"/>
        </w:rPr>
        <w:t>[5] Energy Center of Wisconsin | ECW Report Number 241-1 | Central Air Conditioning in Wisconsin | A compilation of recent field research.</w:t>
      </w:r>
      <w:proofErr w:type="gramEnd"/>
      <w:r w:rsidRPr="00D93D6C">
        <w:rPr>
          <w:rFonts w:ascii="Arial" w:hAnsi="Arial" w:cs="Arial"/>
          <w:sz w:val="20"/>
          <w:szCs w:val="20"/>
        </w:rPr>
        <w:t xml:space="preserve"> </w:t>
      </w:r>
      <w:hyperlink r:id="rId50" w:history="1">
        <w:r w:rsidRPr="00D93D6C">
          <w:rPr>
            <w:rStyle w:val="Hyperlink"/>
            <w:rFonts w:ascii="Arial" w:hAnsi="Arial" w:cs="Arial"/>
            <w:sz w:val="20"/>
            <w:szCs w:val="20"/>
          </w:rPr>
          <w:t>http://ecw.org/sites/default/files/241-1_0.pdf</w:t>
        </w:r>
      </w:hyperlink>
      <w:r w:rsidRPr="00D93D6C">
        <w:rPr>
          <w:rFonts w:ascii="Arial" w:hAnsi="Arial" w:cs="Arial"/>
          <w:sz w:val="20"/>
          <w:szCs w:val="20"/>
        </w:rPr>
        <w:t xml:space="preserve"> </w:t>
      </w:r>
    </w:p>
    <w:p w14:paraId="0FC8ED58" w14:textId="77777777" w:rsidR="00D93D6C" w:rsidRPr="00D93D6C" w:rsidRDefault="00D93D6C" w:rsidP="00D93D6C">
      <w:pPr>
        <w:spacing w:after="0"/>
        <w:rPr>
          <w:rFonts w:ascii="Arial" w:hAnsi="Arial" w:cs="Arial"/>
          <w:sz w:val="20"/>
          <w:szCs w:val="20"/>
        </w:rPr>
      </w:pPr>
      <w:r w:rsidRPr="00D93D6C">
        <w:rPr>
          <w:rFonts w:ascii="Arial" w:hAnsi="Arial" w:cs="Arial"/>
          <w:sz w:val="20"/>
          <w:szCs w:val="20"/>
        </w:rPr>
        <w:t xml:space="preserve">[6] ASHRAE Handbook – Fundamentals | Energy Estimating and Modeling Methods. </w:t>
      </w:r>
    </w:p>
    <w:p w14:paraId="2A45F28E" w14:textId="77777777" w:rsidR="00D93D6C" w:rsidRPr="00D93D6C" w:rsidRDefault="00D93D6C" w:rsidP="00D93D6C">
      <w:pPr>
        <w:tabs>
          <w:tab w:val="left" w:pos="4296"/>
        </w:tabs>
        <w:spacing w:after="0"/>
        <w:rPr>
          <w:rFonts w:ascii="Arial" w:hAnsi="Arial" w:cs="Arial"/>
          <w:sz w:val="20"/>
          <w:szCs w:val="20"/>
        </w:rPr>
      </w:pPr>
      <w:r w:rsidRPr="00D93D6C">
        <w:rPr>
          <w:rFonts w:ascii="Arial" w:hAnsi="Arial" w:cs="Arial"/>
          <w:sz w:val="20"/>
          <w:szCs w:val="20"/>
        </w:rPr>
        <w:t>[7] Homes by Building, Vintage, and Utility Climate Zone, Source: RASS, KEMA Estimates 2002-2007</w:t>
      </w:r>
    </w:p>
    <w:p w14:paraId="58770428" w14:textId="77777777" w:rsidR="00D93D6C" w:rsidRPr="00D93D6C" w:rsidRDefault="00D93D6C" w:rsidP="00D93D6C">
      <w:pPr>
        <w:tabs>
          <w:tab w:val="left" w:pos="4296"/>
        </w:tabs>
        <w:spacing w:after="0"/>
        <w:rPr>
          <w:rFonts w:ascii="Arial" w:hAnsi="Arial" w:cs="Arial"/>
          <w:sz w:val="20"/>
          <w:szCs w:val="20"/>
        </w:rPr>
      </w:pPr>
      <w:r w:rsidRPr="00D93D6C">
        <w:rPr>
          <w:rFonts w:ascii="Arial" w:hAnsi="Arial" w:cs="Arial"/>
          <w:sz w:val="20"/>
          <w:szCs w:val="20"/>
        </w:rPr>
        <w:t xml:space="preserve">[8] Peak Demand and Energy Savings from Properly Sized and Matched Air Conditioners, Robert </w:t>
      </w:r>
      <w:proofErr w:type="spellStart"/>
      <w:r w:rsidRPr="00D93D6C">
        <w:rPr>
          <w:rFonts w:ascii="Arial" w:hAnsi="Arial" w:cs="Arial"/>
          <w:sz w:val="20"/>
          <w:szCs w:val="20"/>
        </w:rPr>
        <w:t>Mowris</w:t>
      </w:r>
      <w:proofErr w:type="spellEnd"/>
      <w:r w:rsidRPr="00D93D6C">
        <w:rPr>
          <w:rFonts w:ascii="Arial" w:hAnsi="Arial" w:cs="Arial"/>
          <w:sz w:val="20"/>
          <w:szCs w:val="20"/>
        </w:rPr>
        <w:t xml:space="preserve"> and </w:t>
      </w:r>
      <w:proofErr w:type="spellStart"/>
      <w:r w:rsidRPr="00D93D6C">
        <w:rPr>
          <w:rFonts w:ascii="Arial" w:hAnsi="Arial" w:cs="Arial"/>
          <w:sz w:val="20"/>
          <w:szCs w:val="20"/>
        </w:rPr>
        <w:t>Ean</w:t>
      </w:r>
      <w:proofErr w:type="spellEnd"/>
      <w:r w:rsidRPr="00D93D6C">
        <w:rPr>
          <w:rFonts w:ascii="Arial" w:hAnsi="Arial" w:cs="Arial"/>
          <w:sz w:val="20"/>
          <w:szCs w:val="20"/>
        </w:rPr>
        <w:t xml:space="preserve"> Jones, Verified, Inc. </w:t>
      </w:r>
      <w:hyperlink r:id="rId51" w:history="1">
        <w:r w:rsidRPr="00D93D6C">
          <w:rPr>
            <w:rStyle w:val="Hyperlink"/>
            <w:rFonts w:ascii="Arial" w:hAnsi="Arial" w:cs="Arial"/>
            <w:sz w:val="20"/>
            <w:szCs w:val="20"/>
          </w:rPr>
          <w:t>http://aceee.org/files/proceedings/2008/data/papers/1_692.pdf</w:t>
        </w:r>
      </w:hyperlink>
    </w:p>
    <w:p w14:paraId="68E752D0" w14:textId="77777777" w:rsidR="00D93D6C" w:rsidRPr="00D93D6C" w:rsidRDefault="00D93D6C" w:rsidP="00D93D6C">
      <w:pPr>
        <w:pStyle w:val="ListParagraph"/>
        <w:spacing w:after="0"/>
        <w:ind w:left="0"/>
        <w:rPr>
          <w:rFonts w:ascii="Arial" w:hAnsi="Arial" w:cs="Arial"/>
          <w:sz w:val="20"/>
          <w:szCs w:val="20"/>
        </w:rPr>
      </w:pPr>
      <w:r w:rsidRPr="00D93D6C">
        <w:rPr>
          <w:rFonts w:ascii="Arial" w:hAnsi="Arial" w:cs="Arial"/>
          <w:sz w:val="20"/>
          <w:szCs w:val="20"/>
        </w:rPr>
        <w:t xml:space="preserve">[9] Laboratory Measurements and Diagnostics of Residential HVAC Installation and Maintenance Faults, Robert </w:t>
      </w:r>
      <w:proofErr w:type="spellStart"/>
      <w:r w:rsidRPr="00D93D6C">
        <w:rPr>
          <w:rFonts w:ascii="Arial" w:hAnsi="Arial" w:cs="Arial"/>
          <w:sz w:val="20"/>
          <w:szCs w:val="20"/>
        </w:rPr>
        <w:t>Mowris</w:t>
      </w:r>
      <w:proofErr w:type="spellEnd"/>
      <w:r w:rsidRPr="00D93D6C">
        <w:rPr>
          <w:rFonts w:ascii="Arial" w:hAnsi="Arial" w:cs="Arial"/>
          <w:sz w:val="20"/>
          <w:szCs w:val="20"/>
        </w:rPr>
        <w:t xml:space="preserve">, </w:t>
      </w:r>
      <w:proofErr w:type="spellStart"/>
      <w:r w:rsidRPr="00D93D6C">
        <w:rPr>
          <w:rFonts w:ascii="Arial" w:hAnsi="Arial" w:cs="Arial"/>
          <w:sz w:val="20"/>
          <w:szCs w:val="20"/>
        </w:rPr>
        <w:t>Ean</w:t>
      </w:r>
      <w:proofErr w:type="spellEnd"/>
      <w:r w:rsidRPr="00D93D6C">
        <w:rPr>
          <w:rFonts w:ascii="Arial" w:hAnsi="Arial" w:cs="Arial"/>
          <w:sz w:val="20"/>
          <w:szCs w:val="20"/>
        </w:rPr>
        <w:t xml:space="preserve"> Jones, and Robert </w:t>
      </w:r>
      <w:proofErr w:type="spellStart"/>
      <w:r w:rsidRPr="00D93D6C">
        <w:rPr>
          <w:rFonts w:ascii="Arial" w:hAnsi="Arial" w:cs="Arial"/>
          <w:sz w:val="20"/>
          <w:szCs w:val="20"/>
        </w:rPr>
        <w:t>Eshom</w:t>
      </w:r>
      <w:proofErr w:type="spellEnd"/>
      <w:r w:rsidRPr="00D93D6C">
        <w:rPr>
          <w:rFonts w:ascii="Arial" w:hAnsi="Arial" w:cs="Arial"/>
          <w:sz w:val="20"/>
          <w:szCs w:val="20"/>
        </w:rPr>
        <w:t xml:space="preserve">, Robert </w:t>
      </w:r>
      <w:proofErr w:type="spellStart"/>
      <w:r w:rsidRPr="00D93D6C">
        <w:rPr>
          <w:rFonts w:ascii="Arial" w:hAnsi="Arial" w:cs="Arial"/>
          <w:sz w:val="20"/>
          <w:szCs w:val="20"/>
        </w:rPr>
        <w:t>Mowris</w:t>
      </w:r>
      <w:proofErr w:type="spellEnd"/>
      <w:r w:rsidRPr="00D93D6C">
        <w:rPr>
          <w:rFonts w:ascii="Arial" w:hAnsi="Arial" w:cs="Arial"/>
          <w:sz w:val="20"/>
          <w:szCs w:val="20"/>
        </w:rPr>
        <w:t xml:space="preserve"> &amp; Associates, Inc.  </w:t>
      </w:r>
      <w:hyperlink r:id="rId52" w:history="1">
        <w:r w:rsidRPr="00D93D6C">
          <w:rPr>
            <w:rStyle w:val="Hyperlink"/>
            <w:rFonts w:ascii="Arial" w:hAnsi="Arial" w:cs="Arial"/>
            <w:sz w:val="20"/>
            <w:szCs w:val="20"/>
          </w:rPr>
          <w:t>http://aceee.org/files/proceedings/2014/data/papers/1-195.pdf</w:t>
        </w:r>
      </w:hyperlink>
    </w:p>
    <w:p w14:paraId="0D60DF11" w14:textId="77777777" w:rsidR="00D93D6C" w:rsidRPr="00D93D6C" w:rsidRDefault="00D93D6C" w:rsidP="00D93D6C">
      <w:pPr>
        <w:pStyle w:val="ListParagraph"/>
        <w:spacing w:after="0"/>
        <w:ind w:left="0"/>
        <w:rPr>
          <w:rStyle w:val="Hyperlink"/>
          <w:rFonts w:ascii="Arial" w:hAnsi="Arial" w:cs="Arial"/>
          <w:sz w:val="20"/>
          <w:szCs w:val="20"/>
        </w:rPr>
      </w:pPr>
      <w:r w:rsidRPr="00D93D6C">
        <w:rPr>
          <w:rFonts w:ascii="Arial" w:hAnsi="Arial" w:cs="Arial"/>
          <w:sz w:val="20"/>
          <w:szCs w:val="20"/>
        </w:rPr>
        <w:t xml:space="preserve">[10] NIST Technical Note 1848 - Sensitivity Analysis of Installation Faults on Heat Pump Performance, Piotr A. </w:t>
      </w:r>
      <w:proofErr w:type="spellStart"/>
      <w:r w:rsidRPr="00D93D6C">
        <w:rPr>
          <w:rFonts w:ascii="Arial" w:hAnsi="Arial" w:cs="Arial"/>
          <w:sz w:val="20"/>
          <w:szCs w:val="20"/>
        </w:rPr>
        <w:t>Domanski</w:t>
      </w:r>
      <w:proofErr w:type="spellEnd"/>
      <w:r w:rsidRPr="00D93D6C">
        <w:rPr>
          <w:rFonts w:ascii="Arial" w:hAnsi="Arial" w:cs="Arial"/>
          <w:sz w:val="20"/>
          <w:szCs w:val="20"/>
        </w:rPr>
        <w:t xml:space="preserve">, Hugh I. Henderson </w:t>
      </w:r>
      <w:hyperlink r:id="rId53" w:history="1">
        <w:r w:rsidRPr="00D93D6C">
          <w:rPr>
            <w:rStyle w:val="Hyperlink"/>
            <w:rFonts w:ascii="Arial" w:hAnsi="Arial" w:cs="Arial"/>
            <w:sz w:val="20"/>
            <w:szCs w:val="20"/>
          </w:rPr>
          <w:t>http://nvlpubs.nist.gov/nistpubs/TechnicalNotes/NIST.TN.1848.pdf</w:t>
        </w:r>
      </w:hyperlink>
    </w:p>
    <w:p w14:paraId="585A390F" w14:textId="77777777" w:rsidR="00D93D6C" w:rsidRPr="00D93D6C" w:rsidRDefault="00D93D6C" w:rsidP="00D93D6C">
      <w:pPr>
        <w:spacing w:after="0" w:line="200" w:lineRule="exact"/>
        <w:rPr>
          <w:rFonts w:ascii="Arial" w:hAnsi="Arial" w:cs="Arial"/>
          <w:sz w:val="20"/>
          <w:szCs w:val="20"/>
        </w:rPr>
      </w:pPr>
    </w:p>
    <w:p w14:paraId="184BE2E5" w14:textId="1284A3DF" w:rsidR="00D93D6C" w:rsidRPr="00D93D6C" w:rsidRDefault="00D93D6C" w:rsidP="00D93D6C">
      <w:pPr>
        <w:spacing w:after="0" w:line="200" w:lineRule="exact"/>
        <w:rPr>
          <w:rFonts w:ascii="Arial" w:hAnsi="Arial" w:cs="Arial"/>
          <w:sz w:val="20"/>
          <w:szCs w:val="20"/>
          <w:u w:val="single"/>
        </w:rPr>
      </w:pPr>
      <w:r w:rsidRPr="00D93D6C">
        <w:rPr>
          <w:rFonts w:ascii="Arial" w:hAnsi="Arial" w:cs="Arial"/>
          <w:sz w:val="20"/>
          <w:szCs w:val="20"/>
          <w:u w:val="single"/>
        </w:rPr>
        <w:t>Other sources to consider</w:t>
      </w:r>
    </w:p>
    <w:p w14:paraId="12CA3ACF" w14:textId="7207062B" w:rsidR="00D93D6C" w:rsidRPr="00D93D6C" w:rsidRDefault="00D93D6C" w:rsidP="00D93D6C">
      <w:pPr>
        <w:spacing w:after="0"/>
        <w:rPr>
          <w:rFonts w:ascii="Arial" w:hAnsi="Arial" w:cs="Arial"/>
          <w:sz w:val="20"/>
          <w:szCs w:val="20"/>
        </w:rPr>
      </w:pPr>
      <w:r w:rsidRPr="00D93D6C">
        <w:rPr>
          <w:rFonts w:ascii="Arial" w:hAnsi="Arial" w:cs="Arial"/>
          <w:sz w:val="20"/>
          <w:szCs w:val="20"/>
        </w:rPr>
        <w:t>[11] HVAC Impact Evaluation FINAL Report WO32 HVAC – Volume 1: Report - CPUC, ED - Prepared by DNV GL</w:t>
      </w:r>
    </w:p>
    <w:p w14:paraId="733ED995" w14:textId="77777777" w:rsidR="00D93D6C" w:rsidRPr="00D93D6C" w:rsidRDefault="00ED329A" w:rsidP="00D93D6C">
      <w:pPr>
        <w:pStyle w:val="ListParagraph"/>
        <w:spacing w:after="0"/>
        <w:ind w:left="360"/>
        <w:rPr>
          <w:rFonts w:ascii="Arial" w:hAnsi="Arial" w:cs="Arial"/>
          <w:sz w:val="20"/>
          <w:szCs w:val="20"/>
        </w:rPr>
      </w:pPr>
      <w:hyperlink r:id="rId54" w:history="1">
        <w:r w:rsidR="00D93D6C" w:rsidRPr="00D93D6C">
          <w:rPr>
            <w:rStyle w:val="Hyperlink"/>
            <w:rFonts w:ascii="Arial" w:hAnsi="Arial" w:cs="Arial"/>
            <w:sz w:val="20"/>
            <w:szCs w:val="20"/>
          </w:rPr>
          <w:t>http://www.energydataweb.com/cpuc/search.aspx?did=1225</w:t>
        </w:r>
      </w:hyperlink>
      <w:r w:rsidR="00D93D6C" w:rsidRPr="00D93D6C">
        <w:rPr>
          <w:rFonts w:ascii="Arial" w:hAnsi="Arial" w:cs="Arial"/>
          <w:sz w:val="20"/>
          <w:szCs w:val="20"/>
        </w:rPr>
        <w:t xml:space="preserve"> </w:t>
      </w:r>
    </w:p>
    <w:p w14:paraId="4D2E26C8" w14:textId="6DD434EB" w:rsidR="00D93D6C" w:rsidRPr="00D93D6C" w:rsidRDefault="00D93D6C" w:rsidP="00D93D6C">
      <w:pPr>
        <w:spacing w:after="0"/>
        <w:rPr>
          <w:rFonts w:ascii="Arial" w:hAnsi="Arial" w:cs="Arial"/>
          <w:sz w:val="20"/>
          <w:szCs w:val="20"/>
        </w:rPr>
      </w:pPr>
      <w:r>
        <w:rPr>
          <w:rFonts w:ascii="Arial" w:hAnsi="Arial" w:cs="Arial"/>
          <w:sz w:val="20"/>
          <w:szCs w:val="20"/>
        </w:rPr>
        <w:t xml:space="preserve">[12] </w:t>
      </w:r>
      <w:r w:rsidRPr="00D93D6C">
        <w:rPr>
          <w:rFonts w:ascii="Arial" w:hAnsi="Arial" w:cs="Arial"/>
          <w:sz w:val="20"/>
          <w:szCs w:val="20"/>
        </w:rPr>
        <w:t>ACCA - Residential Load Calculation (Manual J)</w:t>
      </w:r>
    </w:p>
    <w:p w14:paraId="7E92B805" w14:textId="7022B737" w:rsidR="00D93D6C" w:rsidRPr="00D93D6C" w:rsidRDefault="00D93D6C" w:rsidP="00D93D6C">
      <w:pPr>
        <w:spacing w:after="0"/>
        <w:rPr>
          <w:rFonts w:ascii="Arial" w:hAnsi="Arial" w:cs="Arial"/>
          <w:sz w:val="20"/>
          <w:szCs w:val="20"/>
        </w:rPr>
      </w:pPr>
      <w:r>
        <w:rPr>
          <w:rFonts w:ascii="Arial" w:hAnsi="Arial" w:cs="Arial"/>
          <w:sz w:val="20"/>
          <w:szCs w:val="20"/>
        </w:rPr>
        <w:t xml:space="preserve">[13] </w:t>
      </w:r>
      <w:r w:rsidRPr="00D93D6C">
        <w:rPr>
          <w:rFonts w:ascii="Arial" w:hAnsi="Arial" w:cs="Arial"/>
          <w:sz w:val="20"/>
          <w:szCs w:val="20"/>
        </w:rPr>
        <w:t>ACCA - Residential Equipment Selection (Manual S)</w:t>
      </w:r>
    </w:p>
    <w:p w14:paraId="5DAA9133" w14:textId="5C3F4D8B" w:rsidR="00D93D6C" w:rsidRPr="00D93D6C" w:rsidRDefault="00D93D6C" w:rsidP="00D93D6C">
      <w:pPr>
        <w:spacing w:after="0"/>
        <w:rPr>
          <w:rFonts w:ascii="Arial" w:hAnsi="Arial" w:cs="Arial"/>
          <w:sz w:val="20"/>
          <w:szCs w:val="20"/>
        </w:rPr>
      </w:pPr>
      <w:r>
        <w:rPr>
          <w:rFonts w:ascii="Arial" w:hAnsi="Arial" w:cs="Arial"/>
          <w:sz w:val="20"/>
          <w:szCs w:val="20"/>
        </w:rPr>
        <w:t xml:space="preserve">[14] </w:t>
      </w:r>
      <w:r w:rsidRPr="00D93D6C">
        <w:rPr>
          <w:rFonts w:ascii="Arial" w:hAnsi="Arial" w:cs="Arial"/>
          <w:sz w:val="20"/>
          <w:szCs w:val="20"/>
        </w:rPr>
        <w:t xml:space="preserve">ANSI/ASHRAE/IES Standard 90.1-2013 - Energy Standard for Buildings </w:t>
      </w:r>
      <w:proofErr w:type="gramStart"/>
      <w:r w:rsidRPr="00D93D6C">
        <w:rPr>
          <w:rFonts w:ascii="Arial" w:hAnsi="Arial" w:cs="Arial"/>
          <w:sz w:val="20"/>
          <w:szCs w:val="20"/>
        </w:rPr>
        <w:t>Except</w:t>
      </w:r>
      <w:proofErr w:type="gramEnd"/>
      <w:r w:rsidRPr="00D93D6C">
        <w:rPr>
          <w:rFonts w:ascii="Arial" w:hAnsi="Arial" w:cs="Arial"/>
          <w:sz w:val="20"/>
          <w:szCs w:val="20"/>
        </w:rPr>
        <w:t xml:space="preserve"> Low-Rise Residential Buildings </w:t>
      </w:r>
    </w:p>
    <w:p w14:paraId="73913541" w14:textId="429B98D2" w:rsidR="00D93D6C" w:rsidRPr="00D93D6C" w:rsidRDefault="00D93D6C" w:rsidP="00D93D6C">
      <w:pPr>
        <w:spacing w:after="0"/>
        <w:rPr>
          <w:rFonts w:ascii="Arial" w:hAnsi="Arial" w:cs="Arial"/>
          <w:sz w:val="20"/>
          <w:szCs w:val="20"/>
        </w:rPr>
      </w:pPr>
      <w:r>
        <w:rPr>
          <w:rFonts w:ascii="Arial" w:hAnsi="Arial" w:cs="Arial"/>
          <w:sz w:val="20"/>
          <w:szCs w:val="20"/>
        </w:rPr>
        <w:t xml:space="preserve">[15] </w:t>
      </w:r>
      <w:r w:rsidRPr="00D93D6C">
        <w:rPr>
          <w:rFonts w:ascii="Arial" w:hAnsi="Arial" w:cs="Arial"/>
          <w:sz w:val="20"/>
          <w:szCs w:val="20"/>
        </w:rPr>
        <w:t>2013 RESIDENTIAL COMPLIANCE MANUAL FOR THE 2013 BUILDING ENERGY EFFICIENCY STANDARDS, Title 24, Part</w:t>
      </w:r>
    </w:p>
    <w:p w14:paraId="5622FBAC" w14:textId="24B4F5C0" w:rsidR="00823342" w:rsidRPr="00D93D6C" w:rsidRDefault="00ED329A" w:rsidP="00D93D6C">
      <w:pPr>
        <w:spacing w:after="0"/>
        <w:ind w:left="360"/>
        <w:rPr>
          <w:rFonts w:ascii="Arial" w:hAnsi="Arial" w:cs="Arial"/>
          <w:sz w:val="20"/>
          <w:szCs w:val="20"/>
        </w:rPr>
        <w:sectPr w:rsidR="00823342" w:rsidRPr="00D93D6C" w:rsidSect="00823342">
          <w:headerReference w:type="default" r:id="rId55"/>
          <w:pgSz w:w="15840" w:h="12240" w:orient="landscape"/>
          <w:pgMar w:top="1440" w:right="1440" w:bottom="1440" w:left="1440" w:header="720" w:footer="720" w:gutter="0"/>
          <w:cols w:space="720"/>
          <w:docGrid w:linePitch="360"/>
        </w:sectPr>
      </w:pPr>
      <w:hyperlink r:id="rId56" w:history="1">
        <w:r w:rsidR="00D93D6C" w:rsidRPr="00D93D6C">
          <w:rPr>
            <w:rStyle w:val="Hyperlink"/>
            <w:rFonts w:ascii="Arial" w:hAnsi="Arial" w:cs="Arial"/>
            <w:sz w:val="20"/>
            <w:szCs w:val="20"/>
          </w:rPr>
          <w:t>http://www.energy.ca.gov/title24/2013standards/residential_manual.html%5d</w:t>
        </w:r>
      </w:hyperlink>
    </w:p>
    <w:p w14:paraId="4946C731" w14:textId="77777777" w:rsidR="00BF7956" w:rsidRPr="008A2530" w:rsidRDefault="00BF7956" w:rsidP="008A2530">
      <w:pPr>
        <w:pStyle w:val="ListParagraph"/>
        <w:numPr>
          <w:ilvl w:val="0"/>
          <w:numId w:val="1"/>
        </w:numPr>
        <w:spacing w:after="0"/>
        <w:rPr>
          <w:rFonts w:ascii="Arial" w:hAnsi="Arial" w:cs="Arial"/>
          <w:b/>
          <w:sz w:val="20"/>
          <w:szCs w:val="20"/>
          <w:u w:val="single"/>
        </w:rPr>
      </w:pPr>
      <w:r w:rsidRPr="008A2530">
        <w:rPr>
          <w:rFonts w:ascii="Arial" w:hAnsi="Arial" w:cs="Arial"/>
          <w:b/>
          <w:sz w:val="20"/>
          <w:szCs w:val="20"/>
          <w:u w:val="single"/>
        </w:rPr>
        <w:lastRenderedPageBreak/>
        <w:t>Background information</w:t>
      </w:r>
    </w:p>
    <w:p w14:paraId="3B5470F4" w14:textId="77777777" w:rsidR="000D6169" w:rsidRDefault="00F63EDE" w:rsidP="00F63EDE">
      <w:pPr>
        <w:spacing w:after="0"/>
        <w:ind w:left="360"/>
        <w:rPr>
          <w:rFonts w:ascii="Arial" w:hAnsi="Arial" w:cs="Arial"/>
          <w:sz w:val="20"/>
          <w:szCs w:val="20"/>
        </w:rPr>
      </w:pPr>
      <w:r>
        <w:rPr>
          <w:rFonts w:ascii="Arial" w:hAnsi="Arial" w:cs="Arial"/>
          <w:sz w:val="20"/>
          <w:szCs w:val="20"/>
        </w:rPr>
        <w:t>Southern California Edison (SCE) maintains a Residential HVAC Quality Installation workpaper for use by the statewide IOUs. SCE is planning to update this workpaper by the end of 2015 with the best available data to support key performance parameters in the energy simulation model for the Quality Installation suite of measures. SCE is seeking Cal TF subcommittee feedback on which of the many data sources available is most appropriate for use in the revised workpaper. Data so</w:t>
      </w:r>
      <w:r w:rsidR="00FF4F82">
        <w:rPr>
          <w:rFonts w:ascii="Arial" w:hAnsi="Arial" w:cs="Arial"/>
          <w:sz w:val="20"/>
          <w:szCs w:val="20"/>
        </w:rPr>
        <w:t>urces for consideration include, but are not limited to:</w:t>
      </w:r>
    </w:p>
    <w:p w14:paraId="110CE863" w14:textId="77777777" w:rsidR="002A7005" w:rsidRDefault="002A7005" w:rsidP="00F63EDE">
      <w:pPr>
        <w:spacing w:after="0"/>
        <w:ind w:left="360"/>
        <w:rPr>
          <w:rFonts w:ascii="Arial" w:hAnsi="Arial" w:cs="Arial"/>
          <w:sz w:val="20"/>
          <w:szCs w:val="20"/>
        </w:rPr>
      </w:pPr>
    </w:p>
    <w:p w14:paraId="4AA2F6B2" w14:textId="77777777" w:rsidR="00F63EDE" w:rsidRDefault="00F63EDE" w:rsidP="00F63EDE">
      <w:pPr>
        <w:pStyle w:val="ListParagraph"/>
        <w:numPr>
          <w:ilvl w:val="0"/>
          <w:numId w:val="5"/>
        </w:numPr>
        <w:spacing w:after="0"/>
        <w:rPr>
          <w:rFonts w:ascii="Arial" w:hAnsi="Arial" w:cs="Arial"/>
          <w:sz w:val="20"/>
          <w:szCs w:val="20"/>
        </w:rPr>
      </w:pPr>
      <w:r w:rsidRPr="00F63EDE">
        <w:rPr>
          <w:rFonts w:ascii="Arial" w:hAnsi="Arial" w:cs="Arial"/>
          <w:sz w:val="20"/>
          <w:szCs w:val="20"/>
        </w:rPr>
        <w:t xml:space="preserve">HVAC Impact Evaluation FINAL Report WO32 HVAC – Volume 1: Report </w:t>
      </w:r>
      <w:r>
        <w:rPr>
          <w:rFonts w:ascii="Arial" w:hAnsi="Arial" w:cs="Arial"/>
          <w:sz w:val="20"/>
          <w:szCs w:val="20"/>
        </w:rPr>
        <w:t>- CPUC, ED - Prepared by DNV GL</w:t>
      </w:r>
    </w:p>
    <w:p w14:paraId="68DEEB2B" w14:textId="77777777" w:rsidR="00F63EDE" w:rsidRDefault="00F63EDE" w:rsidP="00F63EDE">
      <w:pPr>
        <w:pStyle w:val="ListParagraph"/>
        <w:numPr>
          <w:ilvl w:val="0"/>
          <w:numId w:val="5"/>
        </w:numPr>
        <w:spacing w:after="0"/>
        <w:rPr>
          <w:rFonts w:ascii="Arial" w:hAnsi="Arial" w:cs="Arial"/>
          <w:sz w:val="20"/>
          <w:szCs w:val="20"/>
        </w:rPr>
      </w:pPr>
      <w:r w:rsidRPr="00F63EDE">
        <w:rPr>
          <w:rFonts w:ascii="Arial" w:hAnsi="Arial" w:cs="Arial"/>
          <w:sz w:val="20"/>
          <w:szCs w:val="20"/>
        </w:rPr>
        <w:t>ACCA - Residential</w:t>
      </w:r>
      <w:r>
        <w:rPr>
          <w:rFonts w:ascii="Arial" w:hAnsi="Arial" w:cs="Arial"/>
          <w:sz w:val="20"/>
          <w:szCs w:val="20"/>
        </w:rPr>
        <w:t xml:space="preserve"> Load Calculation (Manual J)</w:t>
      </w:r>
    </w:p>
    <w:p w14:paraId="4AF0CF06" w14:textId="77777777" w:rsidR="00F63EDE" w:rsidRDefault="00F63EDE" w:rsidP="00F63EDE">
      <w:pPr>
        <w:pStyle w:val="ListParagraph"/>
        <w:numPr>
          <w:ilvl w:val="0"/>
          <w:numId w:val="5"/>
        </w:numPr>
        <w:spacing w:after="0"/>
        <w:rPr>
          <w:rFonts w:ascii="Arial" w:hAnsi="Arial" w:cs="Arial"/>
          <w:sz w:val="20"/>
          <w:szCs w:val="20"/>
        </w:rPr>
      </w:pPr>
      <w:r w:rsidRPr="00F63EDE">
        <w:rPr>
          <w:rFonts w:ascii="Arial" w:hAnsi="Arial" w:cs="Arial"/>
          <w:sz w:val="20"/>
          <w:szCs w:val="20"/>
        </w:rPr>
        <w:t>ACCA - Residential Eq</w:t>
      </w:r>
      <w:r>
        <w:rPr>
          <w:rFonts w:ascii="Arial" w:hAnsi="Arial" w:cs="Arial"/>
          <w:sz w:val="20"/>
          <w:szCs w:val="20"/>
        </w:rPr>
        <w:t>uipment Selection (Manual S)</w:t>
      </w:r>
    </w:p>
    <w:p w14:paraId="1343036E" w14:textId="77777777" w:rsidR="00F63EDE" w:rsidRDefault="00F63EDE" w:rsidP="00F63EDE">
      <w:pPr>
        <w:pStyle w:val="ListParagraph"/>
        <w:numPr>
          <w:ilvl w:val="0"/>
          <w:numId w:val="5"/>
        </w:numPr>
        <w:spacing w:after="0"/>
        <w:rPr>
          <w:rFonts w:ascii="Arial" w:hAnsi="Arial" w:cs="Arial"/>
          <w:sz w:val="20"/>
          <w:szCs w:val="20"/>
        </w:rPr>
      </w:pPr>
      <w:r w:rsidRPr="00F63EDE">
        <w:rPr>
          <w:rFonts w:ascii="Arial" w:hAnsi="Arial" w:cs="Arial"/>
          <w:sz w:val="20"/>
          <w:szCs w:val="20"/>
        </w:rPr>
        <w:t>ANSI/ASHRAE/IES Standard 90.1-2013 - Energy Standard for Buildings Except Low</w:t>
      </w:r>
      <w:r>
        <w:rPr>
          <w:rFonts w:ascii="Arial" w:hAnsi="Arial" w:cs="Arial"/>
          <w:sz w:val="20"/>
          <w:szCs w:val="20"/>
        </w:rPr>
        <w:t xml:space="preserve">-Rise Residential Buildings </w:t>
      </w:r>
    </w:p>
    <w:p w14:paraId="35AF26DA" w14:textId="6F87D2E3" w:rsidR="002A7005" w:rsidRPr="005C3061" w:rsidRDefault="00F63EDE" w:rsidP="002A7005">
      <w:pPr>
        <w:pStyle w:val="ListParagraph"/>
        <w:numPr>
          <w:ilvl w:val="0"/>
          <w:numId w:val="5"/>
        </w:numPr>
        <w:spacing w:after="0"/>
        <w:rPr>
          <w:rFonts w:ascii="Arial" w:hAnsi="Arial" w:cs="Arial"/>
          <w:sz w:val="20"/>
          <w:szCs w:val="20"/>
        </w:rPr>
      </w:pPr>
      <w:r w:rsidRPr="00F63EDE">
        <w:rPr>
          <w:rFonts w:ascii="Arial" w:hAnsi="Arial" w:cs="Arial"/>
          <w:sz w:val="20"/>
          <w:szCs w:val="20"/>
        </w:rPr>
        <w:t>2013 RESIDENTIAL COMPLIANCE MANUAL FOR THE 2013 BUILDING ENERGY EFFICIENCY STANDARDS, Title 24, Part</w:t>
      </w:r>
    </w:p>
    <w:p w14:paraId="22C7A2DB" w14:textId="41C13703" w:rsidR="008F59CD" w:rsidRDefault="008F59CD" w:rsidP="00F63EDE">
      <w:pPr>
        <w:pStyle w:val="ListParagraph"/>
        <w:numPr>
          <w:ilvl w:val="0"/>
          <w:numId w:val="5"/>
        </w:numPr>
        <w:spacing w:after="0"/>
        <w:rPr>
          <w:rFonts w:ascii="Arial" w:hAnsi="Arial" w:cs="Arial"/>
          <w:sz w:val="20"/>
          <w:szCs w:val="20"/>
        </w:rPr>
      </w:pPr>
      <w:r>
        <w:rPr>
          <w:rFonts w:ascii="Arial" w:hAnsi="Arial" w:cs="Arial"/>
          <w:sz w:val="20"/>
          <w:szCs w:val="20"/>
        </w:rPr>
        <w:t>Data sources used on the development of</w:t>
      </w:r>
      <w:r w:rsidR="005C3061">
        <w:rPr>
          <w:rFonts w:ascii="Arial" w:hAnsi="Arial" w:cs="Arial"/>
          <w:sz w:val="20"/>
          <w:szCs w:val="20"/>
        </w:rPr>
        <w:t xml:space="preserve"> the</w:t>
      </w:r>
      <w:r>
        <w:rPr>
          <w:rFonts w:ascii="Arial" w:hAnsi="Arial" w:cs="Arial"/>
          <w:sz w:val="20"/>
          <w:szCs w:val="20"/>
        </w:rPr>
        <w:t xml:space="preserve"> current</w:t>
      </w:r>
      <w:r w:rsidR="002A7005">
        <w:rPr>
          <w:rFonts w:ascii="Arial" w:hAnsi="Arial" w:cs="Arial"/>
          <w:sz w:val="20"/>
          <w:szCs w:val="20"/>
        </w:rPr>
        <w:t xml:space="preserve"> version of</w:t>
      </w:r>
      <w:r w:rsidR="005C3061">
        <w:rPr>
          <w:rFonts w:ascii="Arial" w:hAnsi="Arial" w:cs="Arial"/>
          <w:sz w:val="20"/>
          <w:szCs w:val="20"/>
        </w:rPr>
        <w:t xml:space="preserve"> the</w:t>
      </w:r>
      <w:r w:rsidR="002A7005">
        <w:rPr>
          <w:rFonts w:ascii="Arial" w:hAnsi="Arial" w:cs="Arial"/>
          <w:sz w:val="20"/>
          <w:szCs w:val="20"/>
        </w:rPr>
        <w:t xml:space="preserve"> workpaper </w:t>
      </w:r>
      <w:r w:rsidR="005C3061">
        <w:rPr>
          <w:rFonts w:ascii="Arial" w:hAnsi="Arial" w:cs="Arial"/>
          <w:sz w:val="20"/>
          <w:szCs w:val="20"/>
        </w:rPr>
        <w:t>include but are not limited</w:t>
      </w:r>
      <w:r w:rsidR="002A7005">
        <w:rPr>
          <w:rFonts w:ascii="Arial" w:hAnsi="Arial" w:cs="Arial"/>
          <w:sz w:val="20"/>
          <w:szCs w:val="20"/>
        </w:rPr>
        <w:t xml:space="preserve"> to: </w:t>
      </w:r>
    </w:p>
    <w:p w14:paraId="407B1EBB" w14:textId="77777777" w:rsidR="002A7005" w:rsidRPr="005C3061" w:rsidRDefault="002A7005" w:rsidP="005C3061">
      <w:pPr>
        <w:pStyle w:val="ListParagraph"/>
        <w:numPr>
          <w:ilvl w:val="1"/>
          <w:numId w:val="5"/>
        </w:numPr>
        <w:spacing w:after="0"/>
        <w:rPr>
          <w:rFonts w:ascii="Arial" w:hAnsi="Arial" w:cs="Arial"/>
          <w:sz w:val="20"/>
          <w:szCs w:val="20"/>
        </w:rPr>
      </w:pPr>
      <w:r w:rsidRPr="005C3061">
        <w:rPr>
          <w:rFonts w:ascii="Arial" w:hAnsi="Arial" w:cs="Arial"/>
          <w:sz w:val="20"/>
          <w:szCs w:val="20"/>
        </w:rPr>
        <w:t xml:space="preserve">Hidden Power Drains: Residential Heating and Cooling Fan Power Demand - John Proctor, Proctor Engineering Group, Ltd., Danny Parker, </w:t>
      </w:r>
      <w:proofErr w:type="gramStart"/>
      <w:r w:rsidRPr="005C3061">
        <w:rPr>
          <w:rFonts w:ascii="Arial" w:hAnsi="Arial" w:cs="Arial"/>
          <w:sz w:val="20"/>
          <w:szCs w:val="20"/>
        </w:rPr>
        <w:t>Florida</w:t>
      </w:r>
      <w:proofErr w:type="gramEnd"/>
      <w:r w:rsidRPr="005C3061">
        <w:rPr>
          <w:rFonts w:ascii="Arial" w:hAnsi="Arial" w:cs="Arial"/>
          <w:sz w:val="20"/>
          <w:szCs w:val="20"/>
        </w:rPr>
        <w:t xml:space="preserve"> Solar Energy Center.</w:t>
      </w:r>
    </w:p>
    <w:p w14:paraId="50C8DB59" w14:textId="77777777" w:rsidR="005B2247" w:rsidRDefault="002A7005" w:rsidP="005C3061">
      <w:pPr>
        <w:pStyle w:val="ListParagraph"/>
        <w:numPr>
          <w:ilvl w:val="1"/>
          <w:numId w:val="5"/>
        </w:numPr>
        <w:spacing w:after="0"/>
        <w:rPr>
          <w:rFonts w:ascii="Arial" w:hAnsi="Arial" w:cs="Arial"/>
          <w:sz w:val="20"/>
          <w:szCs w:val="20"/>
        </w:rPr>
      </w:pPr>
      <w:r w:rsidRPr="005C3061">
        <w:rPr>
          <w:rFonts w:ascii="Arial" w:hAnsi="Arial" w:cs="Arial"/>
          <w:sz w:val="20"/>
          <w:szCs w:val="20"/>
        </w:rPr>
        <w:t>Energy Center of Wisconsin | ECW Report Number 241-1 | Central Air Conditioning in Wisconsin | A compilation of recent field research</w:t>
      </w:r>
    </w:p>
    <w:p w14:paraId="641B5DD3" w14:textId="77849689" w:rsidR="005B2247" w:rsidRPr="005C3061" w:rsidRDefault="005B2247" w:rsidP="005C3061">
      <w:pPr>
        <w:pStyle w:val="ListParagraph"/>
        <w:numPr>
          <w:ilvl w:val="1"/>
          <w:numId w:val="5"/>
        </w:numPr>
        <w:spacing w:after="0"/>
        <w:rPr>
          <w:rFonts w:ascii="Arial" w:hAnsi="Arial" w:cs="Arial"/>
          <w:sz w:val="20"/>
          <w:szCs w:val="20"/>
        </w:rPr>
      </w:pPr>
      <w:r w:rsidRPr="005C3061">
        <w:rPr>
          <w:rFonts w:ascii="Arial" w:hAnsi="Arial" w:cs="Arial"/>
          <w:sz w:val="20"/>
          <w:szCs w:val="20"/>
        </w:rPr>
        <w:t xml:space="preserve">Peak Demand and Energy Savings from Properly Sized and Matched Air Conditioners - Robert </w:t>
      </w:r>
      <w:proofErr w:type="spellStart"/>
      <w:r w:rsidRPr="005C3061">
        <w:rPr>
          <w:rFonts w:ascii="Arial" w:hAnsi="Arial" w:cs="Arial"/>
          <w:sz w:val="20"/>
          <w:szCs w:val="20"/>
        </w:rPr>
        <w:t>Mowris</w:t>
      </w:r>
      <w:proofErr w:type="spellEnd"/>
      <w:r w:rsidRPr="005C3061">
        <w:rPr>
          <w:rFonts w:ascii="Arial" w:hAnsi="Arial" w:cs="Arial"/>
          <w:sz w:val="20"/>
          <w:szCs w:val="20"/>
        </w:rPr>
        <w:t xml:space="preserve"> and </w:t>
      </w:r>
      <w:proofErr w:type="spellStart"/>
      <w:r w:rsidRPr="005C3061">
        <w:rPr>
          <w:rFonts w:ascii="Arial" w:hAnsi="Arial" w:cs="Arial"/>
          <w:sz w:val="20"/>
          <w:szCs w:val="20"/>
        </w:rPr>
        <w:t>Ean</w:t>
      </w:r>
      <w:proofErr w:type="spellEnd"/>
      <w:r w:rsidRPr="005C3061">
        <w:rPr>
          <w:rFonts w:ascii="Arial" w:hAnsi="Arial" w:cs="Arial"/>
          <w:sz w:val="20"/>
          <w:szCs w:val="20"/>
        </w:rPr>
        <w:t xml:space="preserve"> Jones, Verified, Inc.</w:t>
      </w:r>
    </w:p>
    <w:p w14:paraId="3F7A9B0F" w14:textId="6E0D2E89" w:rsidR="005B2247" w:rsidRPr="005C3061" w:rsidRDefault="005B2247" w:rsidP="005C3061">
      <w:pPr>
        <w:pStyle w:val="ListParagraph"/>
        <w:numPr>
          <w:ilvl w:val="1"/>
          <w:numId w:val="5"/>
        </w:numPr>
        <w:spacing w:after="0"/>
        <w:rPr>
          <w:rFonts w:ascii="Arial" w:hAnsi="Arial" w:cs="Arial"/>
          <w:sz w:val="20"/>
          <w:szCs w:val="20"/>
        </w:rPr>
      </w:pPr>
      <w:r w:rsidRPr="005C3061">
        <w:rPr>
          <w:rFonts w:ascii="Arial" w:hAnsi="Arial" w:cs="Arial"/>
          <w:sz w:val="20"/>
          <w:szCs w:val="20"/>
        </w:rPr>
        <w:t xml:space="preserve">Database for Energy Efficiency Resources (DEER) Update Study, Final Report, </w:t>
      </w:r>
      <w:proofErr w:type="spellStart"/>
      <w:r w:rsidRPr="005C3061">
        <w:rPr>
          <w:rFonts w:ascii="Arial" w:hAnsi="Arial" w:cs="Arial"/>
          <w:sz w:val="20"/>
          <w:szCs w:val="20"/>
        </w:rPr>
        <w:t>Itron</w:t>
      </w:r>
      <w:proofErr w:type="spellEnd"/>
      <w:r w:rsidRPr="005C3061">
        <w:rPr>
          <w:rFonts w:ascii="Arial" w:hAnsi="Arial" w:cs="Arial"/>
          <w:sz w:val="20"/>
          <w:szCs w:val="20"/>
        </w:rPr>
        <w:t>, Inc.</w:t>
      </w:r>
    </w:p>
    <w:p w14:paraId="507BF697" w14:textId="77777777" w:rsidR="008F59CD" w:rsidRDefault="008F59CD" w:rsidP="005C3061">
      <w:pPr>
        <w:spacing w:after="0"/>
        <w:rPr>
          <w:rFonts w:ascii="Arial" w:hAnsi="Arial" w:cs="Arial"/>
          <w:sz w:val="20"/>
          <w:szCs w:val="20"/>
        </w:rPr>
      </w:pPr>
    </w:p>
    <w:p w14:paraId="3EAFD925" w14:textId="77777777" w:rsidR="00F63EDE" w:rsidRDefault="00FF4F82" w:rsidP="005C3061">
      <w:pPr>
        <w:spacing w:after="0"/>
        <w:rPr>
          <w:rFonts w:ascii="Arial" w:hAnsi="Arial" w:cs="Arial"/>
          <w:sz w:val="20"/>
          <w:szCs w:val="20"/>
        </w:rPr>
      </w:pPr>
      <w:r>
        <w:rPr>
          <w:rFonts w:ascii="Arial" w:hAnsi="Arial" w:cs="Arial"/>
          <w:sz w:val="20"/>
          <w:szCs w:val="20"/>
        </w:rPr>
        <w:t xml:space="preserve">SCE is seeking data source suggestions from the subcommittee beyond what is listed above. </w:t>
      </w:r>
      <w:r w:rsidR="00F63EDE">
        <w:rPr>
          <w:rFonts w:ascii="Arial" w:hAnsi="Arial" w:cs="Arial"/>
          <w:sz w:val="20"/>
          <w:szCs w:val="20"/>
        </w:rPr>
        <w:t>SCE may also be seeking feedback on the Residential Quality Installation modeling approach at a later point in time.</w:t>
      </w:r>
    </w:p>
    <w:p w14:paraId="358CFE2D" w14:textId="77777777" w:rsidR="00702790" w:rsidRDefault="00702790" w:rsidP="005C3061">
      <w:pPr>
        <w:spacing w:after="0"/>
        <w:rPr>
          <w:rFonts w:ascii="Arial" w:hAnsi="Arial" w:cs="Arial"/>
          <w:sz w:val="20"/>
          <w:szCs w:val="20"/>
        </w:rPr>
      </w:pPr>
    </w:p>
    <w:p w14:paraId="7CFFE381" w14:textId="77777777" w:rsidR="00702790" w:rsidRDefault="00702790" w:rsidP="005C3061">
      <w:pPr>
        <w:spacing w:after="0"/>
        <w:rPr>
          <w:rFonts w:ascii="Arial" w:hAnsi="Arial" w:cs="Arial"/>
          <w:sz w:val="20"/>
          <w:szCs w:val="20"/>
        </w:rPr>
      </w:pPr>
    </w:p>
    <w:p w14:paraId="1D5595FA" w14:textId="2B0F62D2" w:rsidR="008A2530" w:rsidRDefault="008A2530" w:rsidP="00702790">
      <w:pPr>
        <w:pStyle w:val="ListParagraph"/>
        <w:numPr>
          <w:ilvl w:val="0"/>
          <w:numId w:val="1"/>
        </w:numPr>
        <w:spacing w:after="0"/>
        <w:rPr>
          <w:rFonts w:ascii="Arial" w:hAnsi="Arial" w:cs="Arial"/>
          <w:b/>
          <w:sz w:val="20"/>
          <w:szCs w:val="20"/>
          <w:u w:val="single"/>
        </w:rPr>
      </w:pPr>
      <w:r>
        <w:rPr>
          <w:rFonts w:ascii="Arial" w:hAnsi="Arial" w:cs="Arial"/>
          <w:b/>
          <w:sz w:val="20"/>
          <w:szCs w:val="20"/>
          <w:u w:val="single"/>
        </w:rPr>
        <w:t>Schedule</w:t>
      </w:r>
    </w:p>
    <w:p w14:paraId="7767685D" w14:textId="77777777" w:rsidR="008A2530" w:rsidRDefault="008A2530" w:rsidP="008A2530">
      <w:pPr>
        <w:pStyle w:val="ListParagraph"/>
        <w:spacing w:after="0"/>
        <w:ind w:left="360"/>
        <w:rPr>
          <w:rFonts w:ascii="Arial" w:hAnsi="Arial" w:cs="Arial"/>
          <w:b/>
          <w:sz w:val="20"/>
          <w:szCs w:val="20"/>
          <w:u w:val="single"/>
        </w:rPr>
      </w:pPr>
    </w:p>
    <w:tbl>
      <w:tblPr>
        <w:tblStyle w:val="TableGrid"/>
        <w:tblW w:w="9198" w:type="dxa"/>
        <w:tblInd w:w="360" w:type="dxa"/>
        <w:tblLook w:val="04A0" w:firstRow="1" w:lastRow="0" w:firstColumn="1" w:lastColumn="0" w:noHBand="0" w:noVBand="1"/>
      </w:tblPr>
      <w:tblGrid>
        <w:gridCol w:w="1188"/>
        <w:gridCol w:w="3600"/>
        <w:gridCol w:w="4410"/>
      </w:tblGrid>
      <w:tr w:rsidR="008B7105" w:rsidRPr="005840C5" w14:paraId="42C79AB2" w14:textId="77777777" w:rsidTr="00E80F4F">
        <w:trPr>
          <w:trHeight w:val="368"/>
        </w:trPr>
        <w:tc>
          <w:tcPr>
            <w:tcW w:w="1188" w:type="dxa"/>
            <w:vAlign w:val="center"/>
          </w:tcPr>
          <w:p w14:paraId="551BC21A" w14:textId="77777777" w:rsidR="008B7105" w:rsidRPr="005840C5" w:rsidRDefault="008B7105" w:rsidP="00F554D3">
            <w:pPr>
              <w:pStyle w:val="ListParagraph"/>
              <w:ind w:left="0"/>
              <w:jc w:val="center"/>
              <w:rPr>
                <w:rFonts w:ascii="Arial" w:hAnsi="Arial" w:cs="Arial"/>
                <w:b/>
                <w:sz w:val="20"/>
                <w:szCs w:val="20"/>
              </w:rPr>
            </w:pPr>
            <w:r w:rsidRPr="005840C5">
              <w:rPr>
                <w:rFonts w:ascii="Arial" w:hAnsi="Arial" w:cs="Arial"/>
                <w:b/>
                <w:sz w:val="20"/>
                <w:szCs w:val="20"/>
              </w:rPr>
              <w:t>Date</w:t>
            </w:r>
          </w:p>
        </w:tc>
        <w:tc>
          <w:tcPr>
            <w:tcW w:w="3600" w:type="dxa"/>
            <w:vAlign w:val="center"/>
          </w:tcPr>
          <w:p w14:paraId="24F24546" w14:textId="77777777" w:rsidR="008B7105" w:rsidRPr="005840C5" w:rsidRDefault="009022A6" w:rsidP="00F554D3">
            <w:pPr>
              <w:pStyle w:val="ListParagraph"/>
              <w:ind w:left="0"/>
              <w:jc w:val="center"/>
              <w:rPr>
                <w:rFonts w:ascii="Arial" w:hAnsi="Arial" w:cs="Arial"/>
                <w:b/>
                <w:sz w:val="20"/>
                <w:szCs w:val="20"/>
              </w:rPr>
            </w:pPr>
            <w:r>
              <w:rPr>
                <w:rFonts w:ascii="Arial" w:hAnsi="Arial" w:cs="Arial"/>
                <w:b/>
                <w:sz w:val="20"/>
                <w:szCs w:val="20"/>
              </w:rPr>
              <w:t>Agenda</w:t>
            </w:r>
          </w:p>
        </w:tc>
        <w:tc>
          <w:tcPr>
            <w:tcW w:w="4410" w:type="dxa"/>
            <w:vAlign w:val="center"/>
          </w:tcPr>
          <w:p w14:paraId="7D58627F" w14:textId="77777777" w:rsidR="008B7105" w:rsidRPr="005840C5" w:rsidRDefault="008B7105" w:rsidP="00F554D3">
            <w:pPr>
              <w:pStyle w:val="ListParagraph"/>
              <w:ind w:left="0"/>
              <w:jc w:val="center"/>
              <w:rPr>
                <w:rFonts w:ascii="Arial" w:hAnsi="Arial" w:cs="Arial"/>
                <w:b/>
                <w:sz w:val="20"/>
                <w:szCs w:val="20"/>
              </w:rPr>
            </w:pPr>
            <w:r>
              <w:rPr>
                <w:rFonts w:ascii="Arial" w:hAnsi="Arial" w:cs="Arial"/>
                <w:b/>
                <w:sz w:val="20"/>
                <w:szCs w:val="20"/>
              </w:rPr>
              <w:t>Next Steps</w:t>
            </w:r>
          </w:p>
        </w:tc>
      </w:tr>
      <w:tr w:rsidR="008B7105" w:rsidRPr="005840C5" w14:paraId="4E8D45F8" w14:textId="77777777" w:rsidTr="00E80F4F">
        <w:trPr>
          <w:trHeight w:val="1520"/>
        </w:trPr>
        <w:tc>
          <w:tcPr>
            <w:tcW w:w="1188" w:type="dxa"/>
            <w:vAlign w:val="center"/>
          </w:tcPr>
          <w:p w14:paraId="7E86828A" w14:textId="580A35E9" w:rsidR="008B7105" w:rsidRPr="005840C5" w:rsidRDefault="00C56ABB" w:rsidP="00DA27E0">
            <w:pPr>
              <w:pStyle w:val="ListParagraph"/>
              <w:ind w:left="0"/>
              <w:jc w:val="center"/>
              <w:rPr>
                <w:rFonts w:ascii="Arial" w:hAnsi="Arial" w:cs="Arial"/>
                <w:sz w:val="20"/>
                <w:szCs w:val="20"/>
              </w:rPr>
            </w:pPr>
            <w:r>
              <w:rPr>
                <w:rFonts w:ascii="Arial" w:hAnsi="Arial" w:cs="Arial"/>
                <w:sz w:val="20"/>
                <w:szCs w:val="20"/>
              </w:rPr>
              <w:t>4/2</w:t>
            </w:r>
            <w:r w:rsidR="00DA27E0">
              <w:rPr>
                <w:rFonts w:ascii="Arial" w:hAnsi="Arial" w:cs="Arial"/>
                <w:sz w:val="20"/>
                <w:szCs w:val="20"/>
              </w:rPr>
              <w:t>9</w:t>
            </w:r>
            <w:r>
              <w:rPr>
                <w:rFonts w:ascii="Arial" w:hAnsi="Arial" w:cs="Arial"/>
                <w:sz w:val="20"/>
                <w:szCs w:val="20"/>
              </w:rPr>
              <w:t>/15</w:t>
            </w:r>
          </w:p>
        </w:tc>
        <w:tc>
          <w:tcPr>
            <w:tcW w:w="3600" w:type="dxa"/>
          </w:tcPr>
          <w:p w14:paraId="094AED36" w14:textId="77777777" w:rsidR="00C56ABB" w:rsidRDefault="00C56ABB" w:rsidP="00F554D3">
            <w:pPr>
              <w:pStyle w:val="ListParagraph"/>
              <w:numPr>
                <w:ilvl w:val="0"/>
                <w:numId w:val="2"/>
              </w:numPr>
              <w:ind w:left="162" w:hanging="162"/>
              <w:rPr>
                <w:rFonts w:ascii="Arial" w:hAnsi="Arial" w:cs="Arial"/>
                <w:sz w:val="20"/>
                <w:szCs w:val="20"/>
              </w:rPr>
            </w:pPr>
            <w:r>
              <w:rPr>
                <w:rFonts w:ascii="Arial" w:hAnsi="Arial" w:cs="Arial"/>
                <w:sz w:val="20"/>
                <w:szCs w:val="20"/>
              </w:rPr>
              <w:t>Review of subcommittee summary and objectives</w:t>
            </w:r>
          </w:p>
          <w:p w14:paraId="1A7AD483" w14:textId="77777777" w:rsidR="00C56ABB" w:rsidRDefault="00C56ABB" w:rsidP="00F554D3">
            <w:pPr>
              <w:pStyle w:val="ListParagraph"/>
              <w:numPr>
                <w:ilvl w:val="0"/>
                <w:numId w:val="2"/>
              </w:numPr>
              <w:ind w:left="162" w:hanging="162"/>
              <w:rPr>
                <w:rFonts w:ascii="Arial" w:hAnsi="Arial" w:cs="Arial"/>
                <w:sz w:val="20"/>
                <w:szCs w:val="20"/>
              </w:rPr>
            </w:pPr>
            <w:r>
              <w:rPr>
                <w:rFonts w:ascii="Arial" w:hAnsi="Arial" w:cs="Arial"/>
                <w:sz w:val="20"/>
                <w:szCs w:val="20"/>
              </w:rPr>
              <w:t>Discussion of data sources for Res QI performance parameters</w:t>
            </w:r>
          </w:p>
          <w:p w14:paraId="7537594A" w14:textId="77777777" w:rsidR="00C56ABB" w:rsidRPr="00C56ABB" w:rsidRDefault="00C56ABB" w:rsidP="00C56ABB">
            <w:pPr>
              <w:pStyle w:val="ListParagraph"/>
              <w:numPr>
                <w:ilvl w:val="0"/>
                <w:numId w:val="2"/>
              </w:numPr>
              <w:ind w:left="162" w:hanging="162"/>
              <w:rPr>
                <w:rFonts w:ascii="Arial" w:hAnsi="Arial" w:cs="Arial"/>
                <w:sz w:val="20"/>
                <w:szCs w:val="20"/>
              </w:rPr>
            </w:pPr>
            <w:r>
              <w:rPr>
                <w:rFonts w:ascii="Arial" w:hAnsi="Arial" w:cs="Arial"/>
                <w:sz w:val="20"/>
                <w:szCs w:val="20"/>
              </w:rPr>
              <w:t>Identify merits and limitations of each</w:t>
            </w:r>
            <w:r w:rsidR="009022A6">
              <w:rPr>
                <w:rFonts w:ascii="Arial" w:hAnsi="Arial" w:cs="Arial"/>
                <w:sz w:val="20"/>
                <w:szCs w:val="20"/>
              </w:rPr>
              <w:t xml:space="preserve"> </w:t>
            </w:r>
          </w:p>
        </w:tc>
        <w:tc>
          <w:tcPr>
            <w:tcW w:w="4410" w:type="dxa"/>
          </w:tcPr>
          <w:p w14:paraId="67695275" w14:textId="77777777" w:rsidR="008B7105" w:rsidRPr="005840C5" w:rsidRDefault="008B7105" w:rsidP="00E80F4F">
            <w:pPr>
              <w:pStyle w:val="ListParagraph"/>
              <w:ind w:left="72" w:hanging="72"/>
              <w:rPr>
                <w:rFonts w:ascii="Arial" w:hAnsi="Arial" w:cs="Arial"/>
                <w:sz w:val="20"/>
                <w:szCs w:val="20"/>
              </w:rPr>
            </w:pPr>
            <w:r>
              <w:rPr>
                <w:rFonts w:ascii="Arial" w:hAnsi="Arial" w:cs="Arial"/>
                <w:sz w:val="20"/>
                <w:szCs w:val="20"/>
              </w:rPr>
              <w:t xml:space="preserve">Subcommittee members to consider </w:t>
            </w:r>
            <w:r w:rsidR="00C56ABB">
              <w:rPr>
                <w:rFonts w:ascii="Arial" w:hAnsi="Arial" w:cs="Arial"/>
                <w:sz w:val="20"/>
                <w:szCs w:val="20"/>
              </w:rPr>
              <w:t>data sources discussed and determine best source for each performance parameter.</w:t>
            </w:r>
          </w:p>
        </w:tc>
      </w:tr>
      <w:tr w:rsidR="008B7105" w:rsidRPr="005840C5" w14:paraId="604CA2BD" w14:textId="77777777" w:rsidTr="00E80F4F">
        <w:trPr>
          <w:trHeight w:val="692"/>
        </w:trPr>
        <w:tc>
          <w:tcPr>
            <w:tcW w:w="1188" w:type="dxa"/>
            <w:vAlign w:val="center"/>
          </w:tcPr>
          <w:p w14:paraId="1CC2116A" w14:textId="049BBED1" w:rsidR="008B7105" w:rsidRPr="005840C5" w:rsidRDefault="00C56ABB" w:rsidP="00DA27E0">
            <w:pPr>
              <w:pStyle w:val="ListParagraph"/>
              <w:ind w:left="0"/>
              <w:jc w:val="center"/>
              <w:rPr>
                <w:rFonts w:ascii="Arial" w:hAnsi="Arial" w:cs="Arial"/>
                <w:sz w:val="20"/>
                <w:szCs w:val="20"/>
              </w:rPr>
            </w:pPr>
            <w:r>
              <w:rPr>
                <w:rFonts w:ascii="Arial" w:hAnsi="Arial" w:cs="Arial"/>
                <w:sz w:val="20"/>
                <w:szCs w:val="20"/>
              </w:rPr>
              <w:t>5/</w:t>
            </w:r>
            <w:r w:rsidR="00DA27E0">
              <w:rPr>
                <w:rFonts w:ascii="Arial" w:hAnsi="Arial" w:cs="Arial"/>
                <w:sz w:val="20"/>
                <w:szCs w:val="20"/>
              </w:rPr>
              <w:t>13/</w:t>
            </w:r>
            <w:r>
              <w:rPr>
                <w:rFonts w:ascii="Arial" w:hAnsi="Arial" w:cs="Arial"/>
                <w:sz w:val="20"/>
                <w:szCs w:val="20"/>
              </w:rPr>
              <w:t>15</w:t>
            </w:r>
          </w:p>
        </w:tc>
        <w:tc>
          <w:tcPr>
            <w:tcW w:w="3600" w:type="dxa"/>
          </w:tcPr>
          <w:p w14:paraId="5C22CC93" w14:textId="77777777" w:rsidR="00C56ABB" w:rsidRPr="005840C5" w:rsidRDefault="00C56ABB" w:rsidP="00F554D3">
            <w:pPr>
              <w:pStyle w:val="ListParagraph"/>
              <w:numPr>
                <w:ilvl w:val="0"/>
                <w:numId w:val="2"/>
              </w:numPr>
              <w:ind w:left="162" w:hanging="162"/>
              <w:rPr>
                <w:rFonts w:ascii="Arial" w:hAnsi="Arial" w:cs="Arial"/>
                <w:sz w:val="20"/>
                <w:szCs w:val="20"/>
              </w:rPr>
            </w:pPr>
            <w:r>
              <w:rPr>
                <w:rFonts w:ascii="Arial" w:hAnsi="Arial" w:cs="Arial"/>
                <w:sz w:val="20"/>
                <w:szCs w:val="20"/>
              </w:rPr>
              <w:t xml:space="preserve">Identify most suitable data source for each performance parameter, and justification. </w:t>
            </w:r>
          </w:p>
        </w:tc>
        <w:tc>
          <w:tcPr>
            <w:tcW w:w="4410" w:type="dxa"/>
            <w:vAlign w:val="center"/>
          </w:tcPr>
          <w:p w14:paraId="3E0EFEAA" w14:textId="0EECD6C6" w:rsidR="008B7105" w:rsidRPr="005840C5" w:rsidRDefault="00C56ABB" w:rsidP="00F554D3">
            <w:pPr>
              <w:pStyle w:val="ListParagraph"/>
              <w:ind w:left="0"/>
              <w:rPr>
                <w:rFonts w:ascii="Arial" w:hAnsi="Arial" w:cs="Arial"/>
                <w:sz w:val="20"/>
                <w:szCs w:val="20"/>
              </w:rPr>
            </w:pPr>
            <w:r>
              <w:rPr>
                <w:rFonts w:ascii="Arial" w:hAnsi="Arial" w:cs="Arial"/>
                <w:sz w:val="20"/>
                <w:szCs w:val="20"/>
              </w:rPr>
              <w:t>Cal TF to memorialize subcommittee findings to be circulated via email and reviewed by the full TF</w:t>
            </w:r>
            <w:r w:rsidR="00E80F4F">
              <w:rPr>
                <w:rFonts w:ascii="Arial" w:hAnsi="Arial" w:cs="Arial"/>
                <w:sz w:val="20"/>
                <w:szCs w:val="20"/>
              </w:rPr>
              <w:t xml:space="preserve"> through the Res QI workpaper abstract review</w:t>
            </w:r>
            <w:r>
              <w:rPr>
                <w:rFonts w:ascii="Arial" w:hAnsi="Arial" w:cs="Arial"/>
                <w:sz w:val="20"/>
                <w:szCs w:val="20"/>
              </w:rPr>
              <w:t xml:space="preserve"> at the 5/28 TF meeting.</w:t>
            </w:r>
          </w:p>
        </w:tc>
      </w:tr>
    </w:tbl>
    <w:p w14:paraId="770C0479" w14:textId="77777777" w:rsidR="008A2530" w:rsidRDefault="008A2530" w:rsidP="008A2530">
      <w:pPr>
        <w:pStyle w:val="ListParagraph"/>
        <w:spacing w:after="0"/>
        <w:ind w:left="360"/>
        <w:rPr>
          <w:rFonts w:ascii="Arial" w:hAnsi="Arial" w:cs="Arial"/>
          <w:b/>
          <w:sz w:val="20"/>
          <w:szCs w:val="20"/>
          <w:u w:val="single"/>
        </w:rPr>
      </w:pPr>
    </w:p>
    <w:p w14:paraId="231491AA" w14:textId="084ED8F3" w:rsidR="00702790" w:rsidRDefault="00702790">
      <w:pPr>
        <w:rPr>
          <w:rFonts w:ascii="Arial" w:hAnsi="Arial" w:cs="Arial"/>
          <w:b/>
          <w:sz w:val="20"/>
          <w:szCs w:val="20"/>
          <w:u w:val="single"/>
        </w:rPr>
      </w:pPr>
      <w:r>
        <w:rPr>
          <w:rFonts w:ascii="Arial" w:hAnsi="Arial" w:cs="Arial"/>
          <w:b/>
          <w:sz w:val="20"/>
          <w:szCs w:val="20"/>
          <w:u w:val="single"/>
        </w:rPr>
        <w:br w:type="page"/>
      </w:r>
    </w:p>
    <w:p w14:paraId="53E5A0C4" w14:textId="77777777" w:rsidR="008B7105" w:rsidRDefault="008B7105" w:rsidP="008A2530">
      <w:pPr>
        <w:pStyle w:val="ListParagraph"/>
        <w:spacing w:after="0"/>
        <w:ind w:left="360"/>
        <w:rPr>
          <w:rFonts w:ascii="Arial" w:hAnsi="Arial" w:cs="Arial"/>
          <w:b/>
          <w:sz w:val="20"/>
          <w:szCs w:val="20"/>
          <w:u w:val="single"/>
        </w:rPr>
      </w:pPr>
    </w:p>
    <w:p w14:paraId="6724FC66" w14:textId="20E754EA" w:rsidR="00BF7956" w:rsidRDefault="00BF7956" w:rsidP="008A2530">
      <w:pPr>
        <w:pStyle w:val="ListParagraph"/>
        <w:numPr>
          <w:ilvl w:val="0"/>
          <w:numId w:val="1"/>
        </w:numPr>
        <w:spacing w:after="0"/>
        <w:rPr>
          <w:rFonts w:ascii="Arial" w:hAnsi="Arial" w:cs="Arial"/>
          <w:b/>
          <w:sz w:val="20"/>
          <w:szCs w:val="20"/>
          <w:u w:val="single"/>
        </w:rPr>
      </w:pPr>
      <w:r w:rsidRPr="008A2530">
        <w:rPr>
          <w:rFonts w:ascii="Arial" w:hAnsi="Arial" w:cs="Arial"/>
          <w:b/>
          <w:sz w:val="20"/>
          <w:szCs w:val="20"/>
          <w:u w:val="single"/>
        </w:rPr>
        <w:t>Attachments</w:t>
      </w:r>
      <w:r w:rsidR="00594405">
        <w:rPr>
          <w:rFonts w:ascii="Arial" w:hAnsi="Arial" w:cs="Arial"/>
          <w:b/>
          <w:sz w:val="20"/>
          <w:szCs w:val="20"/>
          <w:u w:val="single"/>
        </w:rPr>
        <w:t>/Links</w:t>
      </w:r>
    </w:p>
    <w:p w14:paraId="47DF3846" w14:textId="77777777" w:rsidR="00DA27E0" w:rsidRDefault="00DA27E0" w:rsidP="00DA27E0">
      <w:pPr>
        <w:spacing w:after="0"/>
        <w:rPr>
          <w:rFonts w:ascii="Arial" w:hAnsi="Arial" w:cs="Arial"/>
          <w:b/>
          <w:sz w:val="20"/>
          <w:szCs w:val="20"/>
          <w:u w:val="single"/>
        </w:rPr>
      </w:pPr>
    </w:p>
    <w:p w14:paraId="17C058A3" w14:textId="77777777" w:rsidR="00DA27E0" w:rsidRPr="00D93D6C" w:rsidRDefault="00DA27E0" w:rsidP="00DA27E0">
      <w:pPr>
        <w:spacing w:after="0"/>
        <w:rPr>
          <w:rFonts w:ascii="Arial" w:hAnsi="Arial" w:cs="Arial"/>
          <w:sz w:val="20"/>
          <w:szCs w:val="20"/>
        </w:rPr>
      </w:pPr>
      <w:r w:rsidRPr="00D93D6C">
        <w:rPr>
          <w:rFonts w:ascii="Arial" w:hAnsi="Arial" w:cs="Arial"/>
          <w:sz w:val="20"/>
          <w:szCs w:val="20"/>
        </w:rPr>
        <w:t xml:space="preserve">[1] CPUC’s </w:t>
      </w:r>
      <w:proofErr w:type="spellStart"/>
      <w:r w:rsidRPr="00D93D6C">
        <w:rPr>
          <w:rFonts w:ascii="Arial" w:hAnsi="Arial" w:cs="Arial"/>
          <w:sz w:val="20"/>
          <w:szCs w:val="20"/>
        </w:rPr>
        <w:t>MASControl</w:t>
      </w:r>
      <w:proofErr w:type="spellEnd"/>
      <w:r w:rsidRPr="00D93D6C">
        <w:rPr>
          <w:rFonts w:ascii="Arial" w:hAnsi="Arial" w:cs="Arial"/>
          <w:sz w:val="20"/>
          <w:szCs w:val="20"/>
        </w:rPr>
        <w:t xml:space="preserve"> software application created to generate DEER prototypical buildings (including latest building vintages (e.g., 2013) with current code updates) and to overview pre-developed DEER measures.  The software application allows the use of existing prototypes to addressed non-DEER measures – </w:t>
      </w:r>
      <w:hyperlink r:id="rId57" w:history="1">
        <w:r w:rsidRPr="00D93D6C">
          <w:rPr>
            <w:rStyle w:val="Hyperlink"/>
            <w:rFonts w:ascii="Arial" w:hAnsi="Arial" w:cs="Arial"/>
            <w:sz w:val="20"/>
            <w:szCs w:val="20"/>
          </w:rPr>
          <w:t>www.deeresources.com</w:t>
        </w:r>
      </w:hyperlink>
      <w:r w:rsidRPr="00D93D6C">
        <w:rPr>
          <w:rStyle w:val="Hyperlink"/>
          <w:rFonts w:ascii="Arial" w:hAnsi="Arial" w:cs="Arial"/>
          <w:sz w:val="20"/>
          <w:szCs w:val="20"/>
        </w:rPr>
        <w:t>.</w:t>
      </w:r>
    </w:p>
    <w:p w14:paraId="49151B63" w14:textId="77777777" w:rsidR="00DA27E0" w:rsidRPr="00D93D6C" w:rsidRDefault="00DA27E0" w:rsidP="00DA27E0">
      <w:pPr>
        <w:spacing w:after="0"/>
        <w:rPr>
          <w:rFonts w:ascii="Arial" w:hAnsi="Arial" w:cs="Arial"/>
          <w:sz w:val="20"/>
          <w:szCs w:val="20"/>
        </w:rPr>
      </w:pPr>
      <w:r w:rsidRPr="00D93D6C">
        <w:rPr>
          <w:rFonts w:ascii="Arial" w:hAnsi="Arial" w:cs="Arial"/>
          <w:sz w:val="20"/>
          <w:szCs w:val="20"/>
        </w:rPr>
        <w:t>[2] DEER SFM prototype with 1975 building vintage and California climate zone 6 (e.g., CZ06).</w:t>
      </w:r>
    </w:p>
    <w:p w14:paraId="49C88B51" w14:textId="77777777" w:rsidR="00DA27E0" w:rsidRPr="00D93D6C" w:rsidRDefault="00DA27E0" w:rsidP="00DA27E0">
      <w:pPr>
        <w:spacing w:after="0"/>
        <w:rPr>
          <w:rFonts w:ascii="Arial" w:hAnsi="Arial" w:cs="Arial"/>
          <w:sz w:val="20"/>
          <w:szCs w:val="20"/>
        </w:rPr>
      </w:pPr>
      <w:r w:rsidRPr="00D93D6C">
        <w:rPr>
          <w:rFonts w:ascii="Arial" w:hAnsi="Arial" w:cs="Arial"/>
          <w:sz w:val="20"/>
          <w:szCs w:val="20"/>
        </w:rPr>
        <w:t xml:space="preserve">[3] Hidden Power Drains: Residential Heating and Cooling Fan Power Demand - John Proctor, Proctor Engineering Group, Ltd., Danny Parker, </w:t>
      </w:r>
      <w:proofErr w:type="gramStart"/>
      <w:r w:rsidRPr="00D93D6C">
        <w:rPr>
          <w:rFonts w:ascii="Arial" w:hAnsi="Arial" w:cs="Arial"/>
          <w:sz w:val="20"/>
          <w:szCs w:val="20"/>
        </w:rPr>
        <w:t>Florida</w:t>
      </w:r>
      <w:proofErr w:type="gramEnd"/>
      <w:r w:rsidRPr="00D93D6C">
        <w:rPr>
          <w:rFonts w:ascii="Arial" w:hAnsi="Arial" w:cs="Arial"/>
          <w:sz w:val="20"/>
          <w:szCs w:val="20"/>
        </w:rPr>
        <w:t xml:space="preserve"> Solar Energy Center. </w:t>
      </w:r>
      <w:hyperlink r:id="rId58" w:history="1">
        <w:r w:rsidRPr="00D93D6C">
          <w:rPr>
            <w:rStyle w:val="Hyperlink"/>
            <w:rFonts w:ascii="Arial" w:hAnsi="Arial" w:cs="Arial"/>
            <w:sz w:val="20"/>
            <w:szCs w:val="20"/>
          </w:rPr>
          <w:t>http://aceee.org/files/proceedings/2000/data/papers/SS00_Panel1_Paper19.pdf</w:t>
        </w:r>
      </w:hyperlink>
    </w:p>
    <w:p w14:paraId="2D9580E9" w14:textId="77777777" w:rsidR="00DA27E0" w:rsidRPr="00D93D6C" w:rsidRDefault="00DA27E0" w:rsidP="00DA27E0">
      <w:pPr>
        <w:spacing w:after="0"/>
        <w:rPr>
          <w:rFonts w:ascii="Arial" w:hAnsi="Arial" w:cs="Arial"/>
          <w:sz w:val="20"/>
          <w:szCs w:val="20"/>
        </w:rPr>
      </w:pPr>
      <w:r w:rsidRPr="00D93D6C">
        <w:rPr>
          <w:rFonts w:ascii="Arial" w:hAnsi="Arial" w:cs="Arial"/>
          <w:sz w:val="20"/>
          <w:szCs w:val="20"/>
        </w:rPr>
        <w:t xml:space="preserve">[4] 2004-2005 Database for Energy Efficiency Resources (DEER) Update Study, Final Report, </w:t>
      </w:r>
      <w:proofErr w:type="spellStart"/>
      <w:r w:rsidRPr="00D93D6C">
        <w:rPr>
          <w:rFonts w:ascii="Arial" w:hAnsi="Arial" w:cs="Arial"/>
          <w:sz w:val="20"/>
          <w:szCs w:val="20"/>
        </w:rPr>
        <w:t>Itron</w:t>
      </w:r>
      <w:proofErr w:type="spellEnd"/>
      <w:r w:rsidRPr="00D93D6C">
        <w:rPr>
          <w:rFonts w:ascii="Arial" w:hAnsi="Arial" w:cs="Arial"/>
          <w:sz w:val="20"/>
          <w:szCs w:val="20"/>
        </w:rPr>
        <w:t>, Inc.</w:t>
      </w:r>
      <w:r>
        <w:rPr>
          <w:rFonts w:ascii="Arial" w:hAnsi="Arial" w:cs="Arial"/>
          <w:sz w:val="20"/>
          <w:szCs w:val="20"/>
        </w:rPr>
        <w:t xml:space="preserve"> </w:t>
      </w:r>
      <w:hyperlink r:id="rId59" w:history="1">
        <w:r w:rsidRPr="00A53084">
          <w:rPr>
            <w:rStyle w:val="Hyperlink"/>
            <w:rFonts w:ascii="Arial" w:hAnsi="Arial" w:cs="Arial"/>
            <w:sz w:val="20"/>
            <w:szCs w:val="20"/>
          </w:rPr>
          <w:t>http://deeresources.com/files/deer2005/downloads/DEER2005UpdateFinalReport_ItronVersion.pdf</w:t>
        </w:r>
      </w:hyperlink>
      <w:r>
        <w:rPr>
          <w:rFonts w:ascii="Arial" w:hAnsi="Arial" w:cs="Arial"/>
          <w:sz w:val="20"/>
          <w:szCs w:val="20"/>
        </w:rPr>
        <w:t xml:space="preserve"> </w:t>
      </w:r>
    </w:p>
    <w:p w14:paraId="5B7F465B" w14:textId="77777777" w:rsidR="00DA27E0" w:rsidRPr="00D93D6C" w:rsidRDefault="00DA27E0" w:rsidP="00DA27E0">
      <w:pPr>
        <w:pStyle w:val="ListParagraph"/>
        <w:spacing w:after="0"/>
        <w:ind w:left="0"/>
        <w:rPr>
          <w:rFonts w:ascii="Arial" w:hAnsi="Arial" w:cs="Arial"/>
          <w:sz w:val="20"/>
          <w:szCs w:val="20"/>
        </w:rPr>
      </w:pPr>
      <w:proofErr w:type="gramStart"/>
      <w:r w:rsidRPr="00D93D6C">
        <w:rPr>
          <w:rFonts w:ascii="Arial" w:hAnsi="Arial" w:cs="Arial"/>
          <w:sz w:val="20"/>
          <w:szCs w:val="20"/>
        </w:rPr>
        <w:t>[5] Energy Center of Wisconsin | ECW Report Number 241-1 | Central Air Conditioning in Wisconsin | A compilation of recent field research.</w:t>
      </w:r>
      <w:proofErr w:type="gramEnd"/>
      <w:r w:rsidRPr="00D93D6C">
        <w:rPr>
          <w:rFonts w:ascii="Arial" w:hAnsi="Arial" w:cs="Arial"/>
          <w:sz w:val="20"/>
          <w:szCs w:val="20"/>
        </w:rPr>
        <w:t xml:space="preserve"> </w:t>
      </w:r>
      <w:hyperlink r:id="rId60" w:history="1">
        <w:r w:rsidRPr="00D93D6C">
          <w:rPr>
            <w:rStyle w:val="Hyperlink"/>
            <w:rFonts w:ascii="Arial" w:hAnsi="Arial" w:cs="Arial"/>
            <w:sz w:val="20"/>
            <w:szCs w:val="20"/>
          </w:rPr>
          <w:t>http://ecw.org/sites/default/files/241-1_0.pdf</w:t>
        </w:r>
      </w:hyperlink>
      <w:r w:rsidRPr="00D93D6C">
        <w:rPr>
          <w:rFonts w:ascii="Arial" w:hAnsi="Arial" w:cs="Arial"/>
          <w:sz w:val="20"/>
          <w:szCs w:val="20"/>
        </w:rPr>
        <w:t xml:space="preserve"> </w:t>
      </w:r>
    </w:p>
    <w:p w14:paraId="3CBAF77C" w14:textId="77777777" w:rsidR="00DA27E0" w:rsidRPr="00D93D6C" w:rsidRDefault="00DA27E0" w:rsidP="00DA27E0">
      <w:pPr>
        <w:spacing w:after="0"/>
        <w:rPr>
          <w:rFonts w:ascii="Arial" w:hAnsi="Arial" w:cs="Arial"/>
          <w:sz w:val="20"/>
          <w:szCs w:val="20"/>
        </w:rPr>
      </w:pPr>
      <w:r w:rsidRPr="00D93D6C">
        <w:rPr>
          <w:rFonts w:ascii="Arial" w:hAnsi="Arial" w:cs="Arial"/>
          <w:sz w:val="20"/>
          <w:szCs w:val="20"/>
        </w:rPr>
        <w:t xml:space="preserve">[6] ASHRAE Handbook – Fundamentals | Energy Estimating and Modeling Methods. </w:t>
      </w:r>
    </w:p>
    <w:p w14:paraId="6BB5357F" w14:textId="77777777" w:rsidR="00DA27E0" w:rsidRPr="00D93D6C" w:rsidRDefault="00DA27E0" w:rsidP="00DA27E0">
      <w:pPr>
        <w:tabs>
          <w:tab w:val="left" w:pos="4296"/>
        </w:tabs>
        <w:spacing w:after="0"/>
        <w:rPr>
          <w:rFonts w:ascii="Arial" w:hAnsi="Arial" w:cs="Arial"/>
          <w:sz w:val="20"/>
          <w:szCs w:val="20"/>
        </w:rPr>
      </w:pPr>
      <w:r w:rsidRPr="00D93D6C">
        <w:rPr>
          <w:rFonts w:ascii="Arial" w:hAnsi="Arial" w:cs="Arial"/>
          <w:sz w:val="20"/>
          <w:szCs w:val="20"/>
        </w:rPr>
        <w:t>[7] Homes by Building, Vintage, and Utility Climate Zone, Source: RASS, KEMA Estimates 2002-2007</w:t>
      </w:r>
    </w:p>
    <w:p w14:paraId="21D24718" w14:textId="77777777" w:rsidR="00DA27E0" w:rsidRPr="00D93D6C" w:rsidRDefault="00DA27E0" w:rsidP="00DA27E0">
      <w:pPr>
        <w:tabs>
          <w:tab w:val="left" w:pos="4296"/>
        </w:tabs>
        <w:spacing w:after="0"/>
        <w:rPr>
          <w:rFonts w:ascii="Arial" w:hAnsi="Arial" w:cs="Arial"/>
          <w:sz w:val="20"/>
          <w:szCs w:val="20"/>
        </w:rPr>
      </w:pPr>
      <w:r w:rsidRPr="00D93D6C">
        <w:rPr>
          <w:rFonts w:ascii="Arial" w:hAnsi="Arial" w:cs="Arial"/>
          <w:sz w:val="20"/>
          <w:szCs w:val="20"/>
        </w:rPr>
        <w:t xml:space="preserve">[8] Peak Demand and Energy Savings from Properly Sized and Matched Air Conditioners, Robert </w:t>
      </w:r>
      <w:proofErr w:type="spellStart"/>
      <w:r w:rsidRPr="00D93D6C">
        <w:rPr>
          <w:rFonts w:ascii="Arial" w:hAnsi="Arial" w:cs="Arial"/>
          <w:sz w:val="20"/>
          <w:szCs w:val="20"/>
        </w:rPr>
        <w:t>Mowris</w:t>
      </w:r>
      <w:proofErr w:type="spellEnd"/>
      <w:r w:rsidRPr="00D93D6C">
        <w:rPr>
          <w:rFonts w:ascii="Arial" w:hAnsi="Arial" w:cs="Arial"/>
          <w:sz w:val="20"/>
          <w:szCs w:val="20"/>
        </w:rPr>
        <w:t xml:space="preserve"> and </w:t>
      </w:r>
      <w:proofErr w:type="spellStart"/>
      <w:r w:rsidRPr="00D93D6C">
        <w:rPr>
          <w:rFonts w:ascii="Arial" w:hAnsi="Arial" w:cs="Arial"/>
          <w:sz w:val="20"/>
          <w:szCs w:val="20"/>
        </w:rPr>
        <w:t>Ean</w:t>
      </w:r>
      <w:proofErr w:type="spellEnd"/>
      <w:r w:rsidRPr="00D93D6C">
        <w:rPr>
          <w:rFonts w:ascii="Arial" w:hAnsi="Arial" w:cs="Arial"/>
          <w:sz w:val="20"/>
          <w:szCs w:val="20"/>
        </w:rPr>
        <w:t xml:space="preserve"> Jones, Verified, Inc. </w:t>
      </w:r>
      <w:hyperlink r:id="rId61" w:history="1">
        <w:r w:rsidRPr="00D93D6C">
          <w:rPr>
            <w:rStyle w:val="Hyperlink"/>
            <w:rFonts w:ascii="Arial" w:hAnsi="Arial" w:cs="Arial"/>
            <w:sz w:val="20"/>
            <w:szCs w:val="20"/>
          </w:rPr>
          <w:t>http://aceee.org/files/proceedings/2008/data/papers/1_692.pdf</w:t>
        </w:r>
      </w:hyperlink>
    </w:p>
    <w:p w14:paraId="1AFE243C" w14:textId="77777777" w:rsidR="00DA27E0" w:rsidRPr="00D93D6C" w:rsidRDefault="00DA27E0" w:rsidP="00DA27E0">
      <w:pPr>
        <w:pStyle w:val="ListParagraph"/>
        <w:spacing w:after="0"/>
        <w:ind w:left="0"/>
        <w:rPr>
          <w:rFonts w:ascii="Arial" w:hAnsi="Arial" w:cs="Arial"/>
          <w:sz w:val="20"/>
          <w:szCs w:val="20"/>
        </w:rPr>
      </w:pPr>
      <w:r w:rsidRPr="00D93D6C">
        <w:rPr>
          <w:rFonts w:ascii="Arial" w:hAnsi="Arial" w:cs="Arial"/>
          <w:sz w:val="20"/>
          <w:szCs w:val="20"/>
        </w:rPr>
        <w:t xml:space="preserve">[9] Laboratory Measurements and Diagnostics of Residential HVAC Installation and Maintenance Faults, Robert </w:t>
      </w:r>
      <w:proofErr w:type="spellStart"/>
      <w:r w:rsidRPr="00D93D6C">
        <w:rPr>
          <w:rFonts w:ascii="Arial" w:hAnsi="Arial" w:cs="Arial"/>
          <w:sz w:val="20"/>
          <w:szCs w:val="20"/>
        </w:rPr>
        <w:t>Mowris</w:t>
      </w:r>
      <w:proofErr w:type="spellEnd"/>
      <w:r w:rsidRPr="00D93D6C">
        <w:rPr>
          <w:rFonts w:ascii="Arial" w:hAnsi="Arial" w:cs="Arial"/>
          <w:sz w:val="20"/>
          <w:szCs w:val="20"/>
        </w:rPr>
        <w:t xml:space="preserve">, </w:t>
      </w:r>
      <w:proofErr w:type="spellStart"/>
      <w:r w:rsidRPr="00D93D6C">
        <w:rPr>
          <w:rFonts w:ascii="Arial" w:hAnsi="Arial" w:cs="Arial"/>
          <w:sz w:val="20"/>
          <w:szCs w:val="20"/>
        </w:rPr>
        <w:t>Ean</w:t>
      </w:r>
      <w:proofErr w:type="spellEnd"/>
      <w:r w:rsidRPr="00D93D6C">
        <w:rPr>
          <w:rFonts w:ascii="Arial" w:hAnsi="Arial" w:cs="Arial"/>
          <w:sz w:val="20"/>
          <w:szCs w:val="20"/>
        </w:rPr>
        <w:t xml:space="preserve"> Jones, and Robert </w:t>
      </w:r>
      <w:proofErr w:type="spellStart"/>
      <w:r w:rsidRPr="00D93D6C">
        <w:rPr>
          <w:rFonts w:ascii="Arial" w:hAnsi="Arial" w:cs="Arial"/>
          <w:sz w:val="20"/>
          <w:szCs w:val="20"/>
        </w:rPr>
        <w:t>Eshom</w:t>
      </w:r>
      <w:proofErr w:type="spellEnd"/>
      <w:r w:rsidRPr="00D93D6C">
        <w:rPr>
          <w:rFonts w:ascii="Arial" w:hAnsi="Arial" w:cs="Arial"/>
          <w:sz w:val="20"/>
          <w:szCs w:val="20"/>
        </w:rPr>
        <w:t xml:space="preserve">, Robert </w:t>
      </w:r>
      <w:proofErr w:type="spellStart"/>
      <w:r w:rsidRPr="00D93D6C">
        <w:rPr>
          <w:rFonts w:ascii="Arial" w:hAnsi="Arial" w:cs="Arial"/>
          <w:sz w:val="20"/>
          <w:szCs w:val="20"/>
        </w:rPr>
        <w:t>Mowris</w:t>
      </w:r>
      <w:proofErr w:type="spellEnd"/>
      <w:r w:rsidRPr="00D93D6C">
        <w:rPr>
          <w:rFonts w:ascii="Arial" w:hAnsi="Arial" w:cs="Arial"/>
          <w:sz w:val="20"/>
          <w:szCs w:val="20"/>
        </w:rPr>
        <w:t xml:space="preserve"> &amp; Associates, Inc.  </w:t>
      </w:r>
      <w:hyperlink r:id="rId62" w:history="1">
        <w:r w:rsidRPr="00D93D6C">
          <w:rPr>
            <w:rStyle w:val="Hyperlink"/>
            <w:rFonts w:ascii="Arial" w:hAnsi="Arial" w:cs="Arial"/>
            <w:sz w:val="20"/>
            <w:szCs w:val="20"/>
          </w:rPr>
          <w:t>http://aceee.org/files/proceedings/2014/data/papers/1-195.pdf</w:t>
        </w:r>
      </w:hyperlink>
    </w:p>
    <w:p w14:paraId="22C0D456" w14:textId="77777777" w:rsidR="00DA27E0" w:rsidRPr="00D93D6C" w:rsidRDefault="00DA27E0" w:rsidP="00DA27E0">
      <w:pPr>
        <w:pStyle w:val="ListParagraph"/>
        <w:spacing w:after="0"/>
        <w:ind w:left="0"/>
        <w:rPr>
          <w:rStyle w:val="Hyperlink"/>
          <w:rFonts w:ascii="Arial" w:hAnsi="Arial" w:cs="Arial"/>
          <w:sz w:val="20"/>
          <w:szCs w:val="20"/>
        </w:rPr>
      </w:pPr>
      <w:r w:rsidRPr="00D93D6C">
        <w:rPr>
          <w:rFonts w:ascii="Arial" w:hAnsi="Arial" w:cs="Arial"/>
          <w:sz w:val="20"/>
          <w:szCs w:val="20"/>
        </w:rPr>
        <w:t xml:space="preserve">[10] NIST Technical Note 1848 - Sensitivity Analysis of Installation Faults on Heat Pump Performance, Piotr A. </w:t>
      </w:r>
      <w:proofErr w:type="spellStart"/>
      <w:r w:rsidRPr="00D93D6C">
        <w:rPr>
          <w:rFonts w:ascii="Arial" w:hAnsi="Arial" w:cs="Arial"/>
          <w:sz w:val="20"/>
          <w:szCs w:val="20"/>
        </w:rPr>
        <w:t>Domanski</w:t>
      </w:r>
      <w:proofErr w:type="spellEnd"/>
      <w:r w:rsidRPr="00D93D6C">
        <w:rPr>
          <w:rFonts w:ascii="Arial" w:hAnsi="Arial" w:cs="Arial"/>
          <w:sz w:val="20"/>
          <w:szCs w:val="20"/>
        </w:rPr>
        <w:t xml:space="preserve">, Hugh I. Henderson </w:t>
      </w:r>
      <w:hyperlink r:id="rId63" w:history="1">
        <w:r w:rsidRPr="00D93D6C">
          <w:rPr>
            <w:rStyle w:val="Hyperlink"/>
            <w:rFonts w:ascii="Arial" w:hAnsi="Arial" w:cs="Arial"/>
            <w:sz w:val="20"/>
            <w:szCs w:val="20"/>
          </w:rPr>
          <w:t>http://nvlpubs.nist.gov/nistpubs/TechnicalNotes/NIST.TN.1848.pdf</w:t>
        </w:r>
      </w:hyperlink>
    </w:p>
    <w:p w14:paraId="5A9EA61B" w14:textId="77777777" w:rsidR="00DA27E0" w:rsidRPr="00D93D6C" w:rsidRDefault="00DA27E0" w:rsidP="00DA27E0">
      <w:pPr>
        <w:spacing w:after="0" w:line="200" w:lineRule="exact"/>
        <w:rPr>
          <w:rFonts w:ascii="Arial" w:hAnsi="Arial" w:cs="Arial"/>
          <w:sz w:val="20"/>
          <w:szCs w:val="20"/>
        </w:rPr>
      </w:pPr>
    </w:p>
    <w:p w14:paraId="135742DC" w14:textId="77777777" w:rsidR="00DA27E0" w:rsidRPr="00D93D6C" w:rsidRDefault="00DA27E0" w:rsidP="00DA27E0">
      <w:pPr>
        <w:spacing w:after="0" w:line="200" w:lineRule="exact"/>
        <w:rPr>
          <w:rFonts w:ascii="Arial" w:hAnsi="Arial" w:cs="Arial"/>
          <w:sz w:val="20"/>
          <w:szCs w:val="20"/>
          <w:u w:val="single"/>
        </w:rPr>
      </w:pPr>
      <w:r w:rsidRPr="00D93D6C">
        <w:rPr>
          <w:rFonts w:ascii="Arial" w:hAnsi="Arial" w:cs="Arial"/>
          <w:sz w:val="20"/>
          <w:szCs w:val="20"/>
          <w:u w:val="single"/>
        </w:rPr>
        <w:t>Other sources to consider</w:t>
      </w:r>
    </w:p>
    <w:p w14:paraId="15ACBEBA" w14:textId="77777777" w:rsidR="00DA27E0" w:rsidRPr="00D93D6C" w:rsidRDefault="00DA27E0" w:rsidP="00DA27E0">
      <w:pPr>
        <w:spacing w:after="0"/>
        <w:rPr>
          <w:rFonts w:ascii="Arial" w:hAnsi="Arial" w:cs="Arial"/>
          <w:sz w:val="20"/>
          <w:szCs w:val="20"/>
        </w:rPr>
      </w:pPr>
      <w:r w:rsidRPr="00D93D6C">
        <w:rPr>
          <w:rFonts w:ascii="Arial" w:hAnsi="Arial" w:cs="Arial"/>
          <w:sz w:val="20"/>
          <w:szCs w:val="20"/>
        </w:rPr>
        <w:t>[11] HVAC Impact Evaluation FINAL Report WO32 HVAC – Volume 1: Report - CPUC, ED - Prepared by DNV GL</w:t>
      </w:r>
    </w:p>
    <w:p w14:paraId="1F1DA004" w14:textId="77777777" w:rsidR="00DA27E0" w:rsidRPr="00D93D6C" w:rsidRDefault="00ED329A" w:rsidP="00DA27E0">
      <w:pPr>
        <w:pStyle w:val="ListParagraph"/>
        <w:spacing w:after="0"/>
        <w:ind w:left="360"/>
        <w:rPr>
          <w:rFonts w:ascii="Arial" w:hAnsi="Arial" w:cs="Arial"/>
          <w:sz w:val="20"/>
          <w:szCs w:val="20"/>
        </w:rPr>
      </w:pPr>
      <w:hyperlink r:id="rId64" w:history="1">
        <w:r w:rsidR="00DA27E0" w:rsidRPr="00D93D6C">
          <w:rPr>
            <w:rStyle w:val="Hyperlink"/>
            <w:rFonts w:ascii="Arial" w:hAnsi="Arial" w:cs="Arial"/>
            <w:sz w:val="20"/>
            <w:szCs w:val="20"/>
          </w:rPr>
          <w:t>http://www.energydataweb.com/cpuc/search.aspx?did=1225</w:t>
        </w:r>
      </w:hyperlink>
      <w:r w:rsidR="00DA27E0" w:rsidRPr="00D93D6C">
        <w:rPr>
          <w:rFonts w:ascii="Arial" w:hAnsi="Arial" w:cs="Arial"/>
          <w:sz w:val="20"/>
          <w:szCs w:val="20"/>
        </w:rPr>
        <w:t xml:space="preserve"> </w:t>
      </w:r>
    </w:p>
    <w:p w14:paraId="4E908701" w14:textId="77777777" w:rsidR="00DA27E0" w:rsidRPr="00D93D6C" w:rsidRDefault="00DA27E0" w:rsidP="00DA27E0">
      <w:pPr>
        <w:spacing w:after="0"/>
        <w:rPr>
          <w:rFonts w:ascii="Arial" w:hAnsi="Arial" w:cs="Arial"/>
          <w:sz w:val="20"/>
          <w:szCs w:val="20"/>
        </w:rPr>
      </w:pPr>
      <w:r>
        <w:rPr>
          <w:rFonts w:ascii="Arial" w:hAnsi="Arial" w:cs="Arial"/>
          <w:sz w:val="20"/>
          <w:szCs w:val="20"/>
        </w:rPr>
        <w:t xml:space="preserve">[12] </w:t>
      </w:r>
      <w:r w:rsidRPr="00D93D6C">
        <w:rPr>
          <w:rFonts w:ascii="Arial" w:hAnsi="Arial" w:cs="Arial"/>
          <w:sz w:val="20"/>
          <w:szCs w:val="20"/>
        </w:rPr>
        <w:t>ACCA - Residential Load Calculation (Manual J)</w:t>
      </w:r>
    </w:p>
    <w:p w14:paraId="19980B21" w14:textId="77777777" w:rsidR="00DA27E0" w:rsidRPr="00D93D6C" w:rsidRDefault="00DA27E0" w:rsidP="00DA27E0">
      <w:pPr>
        <w:spacing w:after="0"/>
        <w:rPr>
          <w:rFonts w:ascii="Arial" w:hAnsi="Arial" w:cs="Arial"/>
          <w:sz w:val="20"/>
          <w:szCs w:val="20"/>
        </w:rPr>
      </w:pPr>
      <w:r>
        <w:rPr>
          <w:rFonts w:ascii="Arial" w:hAnsi="Arial" w:cs="Arial"/>
          <w:sz w:val="20"/>
          <w:szCs w:val="20"/>
        </w:rPr>
        <w:t xml:space="preserve">[13] </w:t>
      </w:r>
      <w:r w:rsidRPr="00D93D6C">
        <w:rPr>
          <w:rFonts w:ascii="Arial" w:hAnsi="Arial" w:cs="Arial"/>
          <w:sz w:val="20"/>
          <w:szCs w:val="20"/>
        </w:rPr>
        <w:t>ACCA - Residential Equipment Selection (Manual S)</w:t>
      </w:r>
    </w:p>
    <w:p w14:paraId="78EFBBB0" w14:textId="77777777" w:rsidR="00DA27E0" w:rsidRPr="00D93D6C" w:rsidRDefault="00DA27E0" w:rsidP="00DA27E0">
      <w:pPr>
        <w:spacing w:after="0"/>
        <w:rPr>
          <w:rFonts w:ascii="Arial" w:hAnsi="Arial" w:cs="Arial"/>
          <w:sz w:val="20"/>
          <w:szCs w:val="20"/>
        </w:rPr>
      </w:pPr>
      <w:r>
        <w:rPr>
          <w:rFonts w:ascii="Arial" w:hAnsi="Arial" w:cs="Arial"/>
          <w:sz w:val="20"/>
          <w:szCs w:val="20"/>
        </w:rPr>
        <w:t xml:space="preserve">[14] </w:t>
      </w:r>
      <w:r w:rsidRPr="00D93D6C">
        <w:rPr>
          <w:rFonts w:ascii="Arial" w:hAnsi="Arial" w:cs="Arial"/>
          <w:sz w:val="20"/>
          <w:szCs w:val="20"/>
        </w:rPr>
        <w:t xml:space="preserve">ANSI/ASHRAE/IES Standard 90.1-2013 - Energy Standard for Buildings </w:t>
      </w:r>
      <w:proofErr w:type="gramStart"/>
      <w:r w:rsidRPr="00D93D6C">
        <w:rPr>
          <w:rFonts w:ascii="Arial" w:hAnsi="Arial" w:cs="Arial"/>
          <w:sz w:val="20"/>
          <w:szCs w:val="20"/>
        </w:rPr>
        <w:t>Except</w:t>
      </w:r>
      <w:proofErr w:type="gramEnd"/>
      <w:r w:rsidRPr="00D93D6C">
        <w:rPr>
          <w:rFonts w:ascii="Arial" w:hAnsi="Arial" w:cs="Arial"/>
          <w:sz w:val="20"/>
          <w:szCs w:val="20"/>
        </w:rPr>
        <w:t xml:space="preserve"> Low-Rise Residential Buildings </w:t>
      </w:r>
    </w:p>
    <w:p w14:paraId="67BDBD57" w14:textId="7BB5A02A" w:rsidR="00DA27E0" w:rsidRPr="00DA27E0" w:rsidRDefault="00DA27E0" w:rsidP="00DA27E0">
      <w:pPr>
        <w:spacing w:after="0"/>
        <w:rPr>
          <w:rFonts w:ascii="Arial" w:hAnsi="Arial" w:cs="Arial"/>
          <w:b/>
          <w:sz w:val="20"/>
          <w:szCs w:val="20"/>
          <w:u w:val="single"/>
        </w:rPr>
      </w:pPr>
      <w:r>
        <w:rPr>
          <w:rFonts w:ascii="Arial" w:hAnsi="Arial" w:cs="Arial"/>
          <w:sz w:val="20"/>
          <w:szCs w:val="20"/>
        </w:rPr>
        <w:t xml:space="preserve">[15] </w:t>
      </w:r>
      <w:r w:rsidRPr="00D93D6C">
        <w:rPr>
          <w:rFonts w:ascii="Arial" w:hAnsi="Arial" w:cs="Arial"/>
          <w:sz w:val="20"/>
          <w:szCs w:val="20"/>
        </w:rPr>
        <w:t>2013 RESIDENTIAL COMPLIANCE MANUAL FOR THE 2013 BUILDING ENERGY EFFICIENCY STANDARDS, Title 24, Part</w:t>
      </w:r>
      <w:r>
        <w:rPr>
          <w:rFonts w:ascii="Arial" w:hAnsi="Arial" w:cs="Arial"/>
          <w:sz w:val="20"/>
          <w:szCs w:val="20"/>
        </w:rPr>
        <w:t xml:space="preserve"> </w:t>
      </w:r>
      <w:hyperlink r:id="rId65" w:history="1">
        <w:r w:rsidRPr="00D93D6C">
          <w:rPr>
            <w:rStyle w:val="Hyperlink"/>
            <w:rFonts w:ascii="Arial" w:hAnsi="Arial" w:cs="Arial"/>
            <w:sz w:val="20"/>
            <w:szCs w:val="20"/>
          </w:rPr>
          <w:t>http://www.energy.ca.gov/title24/2013standards/residential_manual.html%5d</w:t>
        </w:r>
      </w:hyperlink>
    </w:p>
    <w:sectPr w:rsidR="00DA27E0" w:rsidRPr="00DA27E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D3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E2ED4" w14:textId="77777777" w:rsidR="00ED329A" w:rsidRDefault="00ED329A" w:rsidP="000D6169">
      <w:pPr>
        <w:spacing w:after="0" w:line="240" w:lineRule="auto"/>
      </w:pPr>
      <w:r>
        <w:separator/>
      </w:r>
    </w:p>
  </w:endnote>
  <w:endnote w:type="continuationSeparator" w:id="0">
    <w:p w14:paraId="487E1384" w14:textId="77777777" w:rsidR="00ED329A" w:rsidRDefault="00ED329A" w:rsidP="000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8311" w14:textId="77777777" w:rsidR="008A2530" w:rsidRDefault="008A2530">
    <w:pPr>
      <w:pStyle w:val="Footer"/>
      <w:jc w:val="center"/>
    </w:pPr>
    <w:r>
      <w:t>-</w:t>
    </w:r>
    <w:sdt>
      <w:sdtPr>
        <w:id w:val="-8172645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313A">
          <w:rPr>
            <w:noProof/>
          </w:rPr>
          <w:t>1</w:t>
        </w:r>
        <w:r>
          <w:rPr>
            <w:noProof/>
          </w:rPr>
          <w:fldChar w:fldCharType="end"/>
        </w:r>
        <w:r>
          <w:rPr>
            <w:noProof/>
          </w:rPr>
          <w:t>-</w:t>
        </w:r>
      </w:sdtContent>
    </w:sdt>
  </w:p>
  <w:p w14:paraId="5BA1D048" w14:textId="77777777" w:rsidR="008A2530" w:rsidRDefault="008A2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EEC97" w14:textId="77777777" w:rsidR="00ED329A" w:rsidRDefault="00ED329A" w:rsidP="000D6169">
      <w:pPr>
        <w:spacing w:after="0" w:line="240" w:lineRule="auto"/>
      </w:pPr>
      <w:r>
        <w:separator/>
      </w:r>
    </w:p>
  </w:footnote>
  <w:footnote w:type="continuationSeparator" w:id="0">
    <w:p w14:paraId="6547A409" w14:textId="77777777" w:rsidR="00ED329A" w:rsidRDefault="00ED329A" w:rsidP="000D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4B04" w14:textId="48775EA0" w:rsidR="000D6169" w:rsidRDefault="00702790" w:rsidP="000D6169">
    <w:pPr>
      <w:pStyle w:val="Header"/>
      <w:jc w:val="center"/>
    </w:pPr>
    <w:r>
      <w:rPr>
        <w:noProof/>
      </w:rPr>
      <w:drawing>
        <wp:inline distT="0" distB="0" distL="0" distR="0" wp14:anchorId="2675F5D8" wp14:editId="16653185">
          <wp:extent cx="1806622" cy="1204415"/>
          <wp:effectExtent l="0" t="0" r="0" b="0"/>
          <wp:docPr id="3"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3F5F" w14:textId="77777777" w:rsidR="00702790" w:rsidRDefault="00702790" w:rsidP="000D61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1C"/>
    <w:multiLevelType w:val="hybridMultilevel"/>
    <w:tmpl w:val="17E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277EEB"/>
    <w:multiLevelType w:val="hybridMultilevel"/>
    <w:tmpl w:val="1FE60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45AA0"/>
    <w:multiLevelType w:val="hybridMultilevel"/>
    <w:tmpl w:val="DB2A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64D48"/>
    <w:multiLevelType w:val="hybridMultilevel"/>
    <w:tmpl w:val="FFEC91C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0B66210"/>
    <w:multiLevelType w:val="hybridMultilevel"/>
    <w:tmpl w:val="1FE60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E456C0"/>
    <w:multiLevelType w:val="hybridMultilevel"/>
    <w:tmpl w:val="74B6E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Fergadiotti">
    <w15:presenceInfo w15:providerId="AD" w15:userId="S-1-5-21-2559334742-469970549-2024990295-181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56"/>
    <w:rsid w:val="000A2546"/>
    <w:rsid w:val="000D6169"/>
    <w:rsid w:val="0015132F"/>
    <w:rsid w:val="0019231C"/>
    <w:rsid w:val="001C620D"/>
    <w:rsid w:val="00213374"/>
    <w:rsid w:val="00217C9B"/>
    <w:rsid w:val="002A26A6"/>
    <w:rsid w:val="002A7005"/>
    <w:rsid w:val="003373BA"/>
    <w:rsid w:val="003C33C1"/>
    <w:rsid w:val="00462579"/>
    <w:rsid w:val="00502ACC"/>
    <w:rsid w:val="00505AC0"/>
    <w:rsid w:val="00560F71"/>
    <w:rsid w:val="00594405"/>
    <w:rsid w:val="005A2AC2"/>
    <w:rsid w:val="005B2247"/>
    <w:rsid w:val="005C3061"/>
    <w:rsid w:val="00613ABC"/>
    <w:rsid w:val="00702790"/>
    <w:rsid w:val="0075789B"/>
    <w:rsid w:val="007B1E58"/>
    <w:rsid w:val="007D3DB7"/>
    <w:rsid w:val="00823342"/>
    <w:rsid w:val="0084196D"/>
    <w:rsid w:val="0085117A"/>
    <w:rsid w:val="008605D1"/>
    <w:rsid w:val="008A2530"/>
    <w:rsid w:val="008B7105"/>
    <w:rsid w:val="008C7E91"/>
    <w:rsid w:val="008F59CD"/>
    <w:rsid w:val="009022A6"/>
    <w:rsid w:val="00930C2A"/>
    <w:rsid w:val="0093336B"/>
    <w:rsid w:val="0097260F"/>
    <w:rsid w:val="009917D0"/>
    <w:rsid w:val="009E2B1E"/>
    <w:rsid w:val="00A019BA"/>
    <w:rsid w:val="00A6723C"/>
    <w:rsid w:val="00A75F8E"/>
    <w:rsid w:val="00AF487C"/>
    <w:rsid w:val="00B77812"/>
    <w:rsid w:val="00BC73B7"/>
    <w:rsid w:val="00BF2102"/>
    <w:rsid w:val="00BF7956"/>
    <w:rsid w:val="00C56ABB"/>
    <w:rsid w:val="00CA6C8D"/>
    <w:rsid w:val="00CF7CC5"/>
    <w:rsid w:val="00D93D6C"/>
    <w:rsid w:val="00DA27E0"/>
    <w:rsid w:val="00DB313A"/>
    <w:rsid w:val="00DD025C"/>
    <w:rsid w:val="00DF2005"/>
    <w:rsid w:val="00E15F16"/>
    <w:rsid w:val="00E42182"/>
    <w:rsid w:val="00E71247"/>
    <w:rsid w:val="00E80F4F"/>
    <w:rsid w:val="00EC450B"/>
    <w:rsid w:val="00ED329A"/>
    <w:rsid w:val="00F35DC1"/>
    <w:rsid w:val="00F43915"/>
    <w:rsid w:val="00F63EDE"/>
    <w:rsid w:val="00F741C4"/>
    <w:rsid w:val="00FE53E0"/>
    <w:rsid w:val="00FF4F82"/>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69"/>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semiHidden/>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semiHidden/>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paragraph" w:styleId="FootnoteText">
    <w:name w:val="footnote text"/>
    <w:basedOn w:val="Normal"/>
    <w:link w:val="FootnoteTextChar"/>
    <w:uiPriority w:val="99"/>
    <w:semiHidden/>
    <w:unhideWhenUsed/>
    <w:rsid w:val="007B1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E58"/>
    <w:rPr>
      <w:sz w:val="20"/>
      <w:szCs w:val="20"/>
    </w:rPr>
  </w:style>
  <w:style w:type="character" w:styleId="FootnoteReference">
    <w:name w:val="footnote reference"/>
    <w:basedOn w:val="DefaultParagraphFont"/>
    <w:uiPriority w:val="99"/>
    <w:semiHidden/>
    <w:unhideWhenUsed/>
    <w:rsid w:val="007B1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69"/>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semiHidden/>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semiHidden/>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paragraph" w:styleId="FootnoteText">
    <w:name w:val="footnote text"/>
    <w:basedOn w:val="Normal"/>
    <w:link w:val="FootnoteTextChar"/>
    <w:uiPriority w:val="99"/>
    <w:semiHidden/>
    <w:unhideWhenUsed/>
    <w:rsid w:val="007B1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E58"/>
    <w:rPr>
      <w:sz w:val="20"/>
      <w:szCs w:val="20"/>
    </w:rPr>
  </w:style>
  <w:style w:type="character" w:styleId="FootnoteReference">
    <w:name w:val="footnote reference"/>
    <w:basedOn w:val="DefaultParagraphFont"/>
    <w:uiPriority w:val="99"/>
    <w:semiHidden/>
    <w:unhideWhenUsed/>
    <w:rsid w:val="007B1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649">
      <w:bodyDiv w:val="1"/>
      <w:marLeft w:val="0"/>
      <w:marRight w:val="0"/>
      <w:marTop w:val="0"/>
      <w:marBottom w:val="0"/>
      <w:divBdr>
        <w:top w:val="none" w:sz="0" w:space="0" w:color="auto"/>
        <w:left w:val="none" w:sz="0" w:space="0" w:color="auto"/>
        <w:bottom w:val="none" w:sz="0" w:space="0" w:color="auto"/>
        <w:right w:val="none" w:sz="0" w:space="0" w:color="auto"/>
      </w:divBdr>
    </w:div>
    <w:div w:id="12277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n.long@sce.com" TargetMode="External"/><Relationship Id="rId18" Type="http://schemas.openxmlformats.org/officeDocument/2006/relationships/hyperlink" Target="mailto:john@proctoreng.com" TargetMode="External"/><Relationship Id="rId26" Type="http://schemas.openxmlformats.org/officeDocument/2006/relationships/header" Target="header1.xml"/><Relationship Id="rId39" Type="http://schemas.openxmlformats.org/officeDocument/2006/relationships/hyperlink" Target="http://nvlpubs.nist.gov/nistpubs/TechnicalNotes/NIST.TN.1848.pdf" TargetMode="External"/><Relationship Id="rId21" Type="http://schemas.openxmlformats.org/officeDocument/2006/relationships/hyperlink" Target="mailto:scott.higa@sce.com" TargetMode="External"/><Relationship Id="rId34" Type="http://schemas.openxmlformats.org/officeDocument/2006/relationships/hyperlink" Target="http://nvlpubs.nist.gov/nistpubs/TechnicalNotes/NIST.TN.1848.pdf" TargetMode="External"/><Relationship Id="rId42" Type="http://schemas.openxmlformats.org/officeDocument/2006/relationships/hyperlink" Target="http://aceee.org/files/proceedings/2008/data/papers/1_692.pdf" TargetMode="External"/><Relationship Id="rId47" Type="http://schemas.openxmlformats.org/officeDocument/2006/relationships/hyperlink" Target="http://www.deeresources.com" TargetMode="External"/><Relationship Id="rId50" Type="http://schemas.openxmlformats.org/officeDocument/2006/relationships/hyperlink" Target="http://ecw.org/sites/default/files/241-1_0.pdf" TargetMode="External"/><Relationship Id="rId55" Type="http://schemas.openxmlformats.org/officeDocument/2006/relationships/header" Target="header2.xml"/><Relationship Id="rId63" Type="http://schemas.openxmlformats.org/officeDocument/2006/relationships/hyperlink" Target="http://nvlpubs.nist.gov/nistpubs/TechnicalNotes/NIST.TN.1848.pdf" TargetMode="Externa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groemer@franklinenergy.com" TargetMode="External"/><Relationship Id="rId29" Type="http://schemas.openxmlformats.org/officeDocument/2006/relationships/hyperlink" Target="http://aceee.org/files/proceedings/2000/data/papers/SS00_Panel1_Paper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UCONS.com" TargetMode="External"/><Relationship Id="rId24" Type="http://schemas.openxmlformats.org/officeDocument/2006/relationships/hyperlink" Target="mailto:CHL7@pge.com" TargetMode="External"/><Relationship Id="rId32" Type="http://schemas.openxmlformats.org/officeDocument/2006/relationships/hyperlink" Target="http://www.energydataweb.com/cpuc/search.aspx?did=1225" TargetMode="External"/><Relationship Id="rId37" Type="http://schemas.openxmlformats.org/officeDocument/2006/relationships/hyperlink" Target="http://www.energydataweb.com/cpuc/search.aspx?did=1225" TargetMode="External"/><Relationship Id="rId40" Type="http://schemas.openxmlformats.org/officeDocument/2006/relationships/hyperlink" Target="http://ecw.org/sites/default/files/241-1_0.pdf" TargetMode="External"/><Relationship Id="rId45" Type="http://schemas.openxmlformats.org/officeDocument/2006/relationships/hyperlink" Target="http://www.deeresources.com" TargetMode="External"/><Relationship Id="rId53" Type="http://schemas.openxmlformats.org/officeDocument/2006/relationships/hyperlink" Target="http://nvlpubs.nist.gov/nistpubs/TechnicalNotes/NIST.TN.1848.pdf" TargetMode="External"/><Relationship Id="rId58" Type="http://schemas.openxmlformats.org/officeDocument/2006/relationships/hyperlink" Target="http://aceee.org/files/proceedings/2000/data/papers/SS00_Panel1_Paper19.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rogers@peci.org" TargetMode="External"/><Relationship Id="rId23" Type="http://schemas.openxmlformats.org/officeDocument/2006/relationships/hyperlink" Target="mailto:Buck@Roltay.com" TargetMode="External"/><Relationship Id="rId28" Type="http://schemas.openxmlformats.org/officeDocument/2006/relationships/hyperlink" Target="http://www.deeresources.com" TargetMode="External"/><Relationship Id="rId36" Type="http://schemas.openxmlformats.org/officeDocument/2006/relationships/hyperlink" Target="http://deeresources.com/files/deer2005/downloads/DEER2005UpdateFinalReport_ItronVersion.pdf" TargetMode="External"/><Relationship Id="rId49" Type="http://schemas.openxmlformats.org/officeDocument/2006/relationships/hyperlink" Target="http://deeresources.com/files/deer2005/downloads/DEER2005UpdateFinalReport_ItronVersion.pdf" TargetMode="External"/><Relationship Id="rId57" Type="http://schemas.openxmlformats.org/officeDocument/2006/relationships/hyperlink" Target="http://www.deeresources.com" TargetMode="External"/><Relationship Id="rId61" Type="http://schemas.openxmlformats.org/officeDocument/2006/relationships/hyperlink" Target="http://aceee.org/files/proceedings/2008/data/papers/1_692.pdf" TargetMode="External"/><Relationship Id="rId10" Type="http://schemas.openxmlformats.org/officeDocument/2006/relationships/hyperlink" Target="mailto:Srinivas.Katipamula@pnnl.gov" TargetMode="External"/><Relationship Id="rId19" Type="http://schemas.openxmlformats.org/officeDocument/2006/relationships/hyperlink" Target="mailto:dale@betterbuildings.com" TargetMode="External"/><Relationship Id="rId31" Type="http://schemas.openxmlformats.org/officeDocument/2006/relationships/hyperlink" Target="http://aceee.org/files/proceedings/2000/data/papers/SS00_Panel1_Paper19.pdf" TargetMode="External"/><Relationship Id="rId44" Type="http://schemas.openxmlformats.org/officeDocument/2006/relationships/hyperlink" Target="http://www.energydataweb.com/cpuc/search.aspx?did=1225" TargetMode="External"/><Relationship Id="rId52" Type="http://schemas.openxmlformats.org/officeDocument/2006/relationships/hyperlink" Target="http://aceee.org/files/proceedings/2014/data/papers/1-195.pdf" TargetMode="External"/><Relationship Id="rId60" Type="http://schemas.openxmlformats.org/officeDocument/2006/relationships/hyperlink" Target="http://ecw.org/sites/default/files/241-1_0.pdf" TargetMode="External"/><Relationship Id="rId65" Type="http://schemas.openxmlformats.org/officeDocument/2006/relationships/hyperlink" Target="http://www.energy.ca.gov/title24/2013standards/residential_manual.html%5d" TargetMode="External"/><Relationship Id="rId4" Type="http://schemas.microsoft.com/office/2007/relationships/stylesWithEffects" Target="stylesWithEffects.xml"/><Relationship Id="rId9" Type="http://schemas.openxmlformats.org/officeDocument/2006/relationships/hyperlink" Target="mailto:Andres.Fergadiotti@sce.com" TargetMode="External"/><Relationship Id="rId14" Type="http://schemas.openxmlformats.org/officeDocument/2006/relationships/hyperlink" Target="mailto:abrooks@aea.us.org" TargetMode="External"/><Relationship Id="rId22" Type="http://schemas.openxmlformats.org/officeDocument/2006/relationships/hyperlink" Target="mailto:cganimian@verizon.net" TargetMode="External"/><Relationship Id="rId27" Type="http://schemas.openxmlformats.org/officeDocument/2006/relationships/footer" Target="footer1.xml"/><Relationship Id="rId30" Type="http://schemas.openxmlformats.org/officeDocument/2006/relationships/hyperlink" Target="http://www.energydataweb.com/cpuc/search.aspx?did=1225" TargetMode="External"/><Relationship Id="rId35" Type="http://schemas.openxmlformats.org/officeDocument/2006/relationships/hyperlink" Target="http://www.deeresources.com" TargetMode="External"/><Relationship Id="rId43" Type="http://schemas.openxmlformats.org/officeDocument/2006/relationships/hyperlink" Target="http://www.deeresources.com" TargetMode="External"/><Relationship Id="rId48" Type="http://schemas.openxmlformats.org/officeDocument/2006/relationships/hyperlink" Target="http://aceee.org/files/proceedings/2000/data/papers/SS00_Panel1_Paper19.pdf" TargetMode="External"/><Relationship Id="rId56" Type="http://schemas.openxmlformats.org/officeDocument/2006/relationships/hyperlink" Target="http://www.energy.ca.gov/title24/2013standards/residential_manual.html%5d" TargetMode="External"/><Relationship Id="rId64" Type="http://schemas.openxmlformats.org/officeDocument/2006/relationships/hyperlink" Target="http://www.energydataweb.com/cpuc/search.aspx?did=1225"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aceee.org/files/proceedings/2008/data/papers/1_692.pdf" TargetMode="External"/><Relationship Id="rId3" Type="http://schemas.openxmlformats.org/officeDocument/2006/relationships/styles" Target="styles.xml"/><Relationship Id="rId12" Type="http://schemas.openxmlformats.org/officeDocument/2006/relationships/hyperlink" Target="mailto:david@pl-energy.com" TargetMode="External"/><Relationship Id="rId17" Type="http://schemas.openxmlformats.org/officeDocument/2006/relationships/hyperlink" Target="mailto:S1HU@pge.com" TargetMode="External"/><Relationship Id="rId25" Type="http://schemas.openxmlformats.org/officeDocument/2006/relationships/hyperlink" Target="mailto:J2KP@pge.com" TargetMode="External"/><Relationship Id="rId33" Type="http://schemas.openxmlformats.org/officeDocument/2006/relationships/hyperlink" Target="http://aceee.org/files/proceedings/2014/data/papers/1-195.pdf" TargetMode="External"/><Relationship Id="rId38" Type="http://schemas.openxmlformats.org/officeDocument/2006/relationships/hyperlink" Target="http://aceee.org/files/proceedings/2014/data/papers/1-195.pdf" TargetMode="External"/><Relationship Id="rId46" Type="http://schemas.openxmlformats.org/officeDocument/2006/relationships/hyperlink" Target="http://www.energydataweb.com/cpuc/search.aspx?did=1225" TargetMode="External"/><Relationship Id="rId59" Type="http://schemas.openxmlformats.org/officeDocument/2006/relationships/hyperlink" Target="http://deeresources.com/files/deer2005/downloads/DEER2005UpdateFinalReport_ItronVersion.pdf" TargetMode="External"/><Relationship Id="rId67" Type="http://schemas.openxmlformats.org/officeDocument/2006/relationships/theme" Target="theme/theme1.xml"/><Relationship Id="rId20" Type="http://schemas.openxmlformats.org/officeDocument/2006/relationships/hyperlink" Target="mailto:jneal@aea.us.org" TargetMode="External"/><Relationship Id="rId41" Type="http://schemas.openxmlformats.org/officeDocument/2006/relationships/hyperlink" Target="http://www.energydataweb.com/cpuc/search.aspx?did=1225" TargetMode="External"/><Relationship Id="rId54" Type="http://schemas.openxmlformats.org/officeDocument/2006/relationships/hyperlink" Target="http://www.energydataweb.com/cpuc/search.aspx?did=1225" TargetMode="External"/><Relationship Id="rId62" Type="http://schemas.openxmlformats.org/officeDocument/2006/relationships/hyperlink" Target="http://aceee.org/files/proceedings/2014/data/papers/1-19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43F7-AB51-462D-B084-207A4598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Roecks</dc:creator>
  <cp:lastModifiedBy>Jenny Roecks</cp:lastModifiedBy>
  <cp:revision>6</cp:revision>
  <dcterms:created xsi:type="dcterms:W3CDTF">2015-04-30T16:53:00Z</dcterms:created>
  <dcterms:modified xsi:type="dcterms:W3CDTF">2015-04-30T19:33:00Z</dcterms:modified>
</cp:coreProperties>
</file>